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87" w:rsidRDefault="006A5287">
      <w:pPr>
        <w:pStyle w:val="BodyText"/>
        <w:spacing w:before="6"/>
        <w:rPr>
          <w:rFonts w:ascii="Times New Roman"/>
          <w:sz w:val="19"/>
        </w:rPr>
      </w:pPr>
      <w:bookmarkStart w:id="0" w:name="_GoBack"/>
      <w:bookmarkEnd w:id="0"/>
    </w:p>
    <w:p w:rsidR="006A5287" w:rsidRDefault="004A12FE">
      <w:pPr>
        <w:pStyle w:val="Heading1"/>
      </w:pPr>
      <w:r>
        <w:t>PUBLIC HEARING (CONTEXTUAL)</w:t>
      </w:r>
    </w:p>
    <w:p w:rsidR="006A5287" w:rsidRDefault="004A12FE">
      <w:pPr>
        <w:spacing w:before="56"/>
        <w:ind w:left="3389"/>
        <w:rPr>
          <w:b/>
          <w:sz w:val="30"/>
        </w:rPr>
      </w:pPr>
      <w:r>
        <w:rPr>
          <w:b/>
          <w:sz w:val="30"/>
        </w:rPr>
        <w:t>29 October – November 2019</w:t>
      </w:r>
    </w:p>
    <w:p w:rsidR="006A5287" w:rsidRDefault="006A5287">
      <w:pPr>
        <w:pStyle w:val="BodyText"/>
        <w:spacing w:before="4"/>
        <w:rPr>
          <w:b/>
          <w:sz w:val="33"/>
        </w:rPr>
      </w:pPr>
    </w:p>
    <w:p w:rsidR="006A5287" w:rsidRDefault="004A12FE">
      <w:pPr>
        <w:ind w:left="511" w:right="513"/>
        <w:jc w:val="center"/>
        <w:rPr>
          <w:b/>
          <w:i/>
          <w:sz w:val="30"/>
        </w:rPr>
      </w:pPr>
      <w:r>
        <w:rPr>
          <w:b/>
          <w:i/>
          <w:sz w:val="30"/>
        </w:rPr>
        <w:t>An inquiry into the overarching contextual circumstances of abuse in care in Aotearoa New Zealand.</w:t>
      </w:r>
    </w:p>
    <w:p w:rsidR="006A5287" w:rsidRDefault="004A12FE">
      <w:pPr>
        <w:pStyle w:val="BodyText"/>
        <w:spacing w:before="232"/>
        <w:ind w:left="107"/>
      </w:pPr>
      <w:r>
        <w:rPr>
          <w:u w:val="single"/>
        </w:rPr>
        <w:t>Scope of the investigation:</w:t>
      </w:r>
    </w:p>
    <w:p w:rsidR="006A5287" w:rsidRDefault="006A5287">
      <w:pPr>
        <w:pStyle w:val="BodyText"/>
        <w:spacing w:before="6"/>
        <w:rPr>
          <w:sz w:val="22"/>
        </w:rPr>
      </w:pPr>
    </w:p>
    <w:p w:rsidR="006A5287" w:rsidRDefault="004A12FE">
      <w:pPr>
        <w:pStyle w:val="Heading2"/>
        <w:spacing w:before="52"/>
      </w:pPr>
      <w:r>
        <w:t>Introduction</w:t>
      </w:r>
    </w:p>
    <w:p w:rsidR="006A5287" w:rsidRDefault="006A5287">
      <w:pPr>
        <w:pStyle w:val="BodyText"/>
        <w:spacing w:before="4"/>
        <w:rPr>
          <w:b/>
          <w:sz w:val="26"/>
        </w:rPr>
      </w:pPr>
    </w:p>
    <w:p w:rsidR="006A5287" w:rsidRDefault="004A12FE">
      <w:pPr>
        <w:pStyle w:val="ListParagraph"/>
        <w:numPr>
          <w:ilvl w:val="0"/>
          <w:numId w:val="1"/>
        </w:numPr>
        <w:tabs>
          <w:tab w:val="left" w:pos="827"/>
        </w:tabs>
        <w:spacing w:line="278" w:lineRule="auto"/>
        <w:ind w:right="266"/>
        <w:jc w:val="left"/>
        <w:rPr>
          <w:sz w:val="24"/>
        </w:rPr>
      </w:pPr>
      <w:r>
        <w:rPr>
          <w:sz w:val="24"/>
        </w:rPr>
        <w:t>The Inquiry will examine two important elements of the establishment of the Royal</w:t>
      </w:r>
      <w:r>
        <w:rPr>
          <w:spacing w:val="-39"/>
          <w:sz w:val="24"/>
        </w:rPr>
        <w:t xml:space="preserve"> </w:t>
      </w:r>
      <w:r>
        <w:rPr>
          <w:sz w:val="24"/>
        </w:rPr>
        <w:t>Commission and its operation:</w:t>
      </w:r>
    </w:p>
    <w:p w:rsidR="006A5287" w:rsidRDefault="006A5287">
      <w:pPr>
        <w:pStyle w:val="BodyText"/>
        <w:spacing w:before="7"/>
        <w:rPr>
          <w:sz w:val="22"/>
        </w:rPr>
      </w:pPr>
    </w:p>
    <w:p w:rsidR="006A5287" w:rsidRDefault="004A12FE">
      <w:pPr>
        <w:pStyle w:val="ListParagraph"/>
        <w:numPr>
          <w:ilvl w:val="1"/>
          <w:numId w:val="1"/>
        </w:numPr>
        <w:tabs>
          <w:tab w:val="left" w:pos="1258"/>
        </w:tabs>
        <w:spacing w:line="276" w:lineRule="auto"/>
        <w:ind w:right="106"/>
        <w:rPr>
          <w:sz w:val="24"/>
        </w:rPr>
      </w:pPr>
      <w:r>
        <w:rPr>
          <w:sz w:val="24"/>
        </w:rPr>
        <w:t>The road to the Royal Commission, including the Confidential Listening and Assistance Service, the Confidential Forum for former In-Patients of</w:t>
      </w:r>
      <w:r>
        <w:rPr>
          <w:sz w:val="24"/>
        </w:rPr>
        <w:t xml:space="preserve"> Psychiatric Hospitals, as well as calls by survivors, human rights leaders and other bodies for a Commission of Inquiry to be established into state and faith-based</w:t>
      </w:r>
      <w:r>
        <w:rPr>
          <w:spacing w:val="2"/>
          <w:sz w:val="24"/>
        </w:rPr>
        <w:t xml:space="preserve"> </w:t>
      </w:r>
      <w:r>
        <w:rPr>
          <w:sz w:val="24"/>
        </w:rPr>
        <w:t>institutions.</w:t>
      </w:r>
    </w:p>
    <w:p w:rsidR="006A5287" w:rsidRDefault="006A5287">
      <w:pPr>
        <w:pStyle w:val="BodyText"/>
        <w:spacing w:before="11"/>
        <w:rPr>
          <w:sz w:val="22"/>
        </w:rPr>
      </w:pPr>
    </w:p>
    <w:p w:rsidR="006A5287" w:rsidRDefault="004A12FE">
      <w:pPr>
        <w:pStyle w:val="ListParagraph"/>
        <w:numPr>
          <w:ilvl w:val="1"/>
          <w:numId w:val="1"/>
        </w:numPr>
        <w:tabs>
          <w:tab w:val="left" w:pos="1258"/>
        </w:tabs>
        <w:spacing w:line="276" w:lineRule="auto"/>
        <w:ind w:right="616"/>
        <w:rPr>
          <w:sz w:val="24"/>
        </w:rPr>
      </w:pPr>
      <w:r>
        <w:rPr>
          <w:sz w:val="24"/>
        </w:rPr>
        <w:t xml:space="preserve">How Te </w:t>
      </w:r>
      <w:proofErr w:type="spellStart"/>
      <w:r>
        <w:rPr>
          <w:sz w:val="24"/>
        </w:rPr>
        <w:t>Tiriti</w:t>
      </w:r>
      <w:proofErr w:type="spellEnd"/>
      <w:r>
        <w:rPr>
          <w:sz w:val="24"/>
        </w:rPr>
        <w:t xml:space="preserve"> o Waitangi and its principles underpin the investigation </w:t>
      </w:r>
      <w:proofErr w:type="gramStart"/>
      <w:r>
        <w:rPr>
          <w:sz w:val="24"/>
        </w:rPr>
        <w:t>as a</w:t>
      </w:r>
      <w:r>
        <w:rPr>
          <w:sz w:val="24"/>
        </w:rPr>
        <w:t xml:space="preserve"> whole and</w:t>
      </w:r>
      <w:proofErr w:type="gramEnd"/>
      <w:r>
        <w:rPr>
          <w:spacing w:val="-38"/>
          <w:sz w:val="24"/>
        </w:rPr>
        <w:t xml:space="preserve"> </w:t>
      </w:r>
      <w:r>
        <w:rPr>
          <w:sz w:val="24"/>
        </w:rPr>
        <w:t xml:space="preserve">the issues that will be examined, including the disproportionate extent of abuse in care for </w:t>
      </w:r>
      <w:proofErr w:type="spellStart"/>
      <w:r>
        <w:rPr>
          <w:sz w:val="24"/>
        </w:rPr>
        <w:t>whānau</w:t>
      </w:r>
      <w:proofErr w:type="spellEnd"/>
      <w:r>
        <w:rPr>
          <w:spacing w:val="-1"/>
          <w:sz w:val="24"/>
        </w:rPr>
        <w:t xml:space="preserve"> </w:t>
      </w:r>
      <w:r>
        <w:rPr>
          <w:sz w:val="24"/>
        </w:rPr>
        <w:t>Māori.</w:t>
      </w:r>
    </w:p>
    <w:p w:rsidR="006A5287" w:rsidRDefault="006A5287">
      <w:pPr>
        <w:pStyle w:val="BodyText"/>
        <w:rPr>
          <w:sz w:val="23"/>
        </w:rPr>
      </w:pPr>
    </w:p>
    <w:p w:rsidR="006A5287" w:rsidRDefault="004A12FE">
      <w:pPr>
        <w:pStyle w:val="Heading2"/>
      </w:pPr>
      <w:r>
        <w:t xml:space="preserve">Consideration of the </w:t>
      </w:r>
      <w:proofErr w:type="spellStart"/>
      <w:r>
        <w:t>pou</w:t>
      </w:r>
      <w:proofErr w:type="spellEnd"/>
    </w:p>
    <w:p w:rsidR="006A5287" w:rsidRDefault="006A5287">
      <w:pPr>
        <w:pStyle w:val="BodyText"/>
        <w:spacing w:before="6"/>
        <w:rPr>
          <w:b/>
          <w:sz w:val="26"/>
        </w:rPr>
      </w:pPr>
    </w:p>
    <w:p w:rsidR="006A5287" w:rsidRDefault="004A12FE">
      <w:pPr>
        <w:pStyle w:val="ListParagraph"/>
        <w:numPr>
          <w:ilvl w:val="0"/>
          <w:numId w:val="1"/>
        </w:numPr>
        <w:tabs>
          <w:tab w:val="left" w:pos="468"/>
        </w:tabs>
        <w:spacing w:before="1" w:line="276" w:lineRule="auto"/>
        <w:ind w:left="468" w:right="522" w:hanging="360"/>
        <w:jc w:val="left"/>
        <w:rPr>
          <w:sz w:val="24"/>
        </w:rPr>
      </w:pPr>
      <w:r>
        <w:rPr>
          <w:sz w:val="24"/>
        </w:rPr>
        <w:t>The Inquiry will also consider the experiences of victims and survivors of abuse in state and faith- based care, and</w:t>
      </w:r>
      <w:r>
        <w:rPr>
          <w:spacing w:val="-2"/>
          <w:sz w:val="24"/>
        </w:rPr>
        <w:t xml:space="preserve"> </w:t>
      </w:r>
      <w:r>
        <w:rPr>
          <w:sz w:val="24"/>
        </w:rPr>
        <w:t>investigate:</w:t>
      </w:r>
    </w:p>
    <w:p w:rsidR="006A5287" w:rsidRDefault="006A5287">
      <w:pPr>
        <w:pStyle w:val="BodyText"/>
        <w:spacing w:before="10"/>
        <w:rPr>
          <w:sz w:val="22"/>
        </w:rPr>
      </w:pPr>
    </w:p>
    <w:p w:rsidR="006A5287" w:rsidRDefault="004A12FE">
      <w:pPr>
        <w:pStyle w:val="ListParagraph"/>
        <w:numPr>
          <w:ilvl w:val="1"/>
          <w:numId w:val="1"/>
        </w:numPr>
        <w:tabs>
          <w:tab w:val="left" w:pos="1258"/>
        </w:tabs>
        <w:spacing w:before="1"/>
        <w:rPr>
          <w:sz w:val="24"/>
        </w:rPr>
      </w:pPr>
      <w:r>
        <w:rPr>
          <w:sz w:val="24"/>
        </w:rPr>
        <w:t>The circumstances of going into care,</w:t>
      </w:r>
      <w:r>
        <w:rPr>
          <w:spacing w:val="-2"/>
          <w:sz w:val="24"/>
        </w:rPr>
        <w:t xml:space="preserve"> </w:t>
      </w:r>
      <w:r>
        <w:rPr>
          <w:sz w:val="24"/>
        </w:rPr>
        <w:t>including:</w:t>
      </w:r>
    </w:p>
    <w:p w:rsidR="006A5287" w:rsidRDefault="006A5287">
      <w:pPr>
        <w:pStyle w:val="BodyText"/>
        <w:spacing w:before="6"/>
        <w:rPr>
          <w:sz w:val="26"/>
        </w:rPr>
      </w:pPr>
    </w:p>
    <w:p w:rsidR="006A5287" w:rsidRDefault="004A12FE">
      <w:pPr>
        <w:pStyle w:val="ListParagraph"/>
        <w:numPr>
          <w:ilvl w:val="2"/>
          <w:numId w:val="1"/>
        </w:numPr>
        <w:tabs>
          <w:tab w:val="left" w:pos="2268"/>
          <w:tab w:val="left" w:pos="2269"/>
        </w:tabs>
        <w:ind w:hanging="1082"/>
        <w:rPr>
          <w:sz w:val="24"/>
        </w:rPr>
      </w:pPr>
      <w:r>
        <w:rPr>
          <w:sz w:val="24"/>
        </w:rPr>
        <w:t>Key legislative and policy phases during the history of care in New</w:t>
      </w:r>
      <w:r>
        <w:rPr>
          <w:spacing w:val="-16"/>
          <w:sz w:val="24"/>
        </w:rPr>
        <w:t xml:space="preserve"> </w:t>
      </w:r>
      <w:r>
        <w:rPr>
          <w:sz w:val="24"/>
        </w:rPr>
        <w:t>Zealand</w:t>
      </w:r>
      <w:r>
        <w:rPr>
          <w:sz w:val="24"/>
        </w:rPr>
        <w:t>;</w:t>
      </w:r>
    </w:p>
    <w:p w:rsidR="006A5287" w:rsidRDefault="006A5287">
      <w:pPr>
        <w:pStyle w:val="BodyText"/>
        <w:spacing w:before="6"/>
        <w:rPr>
          <w:sz w:val="26"/>
        </w:rPr>
      </w:pPr>
    </w:p>
    <w:p w:rsidR="006A5287" w:rsidRDefault="004A12FE">
      <w:pPr>
        <w:pStyle w:val="ListParagraph"/>
        <w:numPr>
          <w:ilvl w:val="2"/>
          <w:numId w:val="1"/>
        </w:numPr>
        <w:tabs>
          <w:tab w:val="left" w:pos="2268"/>
          <w:tab w:val="left" w:pos="2269"/>
        </w:tabs>
        <w:spacing w:before="1"/>
        <w:ind w:hanging="1082"/>
        <w:rPr>
          <w:sz w:val="24"/>
        </w:rPr>
      </w:pPr>
      <w:r>
        <w:rPr>
          <w:sz w:val="24"/>
        </w:rPr>
        <w:t>Socio, economic, and cultural</w:t>
      </w:r>
      <w:r>
        <w:rPr>
          <w:spacing w:val="3"/>
          <w:sz w:val="24"/>
        </w:rPr>
        <w:t xml:space="preserve"> </w:t>
      </w:r>
      <w:r>
        <w:rPr>
          <w:sz w:val="24"/>
        </w:rPr>
        <w:t>landscape;</w:t>
      </w:r>
    </w:p>
    <w:p w:rsidR="006A5287" w:rsidRDefault="006A5287">
      <w:pPr>
        <w:pStyle w:val="BodyText"/>
        <w:spacing w:before="6"/>
        <w:rPr>
          <w:sz w:val="26"/>
        </w:rPr>
      </w:pPr>
    </w:p>
    <w:p w:rsidR="006A5287" w:rsidRDefault="004A12FE">
      <w:pPr>
        <w:pStyle w:val="ListParagraph"/>
        <w:numPr>
          <w:ilvl w:val="2"/>
          <w:numId w:val="1"/>
        </w:numPr>
        <w:tabs>
          <w:tab w:val="left" w:pos="2268"/>
          <w:tab w:val="left" w:pos="2269"/>
        </w:tabs>
        <w:ind w:hanging="1082"/>
        <w:rPr>
          <w:sz w:val="24"/>
        </w:rPr>
      </w:pPr>
      <w:r>
        <w:rPr>
          <w:sz w:val="24"/>
        </w:rPr>
        <w:t>A summary of why people were taken into</w:t>
      </w:r>
      <w:r>
        <w:rPr>
          <w:spacing w:val="-1"/>
          <w:sz w:val="24"/>
        </w:rPr>
        <w:t xml:space="preserve"> </w:t>
      </w:r>
      <w:r>
        <w:rPr>
          <w:sz w:val="24"/>
        </w:rPr>
        <w:t>care;</w:t>
      </w:r>
    </w:p>
    <w:p w:rsidR="006A5287" w:rsidRDefault="006A5287">
      <w:pPr>
        <w:pStyle w:val="BodyText"/>
        <w:spacing w:before="6"/>
        <w:rPr>
          <w:sz w:val="26"/>
        </w:rPr>
      </w:pPr>
    </w:p>
    <w:p w:rsidR="006A5287" w:rsidRDefault="004A12FE">
      <w:pPr>
        <w:pStyle w:val="ListParagraph"/>
        <w:numPr>
          <w:ilvl w:val="2"/>
          <w:numId w:val="1"/>
        </w:numPr>
        <w:tabs>
          <w:tab w:val="left" w:pos="2268"/>
          <w:tab w:val="left" w:pos="2269"/>
        </w:tabs>
        <w:ind w:hanging="1082"/>
        <w:rPr>
          <w:sz w:val="24"/>
        </w:rPr>
      </w:pPr>
      <w:r>
        <w:rPr>
          <w:sz w:val="24"/>
        </w:rPr>
        <w:t>Targeting of</w:t>
      </w:r>
      <w:r>
        <w:rPr>
          <w:spacing w:val="-2"/>
          <w:sz w:val="24"/>
        </w:rPr>
        <w:t xml:space="preserve"> </w:t>
      </w:r>
      <w:r>
        <w:rPr>
          <w:sz w:val="24"/>
        </w:rPr>
        <w:t>Māori;</w:t>
      </w:r>
    </w:p>
    <w:p w:rsidR="006A5287" w:rsidRDefault="006A5287">
      <w:pPr>
        <w:pStyle w:val="BodyText"/>
        <w:spacing w:before="7"/>
        <w:rPr>
          <w:sz w:val="26"/>
        </w:rPr>
      </w:pPr>
    </w:p>
    <w:p w:rsidR="006A5287" w:rsidRDefault="004A12FE">
      <w:pPr>
        <w:pStyle w:val="ListParagraph"/>
        <w:numPr>
          <w:ilvl w:val="2"/>
          <w:numId w:val="1"/>
        </w:numPr>
        <w:tabs>
          <w:tab w:val="left" w:pos="2234"/>
          <w:tab w:val="left" w:pos="2235"/>
        </w:tabs>
        <w:spacing w:line="278" w:lineRule="auto"/>
        <w:ind w:left="2234" w:right="329" w:hanging="1048"/>
        <w:rPr>
          <w:sz w:val="24"/>
        </w:rPr>
      </w:pPr>
      <w:r>
        <w:rPr>
          <w:sz w:val="24"/>
        </w:rPr>
        <w:t>The attitudes of decision makers towards disabled people and those with mental distress;</w:t>
      </w:r>
      <w:r>
        <w:rPr>
          <w:spacing w:val="-2"/>
          <w:sz w:val="24"/>
        </w:rPr>
        <w:t xml:space="preserve"> </w:t>
      </w:r>
      <w:r>
        <w:rPr>
          <w:sz w:val="24"/>
        </w:rPr>
        <w:t>and</w:t>
      </w:r>
    </w:p>
    <w:p w:rsidR="006A5287" w:rsidRDefault="006A5287">
      <w:pPr>
        <w:spacing w:line="278" w:lineRule="auto"/>
        <w:rPr>
          <w:sz w:val="24"/>
        </w:rPr>
        <w:sectPr w:rsidR="006A5287">
          <w:headerReference w:type="default" r:id="rId7"/>
          <w:type w:val="continuous"/>
          <w:pgSz w:w="12240" w:h="15840"/>
          <w:pgMar w:top="1560" w:right="900" w:bottom="280" w:left="900" w:header="406" w:footer="720" w:gutter="0"/>
          <w:cols w:space="720"/>
        </w:sectPr>
      </w:pPr>
    </w:p>
    <w:p w:rsidR="006A5287" w:rsidRDefault="006A5287">
      <w:pPr>
        <w:pStyle w:val="BodyText"/>
        <w:spacing w:before="6"/>
        <w:rPr>
          <w:sz w:val="12"/>
        </w:rPr>
      </w:pPr>
    </w:p>
    <w:p w:rsidR="006A5287" w:rsidRDefault="004A12FE">
      <w:pPr>
        <w:pStyle w:val="ListParagraph"/>
        <w:numPr>
          <w:ilvl w:val="2"/>
          <w:numId w:val="1"/>
        </w:numPr>
        <w:tabs>
          <w:tab w:val="left" w:pos="2268"/>
          <w:tab w:val="left" w:pos="2269"/>
        </w:tabs>
        <w:spacing w:before="52" w:line="278" w:lineRule="auto"/>
        <w:ind w:right="678" w:hanging="1082"/>
        <w:rPr>
          <w:sz w:val="24"/>
        </w:rPr>
      </w:pPr>
      <w:r>
        <w:rPr>
          <w:sz w:val="24"/>
        </w:rPr>
        <w:t>Whether, and to what extent, there was bias, discrimination or bad decision- making by agencies and faith-based institutions.</w:t>
      </w:r>
    </w:p>
    <w:p w:rsidR="006A5287" w:rsidRDefault="006A5287">
      <w:pPr>
        <w:pStyle w:val="BodyText"/>
        <w:spacing w:before="6"/>
        <w:rPr>
          <w:sz w:val="22"/>
        </w:rPr>
      </w:pPr>
    </w:p>
    <w:p w:rsidR="006A5287" w:rsidRDefault="004A12FE">
      <w:pPr>
        <w:pStyle w:val="ListParagraph"/>
        <w:numPr>
          <w:ilvl w:val="1"/>
          <w:numId w:val="1"/>
        </w:numPr>
        <w:tabs>
          <w:tab w:val="left" w:pos="1258"/>
        </w:tabs>
        <w:spacing w:line="276" w:lineRule="auto"/>
        <w:ind w:right="277"/>
        <w:rPr>
          <w:sz w:val="24"/>
        </w:rPr>
      </w:pPr>
      <w:r>
        <w:rPr>
          <w:sz w:val="24"/>
        </w:rPr>
        <w:t>What is known about the nature and extent of abuse and neglect that occurred and what is known about the impacts of such abuse on</w:t>
      </w:r>
      <w:r>
        <w:rPr>
          <w:sz w:val="24"/>
        </w:rPr>
        <w:t xml:space="preserve"> the person abused as well as their family, whanau, and community,</w:t>
      </w:r>
      <w:r>
        <w:rPr>
          <w:spacing w:val="-1"/>
          <w:sz w:val="24"/>
        </w:rPr>
        <w:t xml:space="preserve"> </w:t>
      </w:r>
      <w:r>
        <w:rPr>
          <w:sz w:val="24"/>
        </w:rPr>
        <w:t>including:</w:t>
      </w:r>
    </w:p>
    <w:p w:rsidR="006A5287" w:rsidRDefault="006A5287">
      <w:pPr>
        <w:pStyle w:val="BodyText"/>
        <w:spacing w:before="10"/>
        <w:rPr>
          <w:sz w:val="22"/>
        </w:rPr>
      </w:pPr>
    </w:p>
    <w:p w:rsidR="006A5287" w:rsidRDefault="004A12FE">
      <w:pPr>
        <w:pStyle w:val="ListParagraph"/>
        <w:numPr>
          <w:ilvl w:val="2"/>
          <w:numId w:val="1"/>
        </w:numPr>
        <w:tabs>
          <w:tab w:val="left" w:pos="2268"/>
          <w:tab w:val="left" w:pos="2269"/>
        </w:tabs>
        <w:ind w:hanging="1082"/>
        <w:rPr>
          <w:sz w:val="24"/>
        </w:rPr>
      </w:pPr>
      <w:r>
        <w:rPr>
          <w:sz w:val="24"/>
        </w:rPr>
        <w:t>What types of conduct amount to abuse and</w:t>
      </w:r>
      <w:r>
        <w:rPr>
          <w:spacing w:val="-10"/>
          <w:sz w:val="24"/>
        </w:rPr>
        <w:t xml:space="preserve"> </w:t>
      </w:r>
      <w:r>
        <w:rPr>
          <w:sz w:val="24"/>
        </w:rPr>
        <w:t>neglect;</w:t>
      </w:r>
    </w:p>
    <w:p w:rsidR="006A5287" w:rsidRDefault="006A5287">
      <w:pPr>
        <w:pStyle w:val="BodyText"/>
        <w:spacing w:before="9"/>
        <w:rPr>
          <w:sz w:val="26"/>
        </w:rPr>
      </w:pPr>
    </w:p>
    <w:p w:rsidR="006A5287" w:rsidRDefault="004A12FE">
      <w:pPr>
        <w:pStyle w:val="ListParagraph"/>
        <w:numPr>
          <w:ilvl w:val="2"/>
          <w:numId w:val="1"/>
        </w:numPr>
        <w:tabs>
          <w:tab w:val="left" w:pos="2268"/>
          <w:tab w:val="left" w:pos="2269"/>
        </w:tabs>
        <w:ind w:hanging="1082"/>
        <w:rPr>
          <w:sz w:val="24"/>
        </w:rPr>
      </w:pPr>
      <w:r>
        <w:rPr>
          <w:sz w:val="24"/>
        </w:rPr>
        <w:t>What took place and to what</w:t>
      </w:r>
      <w:r>
        <w:rPr>
          <w:spacing w:val="-6"/>
          <w:sz w:val="24"/>
        </w:rPr>
        <w:t xml:space="preserve"> </w:t>
      </w:r>
      <w:r>
        <w:rPr>
          <w:sz w:val="24"/>
        </w:rPr>
        <w:t>extent;</w:t>
      </w:r>
    </w:p>
    <w:p w:rsidR="006A5287" w:rsidRDefault="006A5287">
      <w:pPr>
        <w:pStyle w:val="BodyText"/>
        <w:spacing w:before="7"/>
        <w:rPr>
          <w:sz w:val="26"/>
        </w:rPr>
      </w:pPr>
    </w:p>
    <w:p w:rsidR="006A5287" w:rsidRDefault="004A12FE">
      <w:pPr>
        <w:pStyle w:val="ListParagraph"/>
        <w:numPr>
          <w:ilvl w:val="2"/>
          <w:numId w:val="1"/>
        </w:numPr>
        <w:tabs>
          <w:tab w:val="left" w:pos="2268"/>
          <w:tab w:val="left" w:pos="2269"/>
        </w:tabs>
        <w:ind w:hanging="1082"/>
        <w:rPr>
          <w:sz w:val="24"/>
        </w:rPr>
      </w:pPr>
      <w:r>
        <w:rPr>
          <w:sz w:val="24"/>
        </w:rPr>
        <w:t>Different treatment of women and girls and men and</w:t>
      </w:r>
      <w:r>
        <w:rPr>
          <w:spacing w:val="-10"/>
          <w:sz w:val="24"/>
        </w:rPr>
        <w:t xml:space="preserve"> </w:t>
      </w:r>
      <w:r>
        <w:rPr>
          <w:sz w:val="24"/>
        </w:rPr>
        <w:t>boys;</w:t>
      </w:r>
    </w:p>
    <w:p w:rsidR="006A5287" w:rsidRDefault="006A5287">
      <w:pPr>
        <w:pStyle w:val="BodyText"/>
        <w:spacing w:before="6"/>
        <w:rPr>
          <w:sz w:val="26"/>
        </w:rPr>
      </w:pPr>
    </w:p>
    <w:p w:rsidR="006A5287" w:rsidRDefault="004A12FE">
      <w:pPr>
        <w:pStyle w:val="ListParagraph"/>
        <w:numPr>
          <w:ilvl w:val="2"/>
          <w:numId w:val="1"/>
        </w:numPr>
        <w:tabs>
          <w:tab w:val="left" w:pos="2268"/>
          <w:tab w:val="left" w:pos="2269"/>
        </w:tabs>
        <w:ind w:hanging="1082"/>
        <w:rPr>
          <w:sz w:val="24"/>
        </w:rPr>
      </w:pPr>
      <w:r>
        <w:rPr>
          <w:sz w:val="24"/>
        </w:rPr>
        <w:t>Long-term effects on future</w:t>
      </w:r>
      <w:r>
        <w:rPr>
          <w:spacing w:val="-4"/>
          <w:sz w:val="24"/>
        </w:rPr>
        <w:t xml:space="preserve"> </w:t>
      </w:r>
      <w:r>
        <w:rPr>
          <w:sz w:val="24"/>
        </w:rPr>
        <w:t>ge</w:t>
      </w:r>
      <w:r>
        <w:rPr>
          <w:sz w:val="24"/>
        </w:rPr>
        <w:t>nerations;</w:t>
      </w:r>
    </w:p>
    <w:p w:rsidR="006A5287" w:rsidRDefault="006A5287">
      <w:pPr>
        <w:pStyle w:val="BodyText"/>
        <w:spacing w:before="7"/>
        <w:rPr>
          <w:sz w:val="26"/>
        </w:rPr>
      </w:pPr>
    </w:p>
    <w:p w:rsidR="006A5287" w:rsidRDefault="004A12FE">
      <w:pPr>
        <w:pStyle w:val="ListParagraph"/>
        <w:numPr>
          <w:ilvl w:val="1"/>
          <w:numId w:val="1"/>
        </w:numPr>
        <w:tabs>
          <w:tab w:val="left" w:pos="1258"/>
        </w:tabs>
        <w:spacing w:line="276" w:lineRule="auto"/>
        <w:ind w:right="871"/>
        <w:rPr>
          <w:sz w:val="24"/>
        </w:rPr>
      </w:pPr>
      <w:r>
        <w:rPr>
          <w:sz w:val="24"/>
        </w:rPr>
        <w:t xml:space="preserve">The personal, cultural, societal, economic and inter-generational impacts of abuse on </w:t>
      </w:r>
      <w:proofErr w:type="gramStart"/>
      <w:r>
        <w:rPr>
          <w:sz w:val="24"/>
        </w:rPr>
        <w:t>particular groups</w:t>
      </w:r>
      <w:proofErr w:type="gramEnd"/>
      <w:r>
        <w:rPr>
          <w:spacing w:val="-2"/>
          <w:sz w:val="24"/>
        </w:rPr>
        <w:t xml:space="preserve"> </w:t>
      </w:r>
      <w:r>
        <w:rPr>
          <w:sz w:val="24"/>
        </w:rPr>
        <w:t>including:</w:t>
      </w:r>
    </w:p>
    <w:p w:rsidR="006A5287" w:rsidRDefault="006A5287">
      <w:pPr>
        <w:pStyle w:val="BodyText"/>
        <w:spacing w:before="10"/>
        <w:rPr>
          <w:sz w:val="22"/>
        </w:rPr>
      </w:pPr>
    </w:p>
    <w:p w:rsidR="006A5287" w:rsidRDefault="004A12FE">
      <w:pPr>
        <w:pStyle w:val="ListParagraph"/>
        <w:numPr>
          <w:ilvl w:val="2"/>
          <w:numId w:val="1"/>
        </w:numPr>
        <w:tabs>
          <w:tab w:val="left" w:pos="2268"/>
          <w:tab w:val="left" w:pos="2269"/>
        </w:tabs>
        <w:spacing w:before="1"/>
        <w:ind w:hanging="1082"/>
        <w:rPr>
          <w:sz w:val="24"/>
        </w:rPr>
      </w:pPr>
      <w:r>
        <w:rPr>
          <w:sz w:val="24"/>
        </w:rPr>
        <w:t>Survivors of state-based, psychiatric, and faith-based</w:t>
      </w:r>
      <w:r>
        <w:rPr>
          <w:spacing w:val="-5"/>
          <w:sz w:val="24"/>
        </w:rPr>
        <w:t xml:space="preserve"> </w:t>
      </w:r>
      <w:r>
        <w:rPr>
          <w:sz w:val="24"/>
        </w:rPr>
        <w:t>care;</w:t>
      </w:r>
    </w:p>
    <w:p w:rsidR="006A5287" w:rsidRDefault="006A5287">
      <w:pPr>
        <w:pStyle w:val="BodyText"/>
        <w:spacing w:before="6"/>
        <w:rPr>
          <w:sz w:val="26"/>
        </w:rPr>
      </w:pPr>
    </w:p>
    <w:p w:rsidR="006A5287" w:rsidRDefault="004A12FE">
      <w:pPr>
        <w:pStyle w:val="ListParagraph"/>
        <w:numPr>
          <w:ilvl w:val="2"/>
          <w:numId w:val="1"/>
        </w:numPr>
        <w:tabs>
          <w:tab w:val="left" w:pos="2268"/>
          <w:tab w:val="left" w:pos="2269"/>
        </w:tabs>
        <w:ind w:hanging="1082"/>
        <w:rPr>
          <w:sz w:val="24"/>
        </w:rPr>
      </w:pPr>
      <w:r>
        <w:rPr>
          <w:sz w:val="24"/>
        </w:rPr>
        <w:t>Māori;</w:t>
      </w:r>
    </w:p>
    <w:p w:rsidR="006A5287" w:rsidRDefault="006A5287">
      <w:pPr>
        <w:pStyle w:val="BodyText"/>
        <w:spacing w:before="6"/>
        <w:rPr>
          <w:sz w:val="26"/>
        </w:rPr>
      </w:pPr>
    </w:p>
    <w:p w:rsidR="006A5287" w:rsidRDefault="004A12FE">
      <w:pPr>
        <w:pStyle w:val="ListParagraph"/>
        <w:numPr>
          <w:ilvl w:val="2"/>
          <w:numId w:val="1"/>
        </w:numPr>
        <w:tabs>
          <w:tab w:val="left" w:pos="2268"/>
          <w:tab w:val="left" w:pos="2269"/>
        </w:tabs>
        <w:ind w:hanging="1082"/>
        <w:rPr>
          <w:sz w:val="24"/>
        </w:rPr>
      </w:pPr>
      <w:r>
        <w:rPr>
          <w:sz w:val="24"/>
        </w:rPr>
        <w:t>Pasifika;</w:t>
      </w:r>
    </w:p>
    <w:p w:rsidR="006A5287" w:rsidRDefault="006A5287">
      <w:pPr>
        <w:pStyle w:val="BodyText"/>
        <w:spacing w:before="7"/>
        <w:rPr>
          <w:sz w:val="26"/>
        </w:rPr>
      </w:pPr>
    </w:p>
    <w:p w:rsidR="006A5287" w:rsidRDefault="004A12FE">
      <w:pPr>
        <w:pStyle w:val="ListParagraph"/>
        <w:numPr>
          <w:ilvl w:val="2"/>
          <w:numId w:val="1"/>
        </w:numPr>
        <w:tabs>
          <w:tab w:val="left" w:pos="2268"/>
          <w:tab w:val="left" w:pos="2269"/>
        </w:tabs>
        <w:ind w:hanging="1082"/>
        <w:rPr>
          <w:sz w:val="24"/>
        </w:rPr>
      </w:pPr>
      <w:r>
        <w:rPr>
          <w:sz w:val="24"/>
        </w:rPr>
        <w:t>Disabled people;</w:t>
      </w:r>
      <w:r>
        <w:rPr>
          <w:spacing w:val="-3"/>
          <w:sz w:val="24"/>
        </w:rPr>
        <w:t xml:space="preserve"> </w:t>
      </w:r>
      <w:r>
        <w:rPr>
          <w:sz w:val="24"/>
        </w:rPr>
        <w:t>and</w:t>
      </w:r>
    </w:p>
    <w:p w:rsidR="006A5287" w:rsidRDefault="006A5287">
      <w:pPr>
        <w:pStyle w:val="BodyText"/>
        <w:spacing w:before="6"/>
        <w:rPr>
          <w:sz w:val="26"/>
        </w:rPr>
      </w:pPr>
    </w:p>
    <w:p w:rsidR="006A5287" w:rsidRDefault="004A12FE">
      <w:pPr>
        <w:pStyle w:val="ListParagraph"/>
        <w:numPr>
          <w:ilvl w:val="2"/>
          <w:numId w:val="1"/>
        </w:numPr>
        <w:tabs>
          <w:tab w:val="left" w:pos="2268"/>
          <w:tab w:val="left" w:pos="2269"/>
        </w:tabs>
        <w:ind w:hanging="1082"/>
        <w:rPr>
          <w:sz w:val="24"/>
        </w:rPr>
      </w:pPr>
      <w:r>
        <w:rPr>
          <w:sz w:val="24"/>
        </w:rPr>
        <w:t>The LGBTQI</w:t>
      </w:r>
      <w:r>
        <w:rPr>
          <w:spacing w:val="1"/>
          <w:sz w:val="24"/>
        </w:rPr>
        <w:t xml:space="preserve"> </w:t>
      </w:r>
      <w:r>
        <w:rPr>
          <w:sz w:val="24"/>
        </w:rPr>
        <w:t>community.</w:t>
      </w:r>
    </w:p>
    <w:p w:rsidR="006A5287" w:rsidRDefault="006A5287">
      <w:pPr>
        <w:pStyle w:val="BodyText"/>
        <w:spacing w:before="7"/>
        <w:rPr>
          <w:sz w:val="26"/>
        </w:rPr>
      </w:pPr>
    </w:p>
    <w:p w:rsidR="006A5287" w:rsidRDefault="004A12FE">
      <w:pPr>
        <w:pStyle w:val="ListParagraph"/>
        <w:numPr>
          <w:ilvl w:val="1"/>
          <w:numId w:val="1"/>
        </w:numPr>
        <w:tabs>
          <w:tab w:val="left" w:pos="1258"/>
        </w:tabs>
        <w:spacing w:line="278" w:lineRule="auto"/>
        <w:ind w:right="1228"/>
        <w:rPr>
          <w:sz w:val="24"/>
        </w:rPr>
      </w:pPr>
      <w:r>
        <w:rPr>
          <w:sz w:val="24"/>
        </w:rPr>
        <w:t>The</w:t>
      </w:r>
      <w:r>
        <w:rPr>
          <w:spacing w:val="-2"/>
          <w:sz w:val="24"/>
        </w:rPr>
        <w:t xml:space="preserve"> </w:t>
      </w:r>
      <w:r>
        <w:rPr>
          <w:sz w:val="24"/>
        </w:rPr>
        <w:t>systemic</w:t>
      </w:r>
      <w:r>
        <w:rPr>
          <w:spacing w:val="-2"/>
          <w:sz w:val="24"/>
        </w:rPr>
        <w:t xml:space="preserve"> </w:t>
      </w:r>
      <w:r>
        <w:rPr>
          <w:sz w:val="24"/>
        </w:rPr>
        <w:t>factors</w:t>
      </w:r>
      <w:r>
        <w:rPr>
          <w:spacing w:val="-5"/>
          <w:sz w:val="24"/>
        </w:rPr>
        <w:t xml:space="preserve"> </w:t>
      </w:r>
      <w:r>
        <w:rPr>
          <w:sz w:val="24"/>
        </w:rPr>
        <w:t>that</w:t>
      </w:r>
      <w:r>
        <w:rPr>
          <w:spacing w:val="-3"/>
          <w:sz w:val="24"/>
        </w:rPr>
        <w:t xml:space="preserve"> </w:t>
      </w:r>
      <w:r>
        <w:rPr>
          <w:sz w:val="24"/>
        </w:rPr>
        <w:t>led</w:t>
      </w:r>
      <w:r>
        <w:rPr>
          <w:spacing w:val="-3"/>
          <w:sz w:val="24"/>
        </w:rPr>
        <w:t xml:space="preserve"> </w:t>
      </w:r>
      <w:r>
        <w:rPr>
          <w:sz w:val="24"/>
        </w:rPr>
        <w:t>to</w:t>
      </w:r>
      <w:r>
        <w:rPr>
          <w:spacing w:val="-4"/>
          <w:sz w:val="24"/>
        </w:rPr>
        <w:t xml:space="preserve"> </w:t>
      </w:r>
      <w:r>
        <w:rPr>
          <w:sz w:val="24"/>
        </w:rPr>
        <w:t>environments</w:t>
      </w:r>
      <w:r>
        <w:rPr>
          <w:spacing w:val="-4"/>
          <w:sz w:val="24"/>
        </w:rPr>
        <w:t xml:space="preserve"> </w:t>
      </w:r>
      <w:r>
        <w:rPr>
          <w:sz w:val="24"/>
        </w:rPr>
        <w:t>that</w:t>
      </w:r>
      <w:r>
        <w:rPr>
          <w:spacing w:val="-2"/>
          <w:sz w:val="24"/>
        </w:rPr>
        <w:t xml:space="preserve"> </w:t>
      </w:r>
      <w:r>
        <w:rPr>
          <w:sz w:val="24"/>
        </w:rPr>
        <w:t>allowed</w:t>
      </w:r>
      <w:r>
        <w:rPr>
          <w:spacing w:val="-1"/>
          <w:sz w:val="24"/>
        </w:rPr>
        <w:t xml:space="preserve"> </w:t>
      </w:r>
      <w:r>
        <w:rPr>
          <w:sz w:val="24"/>
        </w:rPr>
        <w:t>abuse</w:t>
      </w:r>
      <w:r>
        <w:rPr>
          <w:spacing w:val="-5"/>
          <w:sz w:val="24"/>
        </w:rPr>
        <w:t xml:space="preserve"> </w:t>
      </w:r>
      <w:r>
        <w:rPr>
          <w:sz w:val="24"/>
        </w:rPr>
        <w:t>to</w:t>
      </w:r>
      <w:r>
        <w:rPr>
          <w:spacing w:val="-4"/>
          <w:sz w:val="24"/>
        </w:rPr>
        <w:t xml:space="preserve"> </w:t>
      </w:r>
      <w:r>
        <w:rPr>
          <w:sz w:val="24"/>
        </w:rPr>
        <w:t>occur</w:t>
      </w:r>
      <w:r>
        <w:rPr>
          <w:spacing w:val="-4"/>
          <w:sz w:val="24"/>
        </w:rPr>
        <w:t xml:space="preserve"> </w:t>
      </w:r>
      <w:r>
        <w:rPr>
          <w:sz w:val="24"/>
        </w:rPr>
        <w:t>and</w:t>
      </w:r>
      <w:r>
        <w:rPr>
          <w:spacing w:val="-2"/>
          <w:sz w:val="24"/>
        </w:rPr>
        <w:t xml:space="preserve"> </w:t>
      </w:r>
      <w:r>
        <w:rPr>
          <w:sz w:val="24"/>
        </w:rPr>
        <w:t>go unchallenged.</w:t>
      </w:r>
    </w:p>
    <w:p w:rsidR="006A5287" w:rsidRDefault="006A5287">
      <w:pPr>
        <w:pStyle w:val="BodyText"/>
        <w:spacing w:before="7"/>
        <w:rPr>
          <w:sz w:val="22"/>
        </w:rPr>
      </w:pPr>
    </w:p>
    <w:p w:rsidR="006A5287" w:rsidRDefault="004A12FE">
      <w:pPr>
        <w:pStyle w:val="ListParagraph"/>
        <w:numPr>
          <w:ilvl w:val="1"/>
          <w:numId w:val="1"/>
        </w:numPr>
        <w:tabs>
          <w:tab w:val="left" w:pos="1258"/>
        </w:tabs>
        <w:spacing w:line="276" w:lineRule="auto"/>
        <w:ind w:right="490"/>
        <w:rPr>
          <w:sz w:val="24"/>
        </w:rPr>
      </w:pPr>
      <w:r>
        <w:rPr>
          <w:sz w:val="24"/>
        </w:rPr>
        <w:t>Changes</w:t>
      </w:r>
      <w:r>
        <w:rPr>
          <w:spacing w:val="-4"/>
          <w:sz w:val="24"/>
        </w:rPr>
        <w:t xml:space="preserve"> </w:t>
      </w:r>
      <w:r>
        <w:rPr>
          <w:sz w:val="24"/>
        </w:rPr>
        <w:t>that</w:t>
      </w:r>
      <w:r>
        <w:rPr>
          <w:spacing w:val="-1"/>
          <w:sz w:val="24"/>
        </w:rPr>
        <w:t xml:space="preserve"> </w:t>
      </w:r>
      <w:r>
        <w:rPr>
          <w:sz w:val="24"/>
        </w:rPr>
        <w:t>were</w:t>
      </w:r>
      <w:r>
        <w:rPr>
          <w:spacing w:val="-4"/>
          <w:sz w:val="24"/>
        </w:rPr>
        <w:t xml:space="preserve"> </w:t>
      </w:r>
      <w:r>
        <w:rPr>
          <w:sz w:val="24"/>
        </w:rPr>
        <w:t>made</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years</w:t>
      </w:r>
      <w:r>
        <w:rPr>
          <w:spacing w:val="-2"/>
          <w:sz w:val="24"/>
        </w:rPr>
        <w:t xml:space="preserve"> </w:t>
      </w:r>
      <w:r>
        <w:rPr>
          <w:sz w:val="24"/>
        </w:rPr>
        <w:t>in</w:t>
      </w:r>
      <w:r>
        <w:rPr>
          <w:spacing w:val="-1"/>
          <w:sz w:val="24"/>
        </w:rPr>
        <w:t xml:space="preserve"> </w:t>
      </w:r>
      <w:r>
        <w:rPr>
          <w:sz w:val="24"/>
        </w:rPr>
        <w:t>response</w:t>
      </w:r>
      <w:r>
        <w:rPr>
          <w:spacing w:val="-2"/>
          <w:sz w:val="24"/>
        </w:rPr>
        <w:t xml:space="preserve"> </w:t>
      </w:r>
      <w:r>
        <w:rPr>
          <w:sz w:val="24"/>
        </w:rPr>
        <w:t>to</w:t>
      </w:r>
      <w:r>
        <w:rPr>
          <w:spacing w:val="-4"/>
          <w:sz w:val="24"/>
        </w:rPr>
        <w:t xml:space="preserve"> </w:t>
      </w:r>
      <w:r>
        <w:rPr>
          <w:sz w:val="24"/>
        </w:rPr>
        <w:t>abuse</w:t>
      </w:r>
      <w:r>
        <w:rPr>
          <w:spacing w:val="-2"/>
          <w:sz w:val="24"/>
        </w:rPr>
        <w:t xml:space="preserve"> </w:t>
      </w:r>
      <w:r>
        <w:rPr>
          <w:sz w:val="24"/>
        </w:rPr>
        <w:t>and</w:t>
      </w:r>
      <w:r>
        <w:rPr>
          <w:spacing w:val="-3"/>
          <w:sz w:val="24"/>
        </w:rPr>
        <w:t xml:space="preserve"> </w:t>
      </w:r>
      <w:r>
        <w:rPr>
          <w:sz w:val="24"/>
        </w:rPr>
        <w:t>neglect,</w:t>
      </w:r>
      <w:r>
        <w:rPr>
          <w:spacing w:val="-4"/>
          <w:sz w:val="24"/>
        </w:rPr>
        <w:t xml:space="preserve"> </w:t>
      </w:r>
      <w:r>
        <w:rPr>
          <w:sz w:val="24"/>
        </w:rPr>
        <w:t>including</w:t>
      </w:r>
      <w:r>
        <w:rPr>
          <w:spacing w:val="-2"/>
          <w:sz w:val="24"/>
        </w:rPr>
        <w:t xml:space="preserve"> </w:t>
      </w:r>
      <w:r>
        <w:rPr>
          <w:sz w:val="24"/>
        </w:rPr>
        <w:t>laws, rules and efforts to monitor places where care is</w:t>
      </w:r>
      <w:r>
        <w:rPr>
          <w:spacing w:val="-5"/>
          <w:sz w:val="24"/>
        </w:rPr>
        <w:t xml:space="preserve"> </w:t>
      </w:r>
      <w:r>
        <w:rPr>
          <w:sz w:val="24"/>
        </w:rPr>
        <w:t>provided.</w:t>
      </w:r>
    </w:p>
    <w:p w:rsidR="006A5287" w:rsidRDefault="006A5287">
      <w:pPr>
        <w:pStyle w:val="BodyText"/>
        <w:spacing w:before="11"/>
        <w:rPr>
          <w:sz w:val="22"/>
        </w:rPr>
      </w:pPr>
    </w:p>
    <w:p w:rsidR="006A5287" w:rsidRDefault="004A12FE">
      <w:pPr>
        <w:pStyle w:val="ListParagraph"/>
        <w:numPr>
          <w:ilvl w:val="1"/>
          <w:numId w:val="1"/>
        </w:numPr>
        <w:tabs>
          <w:tab w:val="left" w:pos="1258"/>
        </w:tabs>
        <w:spacing w:line="276" w:lineRule="auto"/>
        <w:ind w:right="523"/>
        <w:rPr>
          <w:sz w:val="24"/>
        </w:rPr>
      </w:pPr>
      <w:r>
        <w:rPr>
          <w:sz w:val="24"/>
        </w:rPr>
        <w:t>The systems (government departments, faith-based institutions, mechanisms, policies, legislation, processes, lack of funding) that have been put in place to respond to abuse in care and how well are the current systems for redress and rehabilitation</w:t>
      </w:r>
      <w:r>
        <w:rPr>
          <w:spacing w:val="-14"/>
          <w:sz w:val="24"/>
        </w:rPr>
        <w:t xml:space="preserve"> </w:t>
      </w:r>
      <w:r>
        <w:rPr>
          <w:sz w:val="24"/>
        </w:rPr>
        <w:t>workin</w:t>
      </w:r>
      <w:r>
        <w:rPr>
          <w:sz w:val="24"/>
        </w:rPr>
        <w:t>g.</w:t>
      </w:r>
    </w:p>
    <w:p w:rsidR="006A5287" w:rsidRDefault="006A5287">
      <w:pPr>
        <w:pStyle w:val="BodyText"/>
        <w:rPr>
          <w:sz w:val="23"/>
        </w:rPr>
      </w:pPr>
    </w:p>
    <w:p w:rsidR="006A5287" w:rsidRDefault="004A12FE">
      <w:pPr>
        <w:pStyle w:val="ListParagraph"/>
        <w:numPr>
          <w:ilvl w:val="0"/>
          <w:numId w:val="1"/>
        </w:numPr>
        <w:tabs>
          <w:tab w:val="left" w:pos="827"/>
        </w:tabs>
        <w:jc w:val="left"/>
        <w:rPr>
          <w:sz w:val="24"/>
        </w:rPr>
      </w:pPr>
      <w:r>
        <w:rPr>
          <w:sz w:val="24"/>
        </w:rPr>
        <w:t>As part of the investigation, the Inquiry will</w:t>
      </w:r>
      <w:r>
        <w:rPr>
          <w:spacing w:val="-8"/>
          <w:sz w:val="24"/>
        </w:rPr>
        <w:t xml:space="preserve"> </w:t>
      </w:r>
      <w:r>
        <w:rPr>
          <w:sz w:val="24"/>
        </w:rPr>
        <w:t>consider:</w:t>
      </w:r>
    </w:p>
    <w:p w:rsidR="006A5287" w:rsidRDefault="006A5287">
      <w:pPr>
        <w:pStyle w:val="BodyText"/>
        <w:spacing w:before="6"/>
        <w:rPr>
          <w:sz w:val="26"/>
        </w:rPr>
      </w:pPr>
    </w:p>
    <w:p w:rsidR="006A5287" w:rsidRDefault="004A12FE">
      <w:pPr>
        <w:pStyle w:val="ListParagraph"/>
        <w:numPr>
          <w:ilvl w:val="1"/>
          <w:numId w:val="1"/>
        </w:numPr>
        <w:tabs>
          <w:tab w:val="left" w:pos="1258"/>
        </w:tabs>
        <w:rPr>
          <w:sz w:val="24"/>
        </w:rPr>
      </w:pPr>
      <w:r>
        <w:rPr>
          <w:sz w:val="24"/>
        </w:rPr>
        <w:t>How care can be transformed so that abuse can never happen</w:t>
      </w:r>
      <w:r>
        <w:rPr>
          <w:spacing w:val="-4"/>
          <w:sz w:val="24"/>
        </w:rPr>
        <w:t xml:space="preserve"> </w:t>
      </w:r>
      <w:r>
        <w:rPr>
          <w:sz w:val="24"/>
        </w:rPr>
        <w:t>again.</w:t>
      </w:r>
    </w:p>
    <w:sectPr w:rsidR="006A5287">
      <w:pgSz w:w="12240" w:h="15840"/>
      <w:pgMar w:top="1560" w:right="900" w:bottom="280" w:left="900" w:header="4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A12FE">
      <w:r>
        <w:separator/>
      </w:r>
    </w:p>
  </w:endnote>
  <w:endnote w:type="continuationSeparator" w:id="0">
    <w:p w:rsidR="00000000" w:rsidRDefault="004A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A12FE">
      <w:r>
        <w:separator/>
      </w:r>
    </w:p>
  </w:footnote>
  <w:footnote w:type="continuationSeparator" w:id="0">
    <w:p w:rsidR="00000000" w:rsidRDefault="004A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287" w:rsidRDefault="004A12FE">
    <w:pPr>
      <w:pStyle w:val="BodyText"/>
      <w:spacing w:line="14" w:lineRule="auto"/>
      <w:rPr>
        <w:sz w:val="20"/>
      </w:rPr>
    </w:pPr>
    <w:r>
      <w:rPr>
        <w:noProof/>
      </w:rPr>
      <w:drawing>
        <wp:anchor distT="0" distB="0" distL="0" distR="0" simplePos="0" relativeHeight="268432031" behindDoc="1" locked="0" layoutInCell="1" allowOverlap="1">
          <wp:simplePos x="0" y="0"/>
          <wp:positionH relativeFrom="page">
            <wp:posOffset>4367034</wp:posOffset>
          </wp:positionH>
          <wp:positionV relativeFrom="page">
            <wp:posOffset>257809</wp:posOffset>
          </wp:positionV>
          <wp:extent cx="2707109" cy="66278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07109" cy="6627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564C5"/>
    <w:multiLevelType w:val="multilevel"/>
    <w:tmpl w:val="402C5906"/>
    <w:lvl w:ilvl="0">
      <w:start w:val="1"/>
      <w:numFmt w:val="decimal"/>
      <w:lvlText w:val="%1."/>
      <w:lvlJc w:val="left"/>
      <w:pPr>
        <w:ind w:left="826" w:hanging="361"/>
        <w:jc w:val="right"/>
      </w:pPr>
      <w:rPr>
        <w:rFonts w:ascii="Calibri" w:eastAsia="Calibri" w:hAnsi="Calibri" w:cs="Calibri" w:hint="default"/>
        <w:spacing w:val="-5"/>
        <w:w w:val="100"/>
        <w:sz w:val="24"/>
        <w:szCs w:val="24"/>
        <w:lang w:val="en-NZ" w:eastAsia="en-NZ" w:bidi="en-NZ"/>
      </w:rPr>
    </w:lvl>
    <w:lvl w:ilvl="1">
      <w:start w:val="1"/>
      <w:numFmt w:val="decimal"/>
      <w:lvlText w:val="%1.%2."/>
      <w:lvlJc w:val="left"/>
      <w:pPr>
        <w:ind w:left="1258" w:hanging="432"/>
        <w:jc w:val="left"/>
      </w:pPr>
      <w:rPr>
        <w:rFonts w:ascii="Calibri" w:eastAsia="Calibri" w:hAnsi="Calibri" w:cs="Calibri" w:hint="default"/>
        <w:w w:val="100"/>
        <w:sz w:val="24"/>
        <w:szCs w:val="24"/>
        <w:lang w:val="en-NZ" w:eastAsia="en-NZ" w:bidi="en-NZ"/>
      </w:rPr>
    </w:lvl>
    <w:lvl w:ilvl="2">
      <w:start w:val="1"/>
      <w:numFmt w:val="decimal"/>
      <w:lvlText w:val="%1.%2.%3."/>
      <w:lvlJc w:val="left"/>
      <w:pPr>
        <w:ind w:left="2268" w:hanging="1083"/>
        <w:jc w:val="left"/>
      </w:pPr>
      <w:rPr>
        <w:rFonts w:ascii="Calibri" w:eastAsia="Calibri" w:hAnsi="Calibri" w:cs="Calibri" w:hint="default"/>
        <w:spacing w:val="-3"/>
        <w:w w:val="100"/>
        <w:sz w:val="24"/>
        <w:szCs w:val="24"/>
        <w:lang w:val="en-NZ" w:eastAsia="en-NZ" w:bidi="en-NZ"/>
      </w:rPr>
    </w:lvl>
    <w:lvl w:ilvl="3">
      <w:numFmt w:val="bullet"/>
      <w:lvlText w:val="•"/>
      <w:lvlJc w:val="left"/>
      <w:pPr>
        <w:ind w:left="3282" w:hanging="1083"/>
      </w:pPr>
      <w:rPr>
        <w:rFonts w:hint="default"/>
        <w:lang w:val="en-NZ" w:eastAsia="en-NZ" w:bidi="en-NZ"/>
      </w:rPr>
    </w:lvl>
    <w:lvl w:ilvl="4">
      <w:numFmt w:val="bullet"/>
      <w:lvlText w:val="•"/>
      <w:lvlJc w:val="left"/>
      <w:pPr>
        <w:ind w:left="4305" w:hanging="1083"/>
      </w:pPr>
      <w:rPr>
        <w:rFonts w:hint="default"/>
        <w:lang w:val="en-NZ" w:eastAsia="en-NZ" w:bidi="en-NZ"/>
      </w:rPr>
    </w:lvl>
    <w:lvl w:ilvl="5">
      <w:numFmt w:val="bullet"/>
      <w:lvlText w:val="•"/>
      <w:lvlJc w:val="left"/>
      <w:pPr>
        <w:ind w:left="5327" w:hanging="1083"/>
      </w:pPr>
      <w:rPr>
        <w:rFonts w:hint="default"/>
        <w:lang w:val="en-NZ" w:eastAsia="en-NZ" w:bidi="en-NZ"/>
      </w:rPr>
    </w:lvl>
    <w:lvl w:ilvl="6">
      <w:numFmt w:val="bullet"/>
      <w:lvlText w:val="•"/>
      <w:lvlJc w:val="left"/>
      <w:pPr>
        <w:ind w:left="6350" w:hanging="1083"/>
      </w:pPr>
      <w:rPr>
        <w:rFonts w:hint="default"/>
        <w:lang w:val="en-NZ" w:eastAsia="en-NZ" w:bidi="en-NZ"/>
      </w:rPr>
    </w:lvl>
    <w:lvl w:ilvl="7">
      <w:numFmt w:val="bullet"/>
      <w:lvlText w:val="•"/>
      <w:lvlJc w:val="left"/>
      <w:pPr>
        <w:ind w:left="7372" w:hanging="1083"/>
      </w:pPr>
      <w:rPr>
        <w:rFonts w:hint="default"/>
        <w:lang w:val="en-NZ" w:eastAsia="en-NZ" w:bidi="en-NZ"/>
      </w:rPr>
    </w:lvl>
    <w:lvl w:ilvl="8">
      <w:numFmt w:val="bullet"/>
      <w:lvlText w:val="•"/>
      <w:lvlJc w:val="left"/>
      <w:pPr>
        <w:ind w:left="8395" w:hanging="1083"/>
      </w:pPr>
      <w:rPr>
        <w:rFonts w:hint="default"/>
        <w:lang w:val="en-NZ" w:eastAsia="en-NZ" w:bidi="en-N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A5287"/>
    <w:rsid w:val="004A12FE"/>
    <w:rsid w:val="006A52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925FE-C3D1-4BF5-AEFD-F5BC7A74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NZ" w:eastAsia="en-NZ" w:bidi="en-NZ"/>
    </w:rPr>
  </w:style>
  <w:style w:type="paragraph" w:styleId="Heading1">
    <w:name w:val="heading 1"/>
    <w:basedOn w:val="Normal"/>
    <w:uiPriority w:val="9"/>
    <w:qFormat/>
    <w:pPr>
      <w:spacing w:before="40"/>
      <w:ind w:left="3199"/>
      <w:outlineLvl w:val="0"/>
    </w:pPr>
    <w:rPr>
      <w:b/>
      <w:bCs/>
      <w:sz w:val="30"/>
      <w:szCs w:val="30"/>
    </w:rPr>
  </w:style>
  <w:style w:type="paragraph" w:styleId="Heading2">
    <w:name w:val="heading 2"/>
    <w:basedOn w:val="Normal"/>
    <w:uiPriority w:val="9"/>
    <w:unhideWhenUsed/>
    <w:qFormat/>
    <w:pPr>
      <w:ind w:left="1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8" w:hanging="10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Spelman</dc:creator>
  <cp:lastModifiedBy>Campbell Hawkins</cp:lastModifiedBy>
  <cp:revision>2</cp:revision>
  <dcterms:created xsi:type="dcterms:W3CDTF">2019-09-30T00:01:00Z</dcterms:created>
  <dcterms:modified xsi:type="dcterms:W3CDTF">2019-09-30T00:01:00Z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Microsoft® Word for Office 365</vt:lpwstr>
  </property>
  <property fmtid="{D5CDD505-2E9C-101B-9397-08002B2CF9AE}" pid="4" name="LastSaved">
    <vt:filetime>2019-09-29T00:00:00Z</vt:filetime>
  </property>
</Properties>
</file>