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C11D7" w14:textId="423B2204" w:rsidR="00010D54" w:rsidRDefault="00010D54" w:rsidP="00010D54">
      <w:pPr>
        <w:ind w:left="567"/>
        <w:rPr>
          <w:b/>
          <w:bCs/>
        </w:rPr>
      </w:pPr>
      <w:bookmarkStart w:id="0" w:name="_GoBack"/>
      <w:bookmarkEnd w:id="0"/>
      <w:r>
        <w:rPr>
          <w:b/>
          <w:bCs/>
          <w:noProof/>
        </w:rPr>
        <w:drawing>
          <wp:inline distT="0" distB="0" distL="0" distR="0" wp14:anchorId="7194D382" wp14:editId="499582C4">
            <wp:extent cx="5731510" cy="3223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Logo White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260"/>
                    </a:xfrm>
                    <a:prstGeom prst="rect">
                      <a:avLst/>
                    </a:prstGeom>
                  </pic:spPr>
                </pic:pic>
              </a:graphicData>
            </a:graphic>
          </wp:inline>
        </w:drawing>
      </w:r>
    </w:p>
    <w:p w14:paraId="2686298E" w14:textId="4D85346B" w:rsidR="00010D54" w:rsidRDefault="00010D54" w:rsidP="00010D54">
      <w:pPr>
        <w:ind w:left="567"/>
        <w:rPr>
          <w:b/>
          <w:bCs/>
        </w:rPr>
      </w:pPr>
    </w:p>
    <w:p w14:paraId="62A97D7E" w14:textId="248151AB" w:rsidR="00010D54" w:rsidRDefault="00010D54" w:rsidP="00010D54">
      <w:pPr>
        <w:ind w:left="567"/>
        <w:rPr>
          <w:b/>
          <w:bCs/>
        </w:rPr>
      </w:pPr>
      <w:r>
        <w:rPr>
          <w:b/>
          <w:bCs/>
        </w:rPr>
        <w:t>_____________________________________________________________________________</w:t>
      </w:r>
    </w:p>
    <w:p w14:paraId="67A8B06D" w14:textId="77777777" w:rsidR="00010D54" w:rsidRDefault="00010D54" w:rsidP="00010D54">
      <w:pPr>
        <w:ind w:left="567"/>
        <w:rPr>
          <w:b/>
          <w:bCs/>
        </w:rPr>
      </w:pPr>
    </w:p>
    <w:p w14:paraId="26CBA1FE" w14:textId="71176371" w:rsidR="005C409F" w:rsidRDefault="0083618B" w:rsidP="00010D54">
      <w:pPr>
        <w:ind w:left="567"/>
        <w:jc w:val="center"/>
        <w:rPr>
          <w:rFonts w:ascii="Arial" w:hAnsi="Arial" w:cs="Arial"/>
          <w:b/>
          <w:bCs/>
          <w:sz w:val="24"/>
          <w:szCs w:val="24"/>
        </w:rPr>
      </w:pPr>
      <w:r>
        <w:rPr>
          <w:rFonts w:ascii="Arial" w:hAnsi="Arial" w:cs="Arial"/>
          <w:b/>
          <w:bCs/>
          <w:sz w:val="24"/>
          <w:szCs w:val="24"/>
        </w:rPr>
        <w:t xml:space="preserve">PUBLIC </w:t>
      </w:r>
      <w:r w:rsidR="00010D54" w:rsidRPr="0083618B">
        <w:rPr>
          <w:rFonts w:ascii="Arial" w:hAnsi="Arial" w:cs="Arial"/>
          <w:b/>
          <w:bCs/>
          <w:sz w:val="24"/>
          <w:szCs w:val="24"/>
        </w:rPr>
        <w:t xml:space="preserve">HEARING </w:t>
      </w:r>
      <w:r>
        <w:rPr>
          <w:rFonts w:ascii="Arial" w:hAnsi="Arial" w:cs="Arial"/>
          <w:b/>
          <w:bCs/>
          <w:sz w:val="24"/>
          <w:szCs w:val="24"/>
        </w:rPr>
        <w:t>– MARCH 2020</w:t>
      </w:r>
      <w:r w:rsidR="005C409F">
        <w:rPr>
          <w:rFonts w:ascii="Arial" w:hAnsi="Arial" w:cs="Arial"/>
          <w:b/>
          <w:bCs/>
          <w:sz w:val="24"/>
          <w:szCs w:val="24"/>
        </w:rPr>
        <w:t xml:space="preserve"> </w:t>
      </w:r>
    </w:p>
    <w:p w14:paraId="23D7345D" w14:textId="21F42DE8" w:rsidR="00010D54" w:rsidRDefault="00010D54" w:rsidP="00010D54">
      <w:pPr>
        <w:ind w:left="567"/>
        <w:jc w:val="center"/>
        <w:rPr>
          <w:rFonts w:ascii="Arial" w:hAnsi="Arial" w:cs="Arial"/>
          <w:b/>
          <w:bCs/>
          <w:sz w:val="24"/>
          <w:szCs w:val="24"/>
        </w:rPr>
      </w:pPr>
      <w:r w:rsidRPr="0083618B">
        <w:rPr>
          <w:rFonts w:ascii="Arial" w:hAnsi="Arial" w:cs="Arial"/>
          <w:b/>
          <w:bCs/>
          <w:sz w:val="24"/>
          <w:szCs w:val="24"/>
        </w:rPr>
        <w:t xml:space="preserve">CIVIL CLAIMS AND CIVIL LITIGATION REDRESS PROCESSES RELATING TO ABUSE IN STATE CARE </w:t>
      </w:r>
    </w:p>
    <w:p w14:paraId="0C69755C" w14:textId="77777777" w:rsidR="005C409F" w:rsidRDefault="005C409F" w:rsidP="005C409F">
      <w:pPr>
        <w:pBdr>
          <w:bottom w:val="single" w:sz="12" w:space="1" w:color="auto"/>
        </w:pBdr>
        <w:ind w:left="567"/>
        <w:jc w:val="center"/>
        <w:rPr>
          <w:b/>
          <w:bCs/>
        </w:rPr>
      </w:pPr>
    </w:p>
    <w:p w14:paraId="44C7F222" w14:textId="77777777" w:rsidR="005C409F" w:rsidRDefault="005C409F" w:rsidP="005C409F">
      <w:pPr>
        <w:ind w:left="567"/>
        <w:rPr>
          <w:b/>
          <w:bCs/>
        </w:rPr>
      </w:pPr>
    </w:p>
    <w:p w14:paraId="2F91EAC2" w14:textId="3B4E4444" w:rsidR="005C409F" w:rsidRDefault="005C409F" w:rsidP="00010D54">
      <w:pPr>
        <w:ind w:left="567"/>
        <w:jc w:val="center"/>
        <w:rPr>
          <w:rFonts w:ascii="Arial" w:hAnsi="Arial" w:cs="Arial"/>
          <w:b/>
          <w:bCs/>
          <w:sz w:val="24"/>
          <w:szCs w:val="24"/>
        </w:rPr>
      </w:pPr>
    </w:p>
    <w:p w14:paraId="449DB015" w14:textId="77777777" w:rsidR="003112B5" w:rsidRDefault="003112B5" w:rsidP="00010D54">
      <w:pPr>
        <w:ind w:left="567"/>
        <w:jc w:val="center"/>
        <w:rPr>
          <w:rFonts w:ascii="Arial" w:hAnsi="Arial" w:cs="Arial"/>
          <w:b/>
          <w:bCs/>
          <w:sz w:val="24"/>
          <w:szCs w:val="24"/>
        </w:rPr>
      </w:pPr>
    </w:p>
    <w:p w14:paraId="141A40EF" w14:textId="1D4CFBD5" w:rsidR="003112B5" w:rsidRDefault="003112B5" w:rsidP="003112B5">
      <w:pPr>
        <w:pStyle w:val="NoSpacing"/>
        <w:jc w:val="center"/>
        <w:rPr>
          <w:rFonts w:ascii="Arial" w:hAnsi="Arial" w:cs="Arial"/>
          <w:b/>
          <w:bCs/>
          <w:sz w:val="24"/>
          <w:szCs w:val="24"/>
        </w:rPr>
      </w:pPr>
      <w:r w:rsidRPr="005C409F">
        <w:rPr>
          <w:rFonts w:ascii="Arial" w:hAnsi="Arial" w:cs="Arial"/>
          <w:b/>
          <w:bCs/>
          <w:sz w:val="24"/>
          <w:szCs w:val="24"/>
        </w:rPr>
        <w:t>BRIEFING PAPER</w:t>
      </w:r>
      <w:r>
        <w:rPr>
          <w:rFonts w:ascii="Arial" w:hAnsi="Arial" w:cs="Arial"/>
          <w:b/>
          <w:bCs/>
          <w:sz w:val="24"/>
          <w:szCs w:val="24"/>
        </w:rPr>
        <w:t>:</w:t>
      </w:r>
    </w:p>
    <w:p w14:paraId="5AA03741" w14:textId="4F7495C0" w:rsidR="005C409F" w:rsidRDefault="005C409F" w:rsidP="00010D54">
      <w:pPr>
        <w:ind w:left="567"/>
        <w:jc w:val="center"/>
        <w:rPr>
          <w:rFonts w:ascii="Arial" w:hAnsi="Arial" w:cs="Arial"/>
          <w:b/>
          <w:bCs/>
          <w:sz w:val="24"/>
          <w:szCs w:val="24"/>
        </w:rPr>
      </w:pPr>
    </w:p>
    <w:p w14:paraId="166F9B47" w14:textId="40E25F99" w:rsidR="005C409F" w:rsidRDefault="0080365E" w:rsidP="003A3A0F">
      <w:pPr>
        <w:pStyle w:val="NoSpacing"/>
        <w:ind w:left="567"/>
        <w:jc w:val="center"/>
        <w:rPr>
          <w:rFonts w:ascii="Arial" w:hAnsi="Arial" w:cs="Arial"/>
          <w:b/>
          <w:bCs/>
          <w:sz w:val="24"/>
          <w:szCs w:val="24"/>
        </w:rPr>
      </w:pPr>
      <w:r>
        <w:rPr>
          <w:rFonts w:ascii="Arial" w:hAnsi="Arial" w:cs="Arial"/>
          <w:b/>
          <w:bCs/>
          <w:sz w:val="24"/>
          <w:szCs w:val="24"/>
        </w:rPr>
        <w:t xml:space="preserve">REDRESS IN </w:t>
      </w:r>
      <w:r w:rsidR="00C36981">
        <w:rPr>
          <w:rFonts w:ascii="Arial" w:hAnsi="Arial" w:cs="Arial"/>
          <w:b/>
          <w:bCs/>
          <w:sz w:val="24"/>
          <w:szCs w:val="24"/>
        </w:rPr>
        <w:t xml:space="preserve">INTERNATIONAL AND DOMESTIC HUMAN RIGHTS LAW </w:t>
      </w:r>
    </w:p>
    <w:p w14:paraId="4796B35E" w14:textId="77777777" w:rsidR="005C409F" w:rsidRDefault="005C409F" w:rsidP="005C409F">
      <w:pPr>
        <w:pStyle w:val="NoSpacing"/>
        <w:jc w:val="center"/>
        <w:rPr>
          <w:rFonts w:ascii="Arial" w:hAnsi="Arial" w:cs="Arial"/>
          <w:b/>
          <w:bCs/>
          <w:sz w:val="24"/>
          <w:szCs w:val="24"/>
        </w:rPr>
      </w:pPr>
    </w:p>
    <w:p w14:paraId="0818C171" w14:textId="38C1B929" w:rsidR="00010D54" w:rsidRDefault="00010D54" w:rsidP="00010D54">
      <w:pPr>
        <w:ind w:left="567"/>
        <w:rPr>
          <w:b/>
          <w:bCs/>
        </w:rPr>
      </w:pPr>
    </w:p>
    <w:p w14:paraId="7AE91AB4" w14:textId="586E7E68" w:rsidR="00010D54" w:rsidRDefault="00010D54">
      <w:pPr>
        <w:rPr>
          <w:b/>
          <w:bCs/>
        </w:rPr>
      </w:pPr>
      <w:r>
        <w:rPr>
          <w:b/>
          <w:bCs/>
        </w:rPr>
        <w:br w:type="page"/>
      </w:r>
    </w:p>
    <w:p w14:paraId="2D136017" w14:textId="0451397E" w:rsidR="00C36981" w:rsidRPr="003112B5" w:rsidRDefault="00A96865" w:rsidP="007D0DE6">
      <w:pPr>
        <w:spacing w:after="0" w:line="240" w:lineRule="auto"/>
        <w:rPr>
          <w:rFonts w:ascii="Arial" w:hAnsi="Arial" w:cs="Arial"/>
          <w:b/>
          <w:bCs/>
          <w:sz w:val="24"/>
          <w:szCs w:val="24"/>
        </w:rPr>
      </w:pPr>
      <w:r w:rsidRPr="003112B5">
        <w:rPr>
          <w:rFonts w:ascii="Arial" w:hAnsi="Arial" w:cs="Arial"/>
          <w:b/>
          <w:bCs/>
          <w:sz w:val="24"/>
          <w:szCs w:val="24"/>
        </w:rPr>
        <w:lastRenderedPageBreak/>
        <w:t>INTRODUCTION</w:t>
      </w:r>
    </w:p>
    <w:p w14:paraId="2AF72783" w14:textId="77777777" w:rsidR="00C36981" w:rsidRPr="003112B5" w:rsidRDefault="00C36981" w:rsidP="00C36981">
      <w:pPr>
        <w:pStyle w:val="ListParagraph"/>
        <w:spacing w:after="0" w:line="240" w:lineRule="auto"/>
        <w:ind w:left="1134"/>
        <w:rPr>
          <w:rFonts w:ascii="Arial" w:hAnsi="Arial" w:cs="Arial"/>
          <w:sz w:val="24"/>
          <w:szCs w:val="24"/>
        </w:rPr>
      </w:pPr>
    </w:p>
    <w:p w14:paraId="019688EB" w14:textId="16FFAF60" w:rsidR="007D0DE6" w:rsidRPr="003112B5" w:rsidRDefault="006144D5"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T</w:t>
      </w:r>
      <w:r w:rsidR="00933270" w:rsidRPr="003112B5">
        <w:rPr>
          <w:rFonts w:ascii="Arial" w:hAnsi="Arial" w:cs="Arial"/>
          <w:sz w:val="24"/>
          <w:szCs w:val="24"/>
        </w:rPr>
        <w:t xml:space="preserve">he </w:t>
      </w:r>
      <w:r w:rsidR="0080365E" w:rsidRPr="003112B5">
        <w:rPr>
          <w:rFonts w:ascii="Arial" w:hAnsi="Arial" w:cs="Arial"/>
          <w:sz w:val="24"/>
          <w:szCs w:val="24"/>
        </w:rPr>
        <w:t xml:space="preserve">Inquiry’s </w:t>
      </w:r>
      <w:r w:rsidR="00933270" w:rsidRPr="003112B5">
        <w:rPr>
          <w:rFonts w:ascii="Arial" w:hAnsi="Arial" w:cs="Arial"/>
          <w:sz w:val="24"/>
          <w:szCs w:val="24"/>
        </w:rPr>
        <w:t xml:space="preserve">terms of reference provide that </w:t>
      </w:r>
      <w:r w:rsidR="0080365E" w:rsidRPr="003112B5">
        <w:rPr>
          <w:rFonts w:ascii="Arial" w:hAnsi="Arial" w:cs="Arial"/>
          <w:sz w:val="24"/>
          <w:szCs w:val="24"/>
        </w:rPr>
        <w:t xml:space="preserve">it </w:t>
      </w:r>
      <w:r w:rsidR="00933270" w:rsidRPr="003112B5">
        <w:rPr>
          <w:rFonts w:ascii="Arial" w:hAnsi="Arial" w:cs="Arial"/>
          <w:sz w:val="24"/>
          <w:szCs w:val="24"/>
        </w:rPr>
        <w:t>“will consider relevant domestic and international law, including international human rights law”.</w:t>
      </w:r>
      <w:r w:rsidR="0080365E" w:rsidRPr="003112B5">
        <w:rPr>
          <w:rStyle w:val="FootnoteReference"/>
          <w:rFonts w:ascii="Arial" w:hAnsi="Arial" w:cs="Arial"/>
          <w:sz w:val="24"/>
          <w:szCs w:val="24"/>
        </w:rPr>
        <w:footnoteReference w:id="1"/>
      </w:r>
      <w:r w:rsidR="00933270" w:rsidRPr="003112B5">
        <w:rPr>
          <w:rFonts w:ascii="Arial" w:hAnsi="Arial" w:cs="Arial"/>
          <w:sz w:val="24"/>
          <w:szCs w:val="24"/>
        </w:rPr>
        <w:t xml:space="preserve">  </w:t>
      </w:r>
      <w:r w:rsidR="0080365E" w:rsidRPr="003112B5">
        <w:rPr>
          <w:rFonts w:ascii="Arial" w:hAnsi="Arial" w:cs="Arial"/>
          <w:sz w:val="24"/>
          <w:szCs w:val="24"/>
        </w:rPr>
        <w:t>R</w:t>
      </w:r>
      <w:r w:rsidR="00933270" w:rsidRPr="003112B5">
        <w:rPr>
          <w:rFonts w:ascii="Arial" w:hAnsi="Arial" w:cs="Arial"/>
          <w:sz w:val="24"/>
          <w:szCs w:val="24"/>
        </w:rPr>
        <w:t>elevant law is that applicable between 1 January 1950 and 31 December 1999.  I</w:t>
      </w:r>
      <w:r w:rsidR="00050FAD" w:rsidRPr="003112B5">
        <w:rPr>
          <w:rFonts w:ascii="Arial" w:hAnsi="Arial" w:cs="Arial"/>
          <w:sz w:val="24"/>
          <w:szCs w:val="24"/>
        </w:rPr>
        <w:t>n line with the temporal period provided for in the Inquiry’s terms of reference, i</w:t>
      </w:r>
      <w:r w:rsidR="00933270" w:rsidRPr="003112B5">
        <w:rPr>
          <w:rFonts w:ascii="Arial" w:hAnsi="Arial" w:cs="Arial"/>
          <w:sz w:val="24"/>
          <w:szCs w:val="24"/>
        </w:rPr>
        <w:t xml:space="preserve">t may include, at the Inquiry’s discretion, law </w:t>
      </w:r>
      <w:r w:rsidR="001D1FCE" w:rsidRPr="003112B5">
        <w:rPr>
          <w:rFonts w:ascii="Arial" w:hAnsi="Arial" w:cs="Arial"/>
          <w:sz w:val="24"/>
          <w:szCs w:val="24"/>
        </w:rPr>
        <w:t xml:space="preserve">before 1950 and </w:t>
      </w:r>
      <w:r w:rsidR="00933270" w:rsidRPr="003112B5">
        <w:rPr>
          <w:rFonts w:ascii="Arial" w:hAnsi="Arial" w:cs="Arial"/>
          <w:sz w:val="24"/>
          <w:szCs w:val="24"/>
        </w:rPr>
        <w:t>after 1999.</w:t>
      </w:r>
      <w:r w:rsidR="0080365E" w:rsidRPr="003112B5">
        <w:rPr>
          <w:rStyle w:val="FootnoteReference"/>
          <w:rFonts w:ascii="Arial" w:hAnsi="Arial" w:cs="Arial"/>
          <w:sz w:val="24"/>
          <w:szCs w:val="24"/>
        </w:rPr>
        <w:footnoteReference w:id="2"/>
      </w:r>
    </w:p>
    <w:p w14:paraId="7E371A08" w14:textId="7686C8FD" w:rsidR="007D0DE6"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Th</w:t>
      </w:r>
      <w:r w:rsidR="0080365E" w:rsidRPr="003112B5">
        <w:rPr>
          <w:rFonts w:ascii="Arial" w:hAnsi="Arial" w:cs="Arial"/>
          <w:sz w:val="24"/>
          <w:szCs w:val="24"/>
        </w:rPr>
        <w:t>is paper set</w:t>
      </w:r>
      <w:r w:rsidR="003F2066" w:rsidRPr="003112B5">
        <w:rPr>
          <w:rFonts w:ascii="Arial" w:hAnsi="Arial" w:cs="Arial"/>
          <w:sz w:val="24"/>
          <w:szCs w:val="24"/>
        </w:rPr>
        <w:t>s</w:t>
      </w:r>
      <w:r w:rsidR="0080365E" w:rsidRPr="003112B5">
        <w:rPr>
          <w:rFonts w:ascii="Arial" w:hAnsi="Arial" w:cs="Arial"/>
          <w:sz w:val="24"/>
          <w:szCs w:val="24"/>
        </w:rPr>
        <w:t xml:space="preserve"> out a high-level overview of relevant international and domestic human rights law on redress.  </w:t>
      </w:r>
      <w:r w:rsidR="006144D5" w:rsidRPr="003112B5">
        <w:rPr>
          <w:rFonts w:ascii="Arial" w:hAnsi="Arial" w:cs="Arial"/>
          <w:sz w:val="24"/>
          <w:szCs w:val="24"/>
        </w:rPr>
        <w:t>The paper</w:t>
      </w:r>
      <w:r w:rsidR="0080365E" w:rsidRPr="003112B5">
        <w:rPr>
          <w:rFonts w:ascii="Arial" w:hAnsi="Arial" w:cs="Arial"/>
          <w:sz w:val="24"/>
          <w:szCs w:val="24"/>
        </w:rPr>
        <w:t xml:space="preserve"> is </w:t>
      </w:r>
      <w:r w:rsidRPr="003112B5">
        <w:rPr>
          <w:rFonts w:ascii="Arial" w:hAnsi="Arial" w:cs="Arial"/>
          <w:sz w:val="24"/>
          <w:szCs w:val="24"/>
        </w:rPr>
        <w:t xml:space="preserve">not comprehensive.  Rather, it provides a summary and a starting point for discussion and consideration.  There is a significant amount of international and domestic law relevant to redress, and </w:t>
      </w:r>
      <w:r w:rsidR="009B255C" w:rsidRPr="003112B5">
        <w:rPr>
          <w:rFonts w:ascii="Arial" w:hAnsi="Arial" w:cs="Arial"/>
          <w:sz w:val="24"/>
          <w:szCs w:val="24"/>
        </w:rPr>
        <w:t xml:space="preserve">expert evidence will be given </w:t>
      </w:r>
      <w:r w:rsidRPr="003112B5">
        <w:rPr>
          <w:rFonts w:ascii="Arial" w:hAnsi="Arial" w:cs="Arial"/>
          <w:sz w:val="24"/>
          <w:szCs w:val="24"/>
        </w:rPr>
        <w:t>on redress during the Inquiry.  Also, in some cases the law is not clear or there are conflicting or divergent interpretations of it.</w:t>
      </w:r>
      <w:r w:rsidRPr="003112B5">
        <w:rPr>
          <w:rStyle w:val="FootnoteReference"/>
          <w:rFonts w:ascii="Arial" w:hAnsi="Arial" w:cs="Arial"/>
          <w:sz w:val="24"/>
          <w:szCs w:val="24"/>
        </w:rPr>
        <w:footnoteReference w:id="3"/>
      </w:r>
      <w:r w:rsidRPr="003112B5">
        <w:rPr>
          <w:rFonts w:ascii="Arial" w:hAnsi="Arial" w:cs="Arial"/>
          <w:sz w:val="24"/>
          <w:szCs w:val="24"/>
        </w:rPr>
        <w:t xml:space="preserve">  </w:t>
      </w:r>
      <w:r w:rsidR="00A11A3A" w:rsidRPr="003112B5">
        <w:rPr>
          <w:rFonts w:ascii="Arial" w:hAnsi="Arial" w:cs="Arial"/>
          <w:sz w:val="24"/>
          <w:szCs w:val="24"/>
        </w:rPr>
        <w:t>All interested parties, including survivors, the Crown, faith-based institutions,</w:t>
      </w:r>
      <w:r w:rsidR="000C053D" w:rsidRPr="003112B5">
        <w:rPr>
          <w:rFonts w:ascii="Arial" w:hAnsi="Arial" w:cs="Arial"/>
          <w:sz w:val="24"/>
          <w:szCs w:val="24"/>
        </w:rPr>
        <w:t xml:space="preserve"> and</w:t>
      </w:r>
      <w:r w:rsidR="00A11A3A" w:rsidRPr="003112B5">
        <w:rPr>
          <w:rFonts w:ascii="Arial" w:hAnsi="Arial" w:cs="Arial"/>
          <w:sz w:val="24"/>
          <w:szCs w:val="24"/>
        </w:rPr>
        <w:t xml:space="preserve"> academics, </w:t>
      </w:r>
      <w:r w:rsidRPr="003112B5">
        <w:rPr>
          <w:rFonts w:ascii="Arial" w:hAnsi="Arial" w:cs="Arial"/>
          <w:sz w:val="24"/>
          <w:szCs w:val="24"/>
        </w:rPr>
        <w:t xml:space="preserve">are encouraged to make submissions on this paper and the topic more generally.  </w:t>
      </w:r>
    </w:p>
    <w:p w14:paraId="693C4DFC" w14:textId="77777777" w:rsidR="0046041B" w:rsidRPr="0046041B" w:rsidRDefault="00CB103F" w:rsidP="00EA7A9C">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DC5F71">
        <w:rPr>
          <w:rFonts w:ascii="Arial" w:hAnsi="Arial" w:cs="Arial"/>
          <w:sz w:val="24"/>
          <w:szCs w:val="24"/>
        </w:rPr>
        <w:t xml:space="preserve">The information </w:t>
      </w:r>
      <w:r w:rsidR="00982F66">
        <w:rPr>
          <w:rFonts w:ascii="Arial" w:hAnsi="Arial" w:cs="Arial"/>
          <w:sz w:val="24"/>
          <w:szCs w:val="24"/>
        </w:rPr>
        <w:t xml:space="preserve">in this paper </w:t>
      </w:r>
      <w:r w:rsidRPr="00DC5F71">
        <w:rPr>
          <w:rFonts w:ascii="Arial" w:hAnsi="Arial" w:cs="Arial"/>
          <w:sz w:val="24"/>
          <w:szCs w:val="24"/>
        </w:rPr>
        <w:t>comes from publicly available sources, or information disclosed to the Royal Commission and available for publication.  It has been produced to provide context or other information that may be relevant to the public hearing into civil claims and civil litigation redress processes relating to abuse in State care to be held in March 2020</w:t>
      </w:r>
      <w:r w:rsidR="00853176" w:rsidRPr="00DC5F71">
        <w:rPr>
          <w:rFonts w:ascii="Arial" w:hAnsi="Arial" w:cs="Arial"/>
          <w:sz w:val="24"/>
          <w:szCs w:val="24"/>
        </w:rPr>
        <w:t>, as well as the wider work into redress under the terms of reference</w:t>
      </w:r>
      <w:r w:rsidRPr="00DC5F71">
        <w:rPr>
          <w:rFonts w:ascii="Arial" w:hAnsi="Arial" w:cs="Arial"/>
          <w:sz w:val="24"/>
          <w:szCs w:val="24"/>
        </w:rPr>
        <w:t>.</w:t>
      </w:r>
      <w:r w:rsidR="00EA7A9C">
        <w:rPr>
          <w:rFonts w:ascii="Arial" w:hAnsi="Arial" w:cs="Arial"/>
          <w:sz w:val="24"/>
          <w:szCs w:val="24"/>
        </w:rPr>
        <w:t xml:space="preserve">  </w:t>
      </w:r>
    </w:p>
    <w:p w14:paraId="32B0480B" w14:textId="21016E59" w:rsidR="00933270" w:rsidRPr="003112B5" w:rsidRDefault="00933270" w:rsidP="007D0DE6">
      <w:pPr>
        <w:rPr>
          <w:rFonts w:ascii="Arial" w:hAnsi="Arial" w:cs="Arial"/>
          <w:b/>
          <w:bCs/>
          <w:sz w:val="24"/>
          <w:szCs w:val="24"/>
        </w:rPr>
      </w:pPr>
      <w:r w:rsidRPr="003112B5">
        <w:rPr>
          <w:rFonts w:ascii="Arial" w:hAnsi="Arial" w:cs="Arial"/>
          <w:b/>
          <w:bCs/>
          <w:sz w:val="24"/>
          <w:szCs w:val="24"/>
        </w:rPr>
        <w:t>OUTLINE</w:t>
      </w:r>
    </w:p>
    <w:p w14:paraId="3A495F81" w14:textId="61D96F0E"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Part A of this paper sets out a definition of redress.  </w:t>
      </w:r>
    </w:p>
    <w:p w14:paraId="6352D18A" w14:textId="25C3ED11" w:rsidR="00933270" w:rsidRPr="003112B5" w:rsidRDefault="00933270" w:rsidP="00374721">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hAnsi="Arial" w:cs="Arial"/>
          <w:sz w:val="24"/>
          <w:szCs w:val="24"/>
        </w:rPr>
        <w:t xml:space="preserve">Part </w:t>
      </w:r>
      <w:r w:rsidR="0080365E" w:rsidRPr="003112B5">
        <w:rPr>
          <w:rFonts w:ascii="Arial" w:hAnsi="Arial" w:cs="Arial"/>
          <w:sz w:val="24"/>
          <w:szCs w:val="24"/>
        </w:rPr>
        <w:t>B</w:t>
      </w:r>
      <w:r w:rsidRPr="003112B5">
        <w:rPr>
          <w:rFonts w:ascii="Arial" w:hAnsi="Arial" w:cs="Arial"/>
          <w:sz w:val="24"/>
          <w:szCs w:val="24"/>
        </w:rPr>
        <w:t xml:space="preserve"> </w:t>
      </w:r>
      <w:r w:rsidR="009C14DF" w:rsidRPr="003112B5">
        <w:rPr>
          <w:rFonts w:ascii="Arial" w:hAnsi="Arial" w:cs="Arial"/>
          <w:sz w:val="24"/>
          <w:szCs w:val="24"/>
        </w:rPr>
        <w:t xml:space="preserve">first provides a summary of </w:t>
      </w:r>
      <w:r w:rsidR="006144D5" w:rsidRPr="003112B5">
        <w:rPr>
          <w:rFonts w:ascii="Arial" w:hAnsi="Arial" w:cs="Arial"/>
          <w:sz w:val="24"/>
          <w:szCs w:val="24"/>
        </w:rPr>
        <w:t>key</w:t>
      </w:r>
      <w:r w:rsidR="009C14DF" w:rsidRPr="003112B5">
        <w:rPr>
          <w:rFonts w:ascii="Arial" w:hAnsi="Arial" w:cs="Arial"/>
          <w:sz w:val="24"/>
          <w:szCs w:val="24"/>
        </w:rPr>
        <w:t xml:space="preserve"> principles relevant to redress in international law.  It then</w:t>
      </w:r>
      <w:r w:rsidR="00E83CA9" w:rsidRPr="003112B5">
        <w:rPr>
          <w:rFonts w:ascii="Arial" w:hAnsi="Arial" w:cs="Arial"/>
          <w:sz w:val="24"/>
          <w:szCs w:val="24"/>
        </w:rPr>
        <w:t xml:space="preserve"> </w:t>
      </w:r>
      <w:r w:rsidR="009C14DF" w:rsidRPr="003112B5">
        <w:rPr>
          <w:rFonts w:ascii="Arial" w:hAnsi="Arial" w:cs="Arial"/>
          <w:sz w:val="24"/>
          <w:szCs w:val="24"/>
        </w:rPr>
        <w:t xml:space="preserve">refers to </w:t>
      </w:r>
      <w:r w:rsidRPr="003112B5">
        <w:rPr>
          <w:rFonts w:ascii="Arial" w:hAnsi="Arial" w:cs="Arial"/>
          <w:sz w:val="24"/>
          <w:szCs w:val="24"/>
        </w:rPr>
        <w:t>international treaties</w:t>
      </w:r>
      <w:r w:rsidR="00843B92" w:rsidRPr="003112B5">
        <w:rPr>
          <w:rFonts w:ascii="Arial" w:hAnsi="Arial" w:cs="Arial"/>
          <w:sz w:val="24"/>
          <w:szCs w:val="24"/>
        </w:rPr>
        <w:t xml:space="preserve"> and </w:t>
      </w:r>
      <w:r w:rsidRPr="003112B5">
        <w:rPr>
          <w:rFonts w:ascii="Arial" w:hAnsi="Arial" w:cs="Arial"/>
          <w:sz w:val="24"/>
          <w:szCs w:val="24"/>
        </w:rPr>
        <w:t xml:space="preserve">declarations </w:t>
      </w:r>
      <w:r w:rsidR="00A11A3A" w:rsidRPr="003112B5">
        <w:rPr>
          <w:rFonts w:ascii="Arial" w:hAnsi="Arial" w:cs="Arial"/>
          <w:sz w:val="24"/>
          <w:szCs w:val="24"/>
        </w:rPr>
        <w:t xml:space="preserve">which </w:t>
      </w:r>
      <w:r w:rsidR="00050FAD" w:rsidRPr="003112B5">
        <w:rPr>
          <w:rFonts w:ascii="Arial" w:hAnsi="Arial" w:cs="Arial"/>
          <w:sz w:val="24"/>
          <w:szCs w:val="24"/>
        </w:rPr>
        <w:t>establish</w:t>
      </w:r>
      <w:r w:rsidR="00A11A3A" w:rsidRPr="003112B5">
        <w:rPr>
          <w:rFonts w:ascii="Arial" w:hAnsi="Arial" w:cs="Arial"/>
          <w:sz w:val="24"/>
          <w:szCs w:val="24"/>
        </w:rPr>
        <w:t xml:space="preserve"> or are </w:t>
      </w:r>
      <w:r w:rsidR="00050FAD" w:rsidRPr="003112B5">
        <w:rPr>
          <w:rFonts w:ascii="Arial" w:hAnsi="Arial" w:cs="Arial"/>
          <w:sz w:val="24"/>
          <w:szCs w:val="24"/>
        </w:rPr>
        <w:t xml:space="preserve">relevant </w:t>
      </w:r>
      <w:r w:rsidRPr="003112B5">
        <w:rPr>
          <w:rFonts w:ascii="Arial" w:hAnsi="Arial" w:cs="Arial"/>
          <w:sz w:val="24"/>
          <w:szCs w:val="24"/>
        </w:rPr>
        <w:t xml:space="preserve">to </w:t>
      </w:r>
      <w:r w:rsidR="006144D5" w:rsidRPr="003112B5">
        <w:rPr>
          <w:rFonts w:ascii="Arial" w:hAnsi="Arial" w:cs="Arial"/>
          <w:sz w:val="24"/>
          <w:szCs w:val="24"/>
        </w:rPr>
        <w:t xml:space="preserve">New Zealand’s international </w:t>
      </w:r>
      <w:r w:rsidRPr="003112B5">
        <w:rPr>
          <w:rFonts w:ascii="Arial" w:hAnsi="Arial" w:cs="Arial"/>
          <w:sz w:val="24"/>
          <w:szCs w:val="24"/>
        </w:rPr>
        <w:t>human rights obligations</w:t>
      </w:r>
      <w:r w:rsidR="00FC5B71" w:rsidRPr="003112B5">
        <w:rPr>
          <w:rFonts w:ascii="Arial" w:hAnsi="Arial" w:cs="Arial"/>
          <w:sz w:val="24"/>
          <w:szCs w:val="24"/>
        </w:rPr>
        <w:t xml:space="preserve"> and commitments</w:t>
      </w:r>
      <w:r w:rsidR="00E83CA9" w:rsidRPr="003112B5">
        <w:rPr>
          <w:rFonts w:ascii="Arial" w:hAnsi="Arial" w:cs="Arial"/>
          <w:sz w:val="24"/>
          <w:szCs w:val="24"/>
        </w:rPr>
        <w:t xml:space="preserve">.  </w:t>
      </w:r>
      <w:r w:rsidRPr="003112B5">
        <w:rPr>
          <w:rFonts w:ascii="Arial" w:hAnsi="Arial" w:cs="Arial"/>
          <w:sz w:val="24"/>
          <w:szCs w:val="24"/>
        </w:rPr>
        <w:t xml:space="preserve">Following that, </w:t>
      </w:r>
      <w:r w:rsidR="00B91AE5" w:rsidRPr="003112B5">
        <w:rPr>
          <w:rFonts w:ascii="Arial" w:hAnsi="Arial" w:cs="Arial"/>
          <w:sz w:val="24"/>
          <w:szCs w:val="24"/>
        </w:rPr>
        <w:t xml:space="preserve">key concepts in the </w:t>
      </w:r>
      <w:r w:rsidRPr="003112B5">
        <w:rPr>
          <w:rFonts w:ascii="Arial" w:hAnsi="Arial" w:cs="Arial"/>
          <w:sz w:val="24"/>
          <w:szCs w:val="24"/>
        </w:rPr>
        <w:t xml:space="preserve">international law on redress </w:t>
      </w:r>
      <w:r w:rsidR="00B91AE5" w:rsidRPr="003112B5">
        <w:rPr>
          <w:rFonts w:ascii="Arial" w:hAnsi="Arial" w:cs="Arial"/>
          <w:sz w:val="24"/>
          <w:szCs w:val="24"/>
        </w:rPr>
        <w:t>are</w:t>
      </w:r>
      <w:r w:rsidRPr="003112B5">
        <w:rPr>
          <w:rFonts w:ascii="Arial" w:hAnsi="Arial" w:cs="Arial"/>
          <w:sz w:val="24"/>
          <w:szCs w:val="24"/>
        </w:rPr>
        <w:t xml:space="preserve"> set out.  </w:t>
      </w:r>
    </w:p>
    <w:p w14:paraId="24F25D1D" w14:textId="2161D63F"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Part C refers to</w:t>
      </w:r>
      <w:r w:rsidR="006144D5" w:rsidRPr="003112B5">
        <w:rPr>
          <w:rFonts w:ascii="Arial" w:hAnsi="Arial" w:cs="Arial"/>
          <w:sz w:val="24"/>
          <w:szCs w:val="24"/>
        </w:rPr>
        <w:t xml:space="preserve"> </w:t>
      </w:r>
      <w:r w:rsidR="009B691C" w:rsidRPr="003112B5">
        <w:rPr>
          <w:rFonts w:ascii="Arial" w:hAnsi="Arial" w:cs="Arial"/>
          <w:sz w:val="24"/>
          <w:szCs w:val="24"/>
        </w:rPr>
        <w:t xml:space="preserve">New Zealand </w:t>
      </w:r>
      <w:r w:rsidRPr="003112B5">
        <w:rPr>
          <w:rFonts w:ascii="Arial" w:hAnsi="Arial" w:cs="Arial"/>
          <w:sz w:val="24"/>
          <w:szCs w:val="24"/>
        </w:rPr>
        <w:t xml:space="preserve">law relevant to human rights, </w:t>
      </w:r>
      <w:r w:rsidR="00DD5748" w:rsidRPr="003112B5">
        <w:rPr>
          <w:rFonts w:ascii="Arial" w:hAnsi="Arial" w:cs="Arial"/>
          <w:sz w:val="24"/>
          <w:szCs w:val="24"/>
        </w:rPr>
        <w:t xml:space="preserve">with a particular focus on the </w:t>
      </w:r>
      <w:r w:rsidR="006144D5" w:rsidRPr="003112B5">
        <w:rPr>
          <w:rFonts w:ascii="Arial" w:hAnsi="Arial" w:cs="Arial"/>
          <w:sz w:val="24"/>
          <w:szCs w:val="24"/>
        </w:rPr>
        <w:t xml:space="preserve">law </w:t>
      </w:r>
      <w:r w:rsidR="00DD5748" w:rsidRPr="003112B5">
        <w:rPr>
          <w:rFonts w:ascii="Arial" w:hAnsi="Arial" w:cs="Arial"/>
          <w:sz w:val="24"/>
          <w:szCs w:val="24"/>
        </w:rPr>
        <w:t xml:space="preserve">pertaining to </w:t>
      </w:r>
      <w:r w:rsidRPr="003112B5">
        <w:rPr>
          <w:rFonts w:ascii="Arial" w:hAnsi="Arial" w:cs="Arial"/>
          <w:sz w:val="24"/>
          <w:szCs w:val="24"/>
        </w:rPr>
        <w:t xml:space="preserve">redress.  </w:t>
      </w:r>
    </w:p>
    <w:p w14:paraId="15006973" w14:textId="1078840B" w:rsidR="002F1CCB" w:rsidRPr="003112B5" w:rsidRDefault="002F1CCB" w:rsidP="002F1CCB">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Appendix A to this paper sets out examples of the rights and obligations recognised by the international treaties and declarations referred to above.  It also refers to the committees established by these treaties to monitor their implementation, and the authoritative interpretations </w:t>
      </w:r>
      <w:r w:rsidR="00C71026" w:rsidRPr="003112B5">
        <w:rPr>
          <w:rFonts w:ascii="Arial" w:eastAsia="Times New Roman" w:hAnsi="Arial" w:cs="Arial"/>
          <w:color w:val="000000"/>
          <w:sz w:val="24"/>
          <w:szCs w:val="24"/>
          <w:lang w:eastAsia="en-NZ"/>
        </w:rPr>
        <w:t xml:space="preserve">of human rights </w:t>
      </w:r>
      <w:r w:rsidRPr="003112B5">
        <w:rPr>
          <w:rFonts w:ascii="Arial" w:eastAsia="Times New Roman" w:hAnsi="Arial" w:cs="Arial"/>
          <w:color w:val="000000"/>
          <w:sz w:val="24"/>
          <w:szCs w:val="24"/>
          <w:lang w:eastAsia="en-NZ"/>
        </w:rPr>
        <w:t xml:space="preserve">they and </w:t>
      </w:r>
      <w:r w:rsidR="00DC4E43" w:rsidRPr="003112B5">
        <w:rPr>
          <w:rFonts w:ascii="Arial" w:eastAsia="Times New Roman" w:hAnsi="Arial" w:cs="Arial"/>
          <w:color w:val="000000"/>
          <w:sz w:val="24"/>
          <w:szCs w:val="24"/>
          <w:lang w:eastAsia="en-NZ"/>
        </w:rPr>
        <w:lastRenderedPageBreak/>
        <w:t xml:space="preserve">international </w:t>
      </w:r>
      <w:r w:rsidRPr="003112B5">
        <w:rPr>
          <w:rFonts w:ascii="Arial" w:eastAsia="Times New Roman" w:hAnsi="Arial" w:cs="Arial"/>
          <w:color w:val="000000"/>
          <w:sz w:val="24"/>
          <w:szCs w:val="24"/>
          <w:lang w:eastAsia="en-NZ"/>
        </w:rPr>
        <w:t xml:space="preserve">human rights </w:t>
      </w:r>
      <w:r w:rsidR="00C71026" w:rsidRPr="003112B5">
        <w:rPr>
          <w:rFonts w:ascii="Arial" w:eastAsia="Times New Roman" w:hAnsi="Arial" w:cs="Arial"/>
          <w:color w:val="000000"/>
          <w:sz w:val="24"/>
          <w:szCs w:val="24"/>
          <w:lang w:eastAsia="en-NZ"/>
        </w:rPr>
        <w:t>c</w:t>
      </w:r>
      <w:r w:rsidRPr="003112B5">
        <w:rPr>
          <w:rFonts w:ascii="Arial" w:eastAsia="Times New Roman" w:hAnsi="Arial" w:cs="Arial"/>
          <w:color w:val="000000"/>
          <w:sz w:val="24"/>
          <w:szCs w:val="24"/>
          <w:lang w:eastAsia="en-NZ"/>
        </w:rPr>
        <w:t xml:space="preserve">ourts produce.  These interpretations are relevant to redress and are relied on in this paper.  </w:t>
      </w:r>
    </w:p>
    <w:p w14:paraId="416503A1" w14:textId="3DAFDD89" w:rsidR="002F1CCB" w:rsidRPr="003112B5" w:rsidRDefault="002F1CCB" w:rsidP="002F1CCB">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There is an ongoing dialogue between these treaty committees and New Zealand on abuse in State care.  Examples are set out in Appendix B to this paper.</w:t>
      </w:r>
    </w:p>
    <w:p w14:paraId="3875BE62" w14:textId="45E21579" w:rsidR="00933270" w:rsidRPr="003112B5" w:rsidRDefault="00933270" w:rsidP="007D0DE6">
      <w:pPr>
        <w:pStyle w:val="Heading3"/>
        <w:rPr>
          <w:rFonts w:ascii="Arial" w:hAnsi="Arial" w:cs="Arial"/>
          <w:b/>
          <w:color w:val="000000" w:themeColor="text1"/>
          <w:lang w:val="en-NZ"/>
        </w:rPr>
      </w:pPr>
      <w:r w:rsidRPr="003112B5">
        <w:rPr>
          <w:rFonts w:ascii="Arial" w:hAnsi="Arial" w:cs="Arial"/>
          <w:b/>
          <w:color w:val="000000" w:themeColor="text1"/>
          <w:lang w:val="en-NZ"/>
        </w:rPr>
        <w:t xml:space="preserve">PART A: A DEFINITION OF REDRESS </w:t>
      </w:r>
    </w:p>
    <w:p w14:paraId="51432D0D" w14:textId="77777777" w:rsidR="00933270" w:rsidRPr="003112B5" w:rsidRDefault="00933270" w:rsidP="009E21DE">
      <w:pPr>
        <w:spacing w:after="0" w:line="240" w:lineRule="auto"/>
        <w:ind w:left="567"/>
        <w:rPr>
          <w:rFonts w:ascii="Arial" w:hAnsi="Arial" w:cs="Arial"/>
          <w:sz w:val="24"/>
          <w:szCs w:val="24"/>
        </w:rPr>
      </w:pPr>
    </w:p>
    <w:p w14:paraId="22F1926D" w14:textId="1503BEF8"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heme="majorEastAsia" w:hAnsi="Arial" w:cs="Arial"/>
          <w:bCs/>
          <w:color w:val="000000" w:themeColor="text1"/>
          <w:sz w:val="24"/>
          <w:szCs w:val="24"/>
        </w:rPr>
      </w:pPr>
      <w:r w:rsidRPr="003112B5">
        <w:rPr>
          <w:rFonts w:ascii="Arial" w:hAnsi="Arial" w:cs="Arial"/>
          <w:sz w:val="24"/>
          <w:szCs w:val="24"/>
        </w:rPr>
        <w:t>The Inquiry’s terms of reference refer to redress in a number of different ways.  Clause 10.7 refers to “redress and rehabilitation processes for individuals who claim, or who have claimed, abuse while in care…”.  Clause 17.6 defines “Redress processes” as including:</w:t>
      </w:r>
    </w:p>
    <w:p w14:paraId="59B732FA" w14:textId="4425392A" w:rsidR="00933270" w:rsidRPr="00DC5F71" w:rsidRDefault="00933270" w:rsidP="007D0DE6">
      <w:pPr>
        <w:spacing w:after="0" w:line="240" w:lineRule="auto"/>
        <w:ind w:left="720"/>
        <w:rPr>
          <w:rFonts w:ascii="Arial" w:eastAsia="Times New Roman" w:hAnsi="Arial" w:cs="Arial"/>
          <w:color w:val="000000"/>
          <w:lang w:eastAsia="en-NZ"/>
        </w:rPr>
      </w:pPr>
      <w:r w:rsidRPr="00DC5F71">
        <w:rPr>
          <w:rFonts w:ascii="Arial" w:eastAsia="Times New Roman" w:hAnsi="Arial" w:cs="Arial"/>
          <w:color w:val="000000"/>
          <w:lang w:eastAsia="en-NZ"/>
        </w:rPr>
        <w:t>Monetary processes (for example, historic claims and compensation or settlement processes), as well as non-monetary processes (for example, rehabilitation and counselling).</w:t>
      </w:r>
    </w:p>
    <w:p w14:paraId="630EDDD7" w14:textId="77777777" w:rsidR="00933270" w:rsidRPr="003112B5" w:rsidRDefault="00933270" w:rsidP="005D5D30">
      <w:pPr>
        <w:pStyle w:val="ListParagraph"/>
        <w:spacing w:after="0" w:line="240" w:lineRule="auto"/>
        <w:ind w:left="1440"/>
        <w:rPr>
          <w:rFonts w:ascii="Arial" w:eastAsia="Times New Roman" w:hAnsi="Arial" w:cs="Arial"/>
          <w:color w:val="000000"/>
          <w:sz w:val="24"/>
          <w:szCs w:val="24"/>
          <w:lang w:eastAsia="en-NZ"/>
        </w:rPr>
      </w:pPr>
    </w:p>
    <w:p w14:paraId="7D27D1E3" w14:textId="5DB129CE"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Clause 32(b) refers to the Inquiry reporting and making recommendations on various matters, including “appropriate changes to existing processes for redress, rehabilitation, and compensation processes […]”.  </w:t>
      </w:r>
    </w:p>
    <w:p w14:paraId="78764D52" w14:textId="09DE11BF" w:rsidR="00933270"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For the purposes of this paper, “redress” means</w:t>
      </w:r>
      <w:r w:rsidR="0080365E" w:rsidRPr="003112B5">
        <w:rPr>
          <w:rFonts w:ascii="Arial" w:eastAsia="Times New Roman" w:hAnsi="Arial" w:cs="Arial"/>
          <w:color w:val="000000"/>
          <w:sz w:val="24"/>
          <w:szCs w:val="24"/>
          <w:lang w:eastAsia="en-NZ"/>
        </w:rPr>
        <w:t xml:space="preserve"> any one or more of</w:t>
      </w:r>
      <w:r w:rsidRPr="003112B5">
        <w:rPr>
          <w:rFonts w:ascii="Arial" w:eastAsia="Times New Roman" w:hAnsi="Arial" w:cs="Arial"/>
          <w:color w:val="000000"/>
          <w:sz w:val="24"/>
          <w:szCs w:val="24"/>
          <w:lang w:eastAsia="en-NZ"/>
        </w:rPr>
        <w:t xml:space="preserve"> </w:t>
      </w:r>
      <w:r w:rsidR="0080365E" w:rsidRPr="003112B5">
        <w:rPr>
          <w:rFonts w:ascii="Arial" w:eastAsia="Times New Roman" w:hAnsi="Arial" w:cs="Arial"/>
          <w:color w:val="000000"/>
          <w:sz w:val="24"/>
          <w:szCs w:val="24"/>
          <w:lang w:eastAsia="en-NZ"/>
        </w:rPr>
        <w:t xml:space="preserve">the following: </w:t>
      </w:r>
      <w:r w:rsidRPr="003112B5">
        <w:rPr>
          <w:rFonts w:ascii="Arial" w:eastAsia="Times New Roman" w:hAnsi="Arial" w:cs="Arial"/>
          <w:color w:val="000000"/>
          <w:sz w:val="24"/>
          <w:szCs w:val="24"/>
          <w:lang w:eastAsia="en-NZ"/>
        </w:rPr>
        <w:t xml:space="preserve">restitution, rehabilitation, compensation, </w:t>
      </w:r>
      <w:r w:rsidR="009B255C" w:rsidRPr="003112B5">
        <w:rPr>
          <w:rFonts w:ascii="Arial" w:eastAsia="Times New Roman" w:hAnsi="Arial" w:cs="Arial"/>
          <w:color w:val="000000"/>
          <w:sz w:val="24"/>
          <w:szCs w:val="24"/>
          <w:lang w:eastAsia="en-NZ"/>
        </w:rPr>
        <w:t xml:space="preserve">and </w:t>
      </w:r>
      <w:r w:rsidRPr="003112B5">
        <w:rPr>
          <w:rFonts w:ascii="Arial" w:eastAsia="Times New Roman" w:hAnsi="Arial" w:cs="Arial"/>
          <w:color w:val="000000"/>
          <w:sz w:val="24"/>
          <w:szCs w:val="24"/>
          <w:lang w:eastAsia="en-NZ"/>
        </w:rPr>
        <w:t>measures of satisfaction</w:t>
      </w:r>
      <w:r w:rsidR="00A11A3A" w:rsidRPr="003112B5">
        <w:rPr>
          <w:rFonts w:ascii="Arial" w:eastAsia="Times New Roman" w:hAnsi="Arial" w:cs="Arial"/>
          <w:color w:val="000000"/>
          <w:sz w:val="24"/>
          <w:szCs w:val="24"/>
          <w:lang w:eastAsia="en-NZ"/>
        </w:rPr>
        <w:t xml:space="preserve"> (including </w:t>
      </w:r>
      <w:r w:rsidR="00692E1D" w:rsidRPr="003112B5">
        <w:rPr>
          <w:rFonts w:ascii="Arial" w:eastAsia="Times New Roman" w:hAnsi="Arial" w:cs="Arial"/>
          <w:color w:val="000000"/>
          <w:sz w:val="24"/>
          <w:szCs w:val="24"/>
          <w:lang w:eastAsia="en-NZ"/>
        </w:rPr>
        <w:t xml:space="preserve">the cessation of any ongoing violation and </w:t>
      </w:r>
      <w:r w:rsidR="00A11A3A" w:rsidRPr="003112B5">
        <w:rPr>
          <w:rFonts w:ascii="Arial" w:eastAsia="Times New Roman" w:hAnsi="Arial" w:cs="Arial"/>
          <w:color w:val="000000"/>
          <w:sz w:val="24"/>
          <w:szCs w:val="24"/>
          <w:lang w:eastAsia="en-NZ"/>
        </w:rPr>
        <w:t>guarantees of non-repetition)</w:t>
      </w:r>
      <w:r w:rsidRPr="003112B5">
        <w:rPr>
          <w:rFonts w:ascii="Arial" w:eastAsia="Times New Roman" w:hAnsi="Arial" w:cs="Arial"/>
          <w:color w:val="000000"/>
          <w:sz w:val="24"/>
          <w:szCs w:val="24"/>
          <w:lang w:eastAsia="en-NZ"/>
        </w:rPr>
        <w:t>.  These concepts are explained in further detail below.</w:t>
      </w:r>
    </w:p>
    <w:p w14:paraId="0F1BBB0D" w14:textId="758D5974" w:rsidR="002F1CCB" w:rsidRPr="003112B5" w:rsidRDefault="00933270" w:rsidP="007D0DE6">
      <w:pPr>
        <w:spacing w:after="0" w:line="240" w:lineRule="auto"/>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PART B</w:t>
      </w:r>
      <w:r w:rsidR="002F1CCB" w:rsidRPr="003112B5">
        <w:rPr>
          <w:rFonts w:ascii="Arial" w:eastAsia="Times New Roman" w:hAnsi="Arial" w:cs="Arial"/>
          <w:b/>
          <w:bCs/>
          <w:color w:val="000000"/>
          <w:sz w:val="24"/>
          <w:szCs w:val="24"/>
          <w:lang w:eastAsia="en-NZ"/>
        </w:rPr>
        <w:t>: INTERNATIONAL LAW ON REDRESS</w:t>
      </w:r>
    </w:p>
    <w:p w14:paraId="78C28178" w14:textId="77777777" w:rsidR="002F1CCB" w:rsidRPr="003112B5" w:rsidRDefault="002F1CCB" w:rsidP="007D0DE6">
      <w:pPr>
        <w:spacing w:after="0" w:line="240" w:lineRule="auto"/>
        <w:rPr>
          <w:rFonts w:ascii="Arial" w:eastAsia="Times New Roman" w:hAnsi="Arial" w:cs="Arial"/>
          <w:b/>
          <w:bCs/>
          <w:color w:val="000000"/>
          <w:sz w:val="24"/>
          <w:szCs w:val="24"/>
          <w:lang w:eastAsia="en-NZ"/>
        </w:rPr>
      </w:pPr>
    </w:p>
    <w:p w14:paraId="0AC85D8D" w14:textId="7085037C" w:rsidR="006144D5" w:rsidRPr="003112B5" w:rsidRDefault="008611A4" w:rsidP="007D0DE6">
      <w:pPr>
        <w:spacing w:after="0" w:line="240" w:lineRule="auto"/>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KEY PRINCIPLES</w:t>
      </w:r>
    </w:p>
    <w:p w14:paraId="43F1E18B" w14:textId="77777777" w:rsidR="006144D5" w:rsidRPr="003112B5" w:rsidRDefault="006144D5" w:rsidP="006144D5">
      <w:pPr>
        <w:pStyle w:val="ListParagraph"/>
        <w:spacing w:after="0" w:line="240" w:lineRule="auto"/>
        <w:ind w:left="1134"/>
        <w:rPr>
          <w:rFonts w:ascii="Arial" w:eastAsia="Times New Roman" w:hAnsi="Arial" w:cs="Arial"/>
          <w:color w:val="000000"/>
          <w:sz w:val="24"/>
          <w:szCs w:val="24"/>
          <w:lang w:eastAsia="en-NZ"/>
        </w:rPr>
      </w:pPr>
    </w:p>
    <w:p w14:paraId="1A36980B" w14:textId="43B9A4BE"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The following principles </w:t>
      </w:r>
      <w:r w:rsidR="009671F3" w:rsidRPr="003112B5">
        <w:rPr>
          <w:rFonts w:ascii="Arial" w:eastAsia="Times New Roman" w:hAnsi="Arial" w:cs="Arial"/>
          <w:color w:val="000000"/>
          <w:sz w:val="24"/>
          <w:szCs w:val="24"/>
          <w:lang w:eastAsia="en-NZ"/>
        </w:rPr>
        <w:t xml:space="preserve">can be drawn from </w:t>
      </w:r>
      <w:r w:rsidRPr="003112B5">
        <w:rPr>
          <w:rFonts w:ascii="Arial" w:eastAsia="Times New Roman" w:hAnsi="Arial" w:cs="Arial"/>
          <w:color w:val="000000"/>
          <w:sz w:val="24"/>
          <w:szCs w:val="24"/>
          <w:lang w:eastAsia="en-NZ"/>
        </w:rPr>
        <w:t xml:space="preserve">international </w:t>
      </w:r>
      <w:r w:rsidR="009671F3" w:rsidRPr="003112B5">
        <w:rPr>
          <w:rFonts w:ascii="Arial" w:eastAsia="Times New Roman" w:hAnsi="Arial" w:cs="Arial"/>
          <w:color w:val="000000"/>
          <w:sz w:val="24"/>
          <w:szCs w:val="24"/>
          <w:lang w:eastAsia="en-NZ"/>
        </w:rPr>
        <w:t>law on redress</w:t>
      </w:r>
      <w:r w:rsidRPr="003112B5">
        <w:rPr>
          <w:rFonts w:ascii="Arial" w:eastAsia="Times New Roman" w:hAnsi="Arial" w:cs="Arial"/>
          <w:color w:val="000000"/>
          <w:sz w:val="24"/>
          <w:szCs w:val="24"/>
          <w:lang w:eastAsia="en-NZ"/>
        </w:rPr>
        <w:t>:</w:t>
      </w:r>
    </w:p>
    <w:p w14:paraId="3B57B91C" w14:textId="4BE72092" w:rsidR="00933270" w:rsidRPr="003112B5" w:rsidRDefault="00933270" w:rsidP="004C6AE2">
      <w:pPr>
        <w:pStyle w:val="ListParagraph"/>
        <w:numPr>
          <w:ilvl w:val="0"/>
          <w:numId w:val="3"/>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An obligation to make redress arises when a legal right or obligation has been </w:t>
      </w:r>
      <w:r w:rsidR="00C71971" w:rsidRPr="003112B5">
        <w:rPr>
          <w:rFonts w:ascii="Arial" w:eastAsia="Times New Roman" w:hAnsi="Arial" w:cs="Arial"/>
          <w:color w:val="000000"/>
          <w:sz w:val="24"/>
          <w:szCs w:val="24"/>
          <w:lang w:eastAsia="en-NZ"/>
        </w:rPr>
        <w:t>violated</w:t>
      </w:r>
      <w:r w:rsidRPr="003112B5">
        <w:rPr>
          <w:rFonts w:ascii="Arial" w:eastAsia="Times New Roman" w:hAnsi="Arial" w:cs="Arial"/>
          <w:color w:val="000000"/>
          <w:sz w:val="24"/>
          <w:szCs w:val="24"/>
          <w:lang w:eastAsia="en-NZ"/>
        </w:rPr>
        <w:t xml:space="preserve">, and that </w:t>
      </w:r>
      <w:r w:rsidR="00C71971" w:rsidRPr="003112B5">
        <w:rPr>
          <w:rFonts w:ascii="Arial" w:eastAsia="Times New Roman" w:hAnsi="Arial" w:cs="Arial"/>
          <w:color w:val="000000"/>
          <w:sz w:val="24"/>
          <w:szCs w:val="24"/>
          <w:lang w:eastAsia="en-NZ"/>
        </w:rPr>
        <w:t xml:space="preserve">violation </w:t>
      </w:r>
      <w:r w:rsidRPr="003112B5">
        <w:rPr>
          <w:rFonts w:ascii="Arial" w:eastAsia="Times New Roman" w:hAnsi="Arial" w:cs="Arial"/>
          <w:color w:val="000000"/>
          <w:sz w:val="24"/>
          <w:szCs w:val="24"/>
          <w:lang w:eastAsia="en-NZ"/>
        </w:rPr>
        <w:t xml:space="preserve">causes harm.  </w:t>
      </w:r>
    </w:p>
    <w:p w14:paraId="5738D75E" w14:textId="77777777" w:rsidR="00933270" w:rsidRPr="003112B5" w:rsidRDefault="00933270" w:rsidP="004C6AE2">
      <w:pPr>
        <w:pStyle w:val="ListParagraph"/>
        <w:spacing w:after="0" w:line="240" w:lineRule="auto"/>
        <w:ind w:left="1134" w:hanging="634"/>
        <w:rPr>
          <w:rFonts w:ascii="Arial" w:eastAsia="Times New Roman" w:hAnsi="Arial" w:cs="Arial"/>
          <w:color w:val="000000"/>
          <w:sz w:val="24"/>
          <w:szCs w:val="24"/>
          <w:lang w:eastAsia="en-NZ"/>
        </w:rPr>
      </w:pPr>
    </w:p>
    <w:p w14:paraId="0864D369" w14:textId="7CD95182" w:rsidR="00933270" w:rsidRPr="003112B5" w:rsidRDefault="00933270" w:rsidP="004C6AE2">
      <w:pPr>
        <w:pStyle w:val="ListParagraph"/>
        <w:numPr>
          <w:ilvl w:val="0"/>
          <w:numId w:val="3"/>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A claim for redress must therefore identify a relevant human right or related obligation, legally binding on the relevant State at the time </w:t>
      </w:r>
      <w:r w:rsidR="00C71971" w:rsidRPr="003112B5">
        <w:rPr>
          <w:rFonts w:ascii="Arial" w:eastAsia="Times New Roman" w:hAnsi="Arial" w:cs="Arial"/>
          <w:color w:val="000000"/>
          <w:sz w:val="24"/>
          <w:szCs w:val="24"/>
          <w:lang w:eastAsia="en-NZ"/>
        </w:rPr>
        <w:t xml:space="preserve">violation </w:t>
      </w:r>
      <w:r w:rsidRPr="003112B5">
        <w:rPr>
          <w:rFonts w:ascii="Arial" w:eastAsia="Times New Roman" w:hAnsi="Arial" w:cs="Arial"/>
          <w:color w:val="000000"/>
          <w:sz w:val="24"/>
          <w:szCs w:val="24"/>
          <w:lang w:eastAsia="en-NZ"/>
        </w:rPr>
        <w:t>is alleged.</w:t>
      </w:r>
      <w:r w:rsidR="001D55A9" w:rsidRPr="003112B5">
        <w:rPr>
          <w:rStyle w:val="FootnoteReference"/>
          <w:rFonts w:ascii="Arial" w:hAnsi="Arial" w:cs="Arial"/>
          <w:sz w:val="24"/>
          <w:szCs w:val="24"/>
        </w:rPr>
        <w:footnoteReference w:id="4"/>
      </w:r>
    </w:p>
    <w:p w14:paraId="6EB32C16" w14:textId="77777777" w:rsidR="007D0DE6" w:rsidRPr="003112B5" w:rsidRDefault="007D0DE6" w:rsidP="004C6AE2">
      <w:pPr>
        <w:pStyle w:val="ListParagraph"/>
        <w:spacing w:after="0" w:line="240" w:lineRule="auto"/>
        <w:ind w:left="1134" w:hanging="634"/>
        <w:rPr>
          <w:rFonts w:ascii="Arial" w:eastAsia="Times New Roman" w:hAnsi="Arial" w:cs="Arial"/>
          <w:color w:val="000000"/>
          <w:sz w:val="24"/>
          <w:szCs w:val="24"/>
          <w:lang w:eastAsia="en-NZ"/>
        </w:rPr>
      </w:pPr>
    </w:p>
    <w:p w14:paraId="1D4B29A5" w14:textId="6C9D6EDE" w:rsidR="00933270" w:rsidRPr="003112B5" w:rsidRDefault="00933270" w:rsidP="004C6AE2">
      <w:pPr>
        <w:pStyle w:val="ListParagraph"/>
        <w:numPr>
          <w:ilvl w:val="0"/>
          <w:numId w:val="3"/>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 State must be responsible for the breach.</w:t>
      </w:r>
    </w:p>
    <w:p w14:paraId="0264C60B" w14:textId="77777777" w:rsidR="007D0DE6" w:rsidRPr="003112B5" w:rsidRDefault="007D0DE6" w:rsidP="004C6AE2">
      <w:pPr>
        <w:pStyle w:val="ListParagraph"/>
        <w:spacing w:after="0" w:line="240" w:lineRule="auto"/>
        <w:ind w:left="1134" w:hanging="634"/>
        <w:rPr>
          <w:rFonts w:ascii="Arial" w:eastAsia="Times New Roman" w:hAnsi="Arial" w:cs="Arial"/>
          <w:color w:val="000000"/>
          <w:sz w:val="24"/>
          <w:szCs w:val="24"/>
          <w:lang w:eastAsia="en-NZ"/>
        </w:rPr>
      </w:pPr>
    </w:p>
    <w:p w14:paraId="0F2FB20B" w14:textId="18A0BE9B" w:rsidR="00933270" w:rsidRPr="003112B5" w:rsidRDefault="00933270" w:rsidP="004C6AE2">
      <w:pPr>
        <w:pStyle w:val="ListParagraph"/>
        <w:numPr>
          <w:ilvl w:val="0"/>
          <w:numId w:val="3"/>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Once </w:t>
      </w:r>
      <w:r w:rsidR="00FC5B71" w:rsidRPr="003112B5">
        <w:rPr>
          <w:rFonts w:ascii="Arial" w:eastAsia="Times New Roman" w:hAnsi="Arial" w:cs="Arial"/>
          <w:color w:val="000000"/>
          <w:sz w:val="24"/>
          <w:szCs w:val="24"/>
          <w:lang w:eastAsia="en-NZ"/>
        </w:rPr>
        <w:t xml:space="preserve">violation, </w:t>
      </w:r>
      <w:r w:rsidRPr="003112B5">
        <w:rPr>
          <w:rFonts w:ascii="Arial" w:eastAsia="Times New Roman" w:hAnsi="Arial" w:cs="Arial"/>
          <w:color w:val="000000"/>
          <w:sz w:val="24"/>
          <w:szCs w:val="24"/>
          <w:lang w:eastAsia="en-NZ"/>
        </w:rPr>
        <w:t>resulting harm, and responsibility is shown, there is generally an obligation</w:t>
      </w:r>
      <w:r w:rsidR="00DD5748" w:rsidRPr="003112B5">
        <w:rPr>
          <w:rFonts w:ascii="Arial" w:eastAsia="Times New Roman" w:hAnsi="Arial" w:cs="Arial"/>
          <w:color w:val="000000"/>
          <w:sz w:val="24"/>
          <w:szCs w:val="24"/>
          <w:lang w:eastAsia="en-NZ"/>
        </w:rPr>
        <w:t xml:space="preserve"> on the State</w:t>
      </w:r>
      <w:r w:rsidRPr="003112B5">
        <w:rPr>
          <w:rFonts w:ascii="Arial" w:eastAsia="Times New Roman" w:hAnsi="Arial" w:cs="Arial"/>
          <w:color w:val="000000"/>
          <w:sz w:val="24"/>
          <w:szCs w:val="24"/>
          <w:lang w:eastAsia="en-NZ"/>
        </w:rPr>
        <w:t xml:space="preserve"> to provide redress.  So far as is reasonably possible, the redress provided needs to put the </w:t>
      </w:r>
      <w:r w:rsidR="005D3AD1">
        <w:rPr>
          <w:rFonts w:ascii="Arial" w:eastAsia="Times New Roman" w:hAnsi="Arial" w:cs="Arial"/>
          <w:color w:val="000000"/>
          <w:sz w:val="24"/>
          <w:szCs w:val="24"/>
          <w:lang w:eastAsia="en-NZ"/>
        </w:rPr>
        <w:t xml:space="preserve">person </w:t>
      </w:r>
      <w:r w:rsidRPr="003112B5">
        <w:rPr>
          <w:rFonts w:ascii="Arial" w:eastAsia="Times New Roman" w:hAnsi="Arial" w:cs="Arial"/>
          <w:color w:val="000000"/>
          <w:sz w:val="24"/>
          <w:szCs w:val="24"/>
          <w:lang w:eastAsia="en-NZ"/>
        </w:rPr>
        <w:t xml:space="preserve">who suffered the </w:t>
      </w:r>
      <w:r w:rsidR="00FC5B71" w:rsidRPr="003112B5">
        <w:rPr>
          <w:rFonts w:ascii="Arial" w:eastAsia="Times New Roman" w:hAnsi="Arial" w:cs="Arial"/>
          <w:color w:val="000000"/>
          <w:sz w:val="24"/>
          <w:szCs w:val="24"/>
          <w:lang w:eastAsia="en-NZ"/>
        </w:rPr>
        <w:t xml:space="preserve">violation </w:t>
      </w:r>
      <w:r w:rsidRPr="003112B5">
        <w:rPr>
          <w:rFonts w:ascii="Arial" w:eastAsia="Times New Roman" w:hAnsi="Arial" w:cs="Arial"/>
          <w:color w:val="000000"/>
          <w:sz w:val="24"/>
          <w:szCs w:val="24"/>
          <w:lang w:eastAsia="en-NZ"/>
        </w:rPr>
        <w:t xml:space="preserve">in the position they would have been in if the </w:t>
      </w:r>
      <w:r w:rsidR="00982F66">
        <w:rPr>
          <w:rFonts w:ascii="Arial" w:eastAsia="Times New Roman" w:hAnsi="Arial" w:cs="Arial"/>
          <w:color w:val="000000"/>
          <w:sz w:val="24"/>
          <w:szCs w:val="24"/>
          <w:lang w:eastAsia="en-NZ"/>
        </w:rPr>
        <w:t xml:space="preserve">violation </w:t>
      </w:r>
      <w:r w:rsidRPr="003112B5">
        <w:rPr>
          <w:rFonts w:ascii="Arial" w:eastAsia="Times New Roman" w:hAnsi="Arial" w:cs="Arial"/>
          <w:color w:val="000000"/>
          <w:sz w:val="24"/>
          <w:szCs w:val="24"/>
          <w:lang w:eastAsia="en-NZ"/>
        </w:rPr>
        <w:t xml:space="preserve">had not occurred.  Future </w:t>
      </w:r>
      <w:r w:rsidR="00982F66">
        <w:rPr>
          <w:rFonts w:ascii="Arial" w:eastAsia="Times New Roman" w:hAnsi="Arial" w:cs="Arial"/>
          <w:color w:val="000000"/>
          <w:sz w:val="24"/>
          <w:szCs w:val="24"/>
          <w:lang w:eastAsia="en-NZ"/>
        </w:rPr>
        <w:t xml:space="preserve">violations </w:t>
      </w:r>
      <w:r w:rsidRPr="003112B5">
        <w:rPr>
          <w:rFonts w:ascii="Arial" w:eastAsia="Times New Roman" w:hAnsi="Arial" w:cs="Arial"/>
          <w:color w:val="000000"/>
          <w:sz w:val="24"/>
          <w:szCs w:val="24"/>
          <w:lang w:eastAsia="en-NZ"/>
        </w:rPr>
        <w:t xml:space="preserve">also need to be deterred, and the fundamental values and interests that human rights reflect at the individual and societal level need to be vindicated.  What is required to </w:t>
      </w:r>
      <w:r w:rsidRPr="003112B5">
        <w:rPr>
          <w:rFonts w:ascii="Arial" w:eastAsia="Times New Roman" w:hAnsi="Arial" w:cs="Arial"/>
          <w:color w:val="000000"/>
          <w:sz w:val="24"/>
          <w:szCs w:val="24"/>
          <w:lang w:eastAsia="en-NZ"/>
        </w:rPr>
        <w:lastRenderedPageBreak/>
        <w:t xml:space="preserve">achieve these outcomes </w:t>
      </w:r>
      <w:r w:rsidR="00E46C86" w:rsidRPr="003112B5">
        <w:rPr>
          <w:rFonts w:ascii="Arial" w:eastAsia="Times New Roman" w:hAnsi="Arial" w:cs="Arial"/>
          <w:color w:val="000000"/>
          <w:sz w:val="24"/>
          <w:szCs w:val="24"/>
          <w:lang w:eastAsia="en-NZ"/>
        </w:rPr>
        <w:t xml:space="preserve">(i.e. the form or forms of redress required) </w:t>
      </w:r>
      <w:r w:rsidRPr="003112B5">
        <w:rPr>
          <w:rFonts w:ascii="Arial" w:eastAsia="Times New Roman" w:hAnsi="Arial" w:cs="Arial"/>
          <w:color w:val="000000"/>
          <w:sz w:val="24"/>
          <w:szCs w:val="24"/>
          <w:lang w:eastAsia="en-NZ"/>
        </w:rPr>
        <w:t xml:space="preserve">needs to be assessed on a case by case basis.  </w:t>
      </w:r>
    </w:p>
    <w:p w14:paraId="63C6D632" w14:textId="77777777" w:rsidR="007D0DE6" w:rsidRPr="003112B5" w:rsidRDefault="007D0DE6" w:rsidP="004C6AE2">
      <w:pPr>
        <w:pStyle w:val="ListParagraph"/>
        <w:spacing w:after="0" w:line="240" w:lineRule="auto"/>
        <w:ind w:left="1134" w:hanging="634"/>
        <w:rPr>
          <w:rFonts w:ascii="Arial" w:eastAsia="Times New Roman" w:hAnsi="Arial" w:cs="Arial"/>
          <w:color w:val="000000"/>
          <w:sz w:val="24"/>
          <w:szCs w:val="24"/>
          <w:lang w:eastAsia="en-NZ"/>
        </w:rPr>
      </w:pPr>
    </w:p>
    <w:p w14:paraId="393EFA8D" w14:textId="6AD8D12F" w:rsidR="00933270" w:rsidRPr="003112B5" w:rsidRDefault="003F2066" w:rsidP="004C6AE2">
      <w:pPr>
        <w:pStyle w:val="ListParagraph"/>
        <w:numPr>
          <w:ilvl w:val="0"/>
          <w:numId w:val="3"/>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Limitation periods may be justifiable in some circumstances.</w:t>
      </w:r>
    </w:p>
    <w:p w14:paraId="54D48B02" w14:textId="77777777" w:rsidR="007D0DE6" w:rsidRPr="003112B5" w:rsidRDefault="007D0DE6" w:rsidP="004C6AE2">
      <w:pPr>
        <w:pStyle w:val="ListParagraph"/>
        <w:spacing w:after="0" w:line="240" w:lineRule="auto"/>
        <w:ind w:left="1134" w:hanging="634"/>
        <w:rPr>
          <w:rFonts w:ascii="Arial" w:eastAsia="Times New Roman" w:hAnsi="Arial" w:cs="Arial"/>
          <w:color w:val="000000"/>
          <w:sz w:val="24"/>
          <w:szCs w:val="24"/>
          <w:lang w:eastAsia="en-NZ"/>
        </w:rPr>
      </w:pPr>
    </w:p>
    <w:p w14:paraId="5A66CE53" w14:textId="1C8C7E43" w:rsidR="00933270" w:rsidRPr="003112B5" w:rsidRDefault="00933270" w:rsidP="004C6AE2">
      <w:pPr>
        <w:pStyle w:val="ListParagraph"/>
        <w:numPr>
          <w:ilvl w:val="0"/>
          <w:numId w:val="3"/>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A failure to provide redress may amount to a separate </w:t>
      </w:r>
      <w:r w:rsidR="009671F3" w:rsidRPr="003112B5">
        <w:rPr>
          <w:rFonts w:ascii="Arial" w:eastAsia="Times New Roman" w:hAnsi="Arial" w:cs="Arial"/>
          <w:color w:val="000000"/>
          <w:sz w:val="24"/>
          <w:szCs w:val="24"/>
          <w:lang w:eastAsia="en-NZ"/>
        </w:rPr>
        <w:t xml:space="preserve">human rights </w:t>
      </w:r>
      <w:r w:rsidRPr="003112B5">
        <w:rPr>
          <w:rFonts w:ascii="Arial" w:eastAsia="Times New Roman" w:hAnsi="Arial" w:cs="Arial"/>
          <w:color w:val="000000"/>
          <w:sz w:val="24"/>
          <w:szCs w:val="24"/>
          <w:lang w:eastAsia="en-NZ"/>
        </w:rPr>
        <w:t xml:space="preserve">violation.  </w:t>
      </w:r>
    </w:p>
    <w:p w14:paraId="0E2C3261" w14:textId="77777777" w:rsidR="00933270" w:rsidRPr="003112B5" w:rsidRDefault="00933270" w:rsidP="009E422F">
      <w:pPr>
        <w:pStyle w:val="ListParagraph"/>
        <w:spacing w:after="0" w:line="240" w:lineRule="auto"/>
        <w:ind w:left="1494"/>
        <w:rPr>
          <w:rFonts w:ascii="Arial" w:eastAsia="Times New Roman" w:hAnsi="Arial" w:cs="Arial"/>
          <w:color w:val="000000"/>
          <w:sz w:val="24"/>
          <w:szCs w:val="24"/>
          <w:lang w:eastAsia="en-NZ"/>
        </w:rPr>
      </w:pPr>
    </w:p>
    <w:p w14:paraId="473B2239" w14:textId="5B220D4D" w:rsidR="00933270" w:rsidRPr="003112B5" w:rsidRDefault="008611A4" w:rsidP="007D0DE6">
      <w:pPr>
        <w:spacing w:after="0" w:line="240" w:lineRule="auto"/>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INTERNATIONAL HUMAN RIGHTS INSTRUMENTS RELEVANT TO NEW ZEALAND’S HUMAN RIGHTS OBLIGATIONS</w:t>
      </w:r>
      <w:r w:rsidR="00FC5B71" w:rsidRPr="003112B5">
        <w:rPr>
          <w:rFonts w:ascii="Arial" w:eastAsia="Times New Roman" w:hAnsi="Arial" w:cs="Arial"/>
          <w:b/>
          <w:bCs/>
          <w:color w:val="000000"/>
          <w:sz w:val="24"/>
          <w:szCs w:val="24"/>
          <w:lang w:eastAsia="en-NZ"/>
        </w:rPr>
        <w:t xml:space="preserve"> AND COMMITMENTS</w:t>
      </w:r>
    </w:p>
    <w:p w14:paraId="7F782B4C" w14:textId="77777777" w:rsidR="009B255C" w:rsidRPr="003112B5" w:rsidRDefault="009B255C" w:rsidP="007D0DE6">
      <w:pPr>
        <w:spacing w:after="0" w:line="240" w:lineRule="auto"/>
        <w:rPr>
          <w:rFonts w:ascii="Arial" w:eastAsia="Times New Roman" w:hAnsi="Arial" w:cs="Arial"/>
          <w:b/>
          <w:bCs/>
          <w:color w:val="000000"/>
          <w:sz w:val="24"/>
          <w:szCs w:val="24"/>
          <w:lang w:eastAsia="en-NZ"/>
        </w:rPr>
      </w:pPr>
    </w:p>
    <w:p w14:paraId="6DBC629D" w14:textId="71F92E75" w:rsidR="00933270" w:rsidRPr="003112B5" w:rsidRDefault="00933270" w:rsidP="007D0DE6">
      <w:pPr>
        <w:spacing w:after="0" w:line="240" w:lineRule="auto"/>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United Nations Charter</w:t>
      </w:r>
    </w:p>
    <w:p w14:paraId="3D8B5FA3" w14:textId="77777777" w:rsidR="00933270" w:rsidRPr="003112B5" w:rsidRDefault="00933270" w:rsidP="0092034F">
      <w:pPr>
        <w:pStyle w:val="ListParagraph"/>
        <w:spacing w:after="0" w:line="240" w:lineRule="auto"/>
        <w:ind w:left="1134"/>
        <w:rPr>
          <w:rFonts w:ascii="Arial" w:eastAsia="Times New Roman" w:hAnsi="Arial" w:cs="Arial"/>
          <w:color w:val="000000"/>
          <w:sz w:val="24"/>
          <w:szCs w:val="24"/>
          <w:lang w:eastAsia="en-NZ"/>
        </w:rPr>
      </w:pPr>
    </w:p>
    <w:p w14:paraId="168C6597" w14:textId="19EE7695"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New Zealand signed the United Nations Charter (</w:t>
      </w:r>
      <w:r w:rsidRPr="003112B5">
        <w:rPr>
          <w:rFonts w:ascii="Arial" w:eastAsia="Times New Roman" w:hAnsi="Arial" w:cs="Arial"/>
          <w:b/>
          <w:bCs/>
          <w:color w:val="000000"/>
          <w:sz w:val="24"/>
          <w:szCs w:val="24"/>
          <w:lang w:eastAsia="en-NZ"/>
        </w:rPr>
        <w:t>the Charter</w:t>
      </w:r>
      <w:r w:rsidRPr="003112B5">
        <w:rPr>
          <w:rFonts w:ascii="Arial" w:eastAsia="Times New Roman" w:hAnsi="Arial" w:cs="Arial"/>
          <w:color w:val="000000"/>
          <w:sz w:val="24"/>
          <w:szCs w:val="24"/>
          <w:lang w:eastAsia="en-NZ"/>
        </w:rPr>
        <w:t>)</w:t>
      </w:r>
      <w:r w:rsidRPr="003112B5">
        <w:rPr>
          <w:rFonts w:ascii="Arial" w:eastAsia="Times New Roman" w:hAnsi="Arial" w:cs="Arial"/>
          <w:b/>
          <w:bCs/>
          <w:color w:val="000000"/>
          <w:sz w:val="24"/>
          <w:szCs w:val="24"/>
          <w:lang w:eastAsia="en-NZ"/>
        </w:rPr>
        <w:t xml:space="preserve"> </w:t>
      </w:r>
      <w:r w:rsidRPr="003112B5">
        <w:rPr>
          <w:rFonts w:ascii="Arial" w:eastAsia="Times New Roman" w:hAnsi="Arial" w:cs="Arial"/>
          <w:color w:val="000000"/>
          <w:sz w:val="24"/>
          <w:szCs w:val="24"/>
          <w:lang w:eastAsia="en-NZ"/>
        </w:rPr>
        <w:t>on 26 June 1945.  The Charter is an international treaty.  It came into force for New Zealand on 24 October 1945</w:t>
      </w:r>
      <w:r w:rsidR="001D55A9" w:rsidRPr="003112B5">
        <w:rPr>
          <w:rFonts w:ascii="Arial" w:eastAsia="Times New Roman" w:hAnsi="Arial" w:cs="Arial"/>
          <w:color w:val="000000"/>
          <w:sz w:val="24"/>
          <w:szCs w:val="24"/>
          <w:lang w:eastAsia="en-NZ"/>
        </w:rPr>
        <w:t xml:space="preserve">.  This means </w:t>
      </w:r>
      <w:r w:rsidRPr="003112B5">
        <w:rPr>
          <w:rFonts w:ascii="Arial" w:eastAsia="Times New Roman" w:hAnsi="Arial" w:cs="Arial"/>
          <w:color w:val="000000"/>
          <w:sz w:val="24"/>
          <w:szCs w:val="24"/>
          <w:lang w:eastAsia="en-NZ"/>
        </w:rPr>
        <w:t xml:space="preserve">the obligations in </w:t>
      </w:r>
      <w:r w:rsidR="001D55A9" w:rsidRPr="003112B5">
        <w:rPr>
          <w:rFonts w:ascii="Arial" w:eastAsia="Times New Roman" w:hAnsi="Arial" w:cs="Arial"/>
          <w:color w:val="000000"/>
          <w:sz w:val="24"/>
          <w:szCs w:val="24"/>
          <w:lang w:eastAsia="en-NZ"/>
        </w:rPr>
        <w:t xml:space="preserve">the Charter </w:t>
      </w:r>
      <w:r w:rsidRPr="003112B5">
        <w:rPr>
          <w:rFonts w:ascii="Arial" w:eastAsia="Times New Roman" w:hAnsi="Arial" w:cs="Arial"/>
          <w:color w:val="000000"/>
          <w:sz w:val="24"/>
          <w:szCs w:val="24"/>
          <w:lang w:eastAsia="en-NZ"/>
        </w:rPr>
        <w:t xml:space="preserve">were binding on New Zealand from then.  </w:t>
      </w:r>
    </w:p>
    <w:p w14:paraId="6E5EE14F" w14:textId="45B48307"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Article 2(2) of the Charter provides that all UN members (including New Zealand) will fulfil their obligations under the Charter in good faith.  Article 55 states that the </w:t>
      </w:r>
      <w:r w:rsidR="00144FAC" w:rsidRPr="003112B5">
        <w:rPr>
          <w:rFonts w:ascii="Arial" w:eastAsia="Times New Roman" w:hAnsi="Arial" w:cs="Arial"/>
          <w:color w:val="000000"/>
          <w:sz w:val="24"/>
          <w:szCs w:val="24"/>
          <w:lang w:eastAsia="en-NZ"/>
        </w:rPr>
        <w:t xml:space="preserve">UN </w:t>
      </w:r>
      <w:r w:rsidRPr="003112B5">
        <w:rPr>
          <w:rFonts w:ascii="Arial" w:eastAsia="Times New Roman" w:hAnsi="Arial" w:cs="Arial"/>
          <w:color w:val="000000"/>
          <w:sz w:val="24"/>
          <w:szCs w:val="24"/>
          <w:lang w:eastAsia="en-NZ"/>
        </w:rPr>
        <w:t xml:space="preserve">will promote, amongst other matters, “universal respect for, and observance of, human rights and fundamental freedoms for all […]”.  Article 56 states that UN members will take action to achieve these and other UN purposes.  </w:t>
      </w:r>
    </w:p>
    <w:p w14:paraId="020EEA6A" w14:textId="4E815E5F" w:rsidR="00933270" w:rsidRPr="003112B5" w:rsidRDefault="00933270" w:rsidP="00E74AFF">
      <w:pPr>
        <w:spacing w:after="0" w:line="240" w:lineRule="auto"/>
        <w:rPr>
          <w:rFonts w:ascii="Arial" w:eastAsia="Times New Roman" w:hAnsi="Arial" w:cs="Arial"/>
          <w:color w:val="000000"/>
          <w:sz w:val="24"/>
          <w:szCs w:val="24"/>
          <w:lang w:eastAsia="en-NZ"/>
        </w:rPr>
      </w:pPr>
      <w:r w:rsidRPr="003112B5">
        <w:rPr>
          <w:rFonts w:ascii="Arial" w:eastAsia="Times New Roman" w:hAnsi="Arial" w:cs="Arial"/>
          <w:b/>
          <w:bCs/>
          <w:color w:val="000000"/>
          <w:sz w:val="24"/>
          <w:szCs w:val="24"/>
          <w:lang w:eastAsia="en-NZ"/>
        </w:rPr>
        <w:t>Universal Declaration on Human Rights (UDHR)</w:t>
      </w:r>
    </w:p>
    <w:p w14:paraId="112C4665" w14:textId="77777777" w:rsidR="007D0DE6" w:rsidRPr="003112B5" w:rsidRDefault="007D0DE6" w:rsidP="00E74AFF">
      <w:pPr>
        <w:pStyle w:val="ListParagraph"/>
        <w:spacing w:after="0" w:line="240" w:lineRule="auto"/>
        <w:ind w:left="1134"/>
        <w:rPr>
          <w:rFonts w:ascii="Arial" w:eastAsia="Times New Roman" w:hAnsi="Arial" w:cs="Arial"/>
          <w:color w:val="000000"/>
          <w:sz w:val="24"/>
          <w:szCs w:val="24"/>
          <w:lang w:eastAsia="en-NZ"/>
        </w:rPr>
      </w:pPr>
    </w:p>
    <w:p w14:paraId="5DEAD9F6" w14:textId="63DD0323" w:rsidR="00F631A0" w:rsidRPr="003112B5" w:rsidRDefault="00933270" w:rsidP="00F631A0">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The UDHR was adopted by the United Nations General Assembly on 10 December 1948.  New Zealand had a key role in </w:t>
      </w:r>
      <w:r w:rsidR="00461132">
        <w:rPr>
          <w:rFonts w:ascii="Arial" w:eastAsia="Times New Roman" w:hAnsi="Arial" w:cs="Arial"/>
          <w:color w:val="000000"/>
          <w:sz w:val="24"/>
          <w:szCs w:val="24"/>
          <w:lang w:eastAsia="en-NZ"/>
        </w:rPr>
        <w:t xml:space="preserve">drafting </w:t>
      </w:r>
      <w:r w:rsidRPr="003112B5">
        <w:rPr>
          <w:rFonts w:ascii="Arial" w:eastAsia="Times New Roman" w:hAnsi="Arial" w:cs="Arial"/>
          <w:color w:val="000000"/>
          <w:sz w:val="24"/>
          <w:szCs w:val="24"/>
          <w:lang w:eastAsia="en-NZ"/>
        </w:rPr>
        <w:t>the UDHR.</w:t>
      </w:r>
      <w:r w:rsidRPr="003112B5">
        <w:rPr>
          <w:rStyle w:val="FootnoteReference"/>
          <w:rFonts w:ascii="Arial" w:eastAsia="Times New Roman" w:hAnsi="Arial" w:cs="Arial"/>
          <w:color w:val="000000"/>
          <w:sz w:val="24"/>
          <w:szCs w:val="24"/>
          <w:lang w:eastAsia="en-NZ"/>
        </w:rPr>
        <w:footnoteReference w:id="5"/>
      </w:r>
      <w:r w:rsidRPr="003112B5">
        <w:rPr>
          <w:rFonts w:ascii="Arial" w:eastAsia="Times New Roman" w:hAnsi="Arial" w:cs="Arial"/>
          <w:color w:val="000000"/>
          <w:sz w:val="24"/>
          <w:szCs w:val="24"/>
          <w:lang w:eastAsia="en-NZ"/>
        </w:rPr>
        <w:t xml:space="preserve">  </w:t>
      </w:r>
    </w:p>
    <w:p w14:paraId="4E3D6B7C" w14:textId="18A71C06" w:rsidR="00933270" w:rsidRPr="003112B5" w:rsidRDefault="00933270" w:rsidP="00F631A0">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The UDHR proclaims a wide range of rights.  </w:t>
      </w:r>
      <w:r w:rsidR="00374721" w:rsidRPr="003112B5">
        <w:rPr>
          <w:rFonts w:ascii="Arial" w:eastAsia="Times New Roman" w:hAnsi="Arial" w:cs="Arial"/>
          <w:color w:val="000000"/>
          <w:sz w:val="24"/>
          <w:szCs w:val="24"/>
          <w:lang w:eastAsia="en-NZ"/>
        </w:rPr>
        <w:t xml:space="preserve">Examples are set out in Appendix A to this paper.  </w:t>
      </w:r>
    </w:p>
    <w:p w14:paraId="15D4C90F" w14:textId="494177B6" w:rsidR="00E74AFF" w:rsidRPr="003112B5" w:rsidRDefault="00933270" w:rsidP="00F631A0">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When the UDHR was adopted, it did not impose legal obligations on States.</w:t>
      </w:r>
      <w:r w:rsidRPr="003112B5">
        <w:rPr>
          <w:rStyle w:val="FootnoteReference"/>
          <w:rFonts w:ascii="Arial" w:eastAsia="Times New Roman" w:hAnsi="Arial" w:cs="Arial"/>
          <w:color w:val="000000"/>
          <w:sz w:val="24"/>
          <w:szCs w:val="24"/>
          <w:lang w:eastAsia="en-NZ"/>
        </w:rPr>
        <w:footnoteReference w:id="6"/>
      </w:r>
      <w:r w:rsidRPr="003112B5">
        <w:rPr>
          <w:rFonts w:ascii="Arial" w:eastAsia="Times New Roman" w:hAnsi="Arial" w:cs="Arial"/>
          <w:color w:val="000000"/>
          <w:sz w:val="24"/>
          <w:szCs w:val="24"/>
          <w:lang w:eastAsia="en-NZ"/>
        </w:rPr>
        <w:t xml:space="preserve">  It is not a treaty and rather than setting obligations,</w:t>
      </w:r>
      <w:r w:rsidRPr="003112B5">
        <w:rPr>
          <w:rStyle w:val="FootnoteReference"/>
          <w:rFonts w:ascii="Arial" w:eastAsia="Times New Roman" w:hAnsi="Arial" w:cs="Arial"/>
          <w:color w:val="000000"/>
          <w:sz w:val="24"/>
          <w:szCs w:val="24"/>
          <w:lang w:eastAsia="en-NZ"/>
        </w:rPr>
        <w:footnoteReference w:id="7"/>
      </w:r>
      <w:r w:rsidRPr="003112B5">
        <w:rPr>
          <w:rFonts w:ascii="Arial" w:eastAsia="Times New Roman" w:hAnsi="Arial" w:cs="Arial"/>
          <w:color w:val="000000"/>
          <w:sz w:val="24"/>
          <w:szCs w:val="24"/>
          <w:lang w:eastAsia="en-NZ"/>
        </w:rPr>
        <w:t xml:space="preserve"> it was to serve as “a common standard of achievement for all peoples and all nations”.</w:t>
      </w:r>
      <w:r w:rsidRPr="003112B5">
        <w:rPr>
          <w:rStyle w:val="FootnoteReference"/>
          <w:rFonts w:ascii="Arial" w:eastAsia="Times New Roman" w:hAnsi="Arial" w:cs="Arial"/>
          <w:color w:val="000000"/>
          <w:sz w:val="24"/>
          <w:szCs w:val="24"/>
          <w:lang w:eastAsia="en-NZ"/>
        </w:rPr>
        <w:footnoteReference w:id="8"/>
      </w:r>
      <w:r w:rsidRPr="003112B5">
        <w:rPr>
          <w:rFonts w:ascii="Arial" w:eastAsia="Times New Roman" w:hAnsi="Arial" w:cs="Arial"/>
          <w:color w:val="000000"/>
          <w:sz w:val="24"/>
          <w:szCs w:val="24"/>
          <w:lang w:eastAsia="en-NZ"/>
        </w:rPr>
        <w:t xml:space="preserve">  However, it is argued that many of the rights referred to in the UDHR are now part of customary international law</w:t>
      </w:r>
      <w:r w:rsidR="001D55A9" w:rsidRPr="003112B5">
        <w:rPr>
          <w:rFonts w:ascii="Arial" w:eastAsia="Times New Roman" w:hAnsi="Arial" w:cs="Arial"/>
          <w:color w:val="000000"/>
          <w:sz w:val="24"/>
          <w:szCs w:val="24"/>
          <w:lang w:eastAsia="en-NZ"/>
        </w:rPr>
        <w:t>.</w:t>
      </w:r>
      <w:r w:rsidRPr="003112B5">
        <w:rPr>
          <w:rStyle w:val="FootnoteReference"/>
          <w:rFonts w:ascii="Arial" w:eastAsia="Times New Roman" w:hAnsi="Arial" w:cs="Arial"/>
          <w:color w:val="000000"/>
          <w:sz w:val="24"/>
          <w:szCs w:val="24"/>
          <w:lang w:eastAsia="en-NZ"/>
        </w:rPr>
        <w:footnoteReference w:id="9"/>
      </w:r>
      <w:r w:rsidRPr="003112B5">
        <w:rPr>
          <w:rFonts w:ascii="Arial" w:eastAsia="Times New Roman" w:hAnsi="Arial" w:cs="Arial"/>
          <w:color w:val="000000"/>
          <w:sz w:val="24"/>
          <w:szCs w:val="24"/>
          <w:lang w:eastAsia="en-NZ"/>
        </w:rPr>
        <w:t xml:space="preserve"> </w:t>
      </w:r>
      <w:r w:rsidR="001D55A9" w:rsidRPr="003112B5">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 xml:space="preserve">That is, such rights are generally accepted by States as being part of international law </w:t>
      </w:r>
      <w:r w:rsidR="00CF555C" w:rsidRPr="003112B5">
        <w:rPr>
          <w:rFonts w:ascii="Arial" w:eastAsia="Times New Roman" w:hAnsi="Arial" w:cs="Arial"/>
          <w:color w:val="000000"/>
          <w:sz w:val="24"/>
          <w:szCs w:val="24"/>
          <w:lang w:eastAsia="en-NZ"/>
        </w:rPr>
        <w:t xml:space="preserve">and they constitute legally binding obligations on all </w:t>
      </w:r>
      <w:r w:rsidRPr="003112B5">
        <w:rPr>
          <w:rFonts w:ascii="Arial" w:eastAsia="Times New Roman" w:hAnsi="Arial" w:cs="Arial"/>
          <w:color w:val="000000"/>
          <w:sz w:val="24"/>
          <w:szCs w:val="24"/>
          <w:lang w:eastAsia="en-NZ"/>
        </w:rPr>
        <w:t>State</w:t>
      </w:r>
      <w:r w:rsidR="00CF555C" w:rsidRPr="003112B5">
        <w:rPr>
          <w:rFonts w:ascii="Arial" w:eastAsia="Times New Roman" w:hAnsi="Arial" w:cs="Arial"/>
          <w:color w:val="000000"/>
          <w:sz w:val="24"/>
          <w:szCs w:val="24"/>
          <w:lang w:eastAsia="en-NZ"/>
        </w:rPr>
        <w:t>s</w:t>
      </w:r>
      <w:r w:rsidR="000C053D" w:rsidRPr="003112B5">
        <w:rPr>
          <w:rFonts w:ascii="Arial" w:eastAsia="Times New Roman" w:hAnsi="Arial" w:cs="Arial"/>
          <w:color w:val="000000"/>
          <w:sz w:val="24"/>
          <w:szCs w:val="24"/>
          <w:lang w:eastAsia="en-NZ"/>
        </w:rPr>
        <w:t>,</w:t>
      </w:r>
      <w:r w:rsidRPr="003112B5">
        <w:rPr>
          <w:rFonts w:ascii="Arial" w:eastAsia="Times New Roman" w:hAnsi="Arial" w:cs="Arial"/>
          <w:color w:val="000000"/>
          <w:sz w:val="24"/>
          <w:szCs w:val="24"/>
          <w:lang w:eastAsia="en-NZ"/>
        </w:rPr>
        <w:t xml:space="preserve"> whether or not </w:t>
      </w:r>
      <w:r w:rsidR="00CF555C" w:rsidRPr="003112B5">
        <w:rPr>
          <w:rFonts w:ascii="Arial" w:eastAsia="Times New Roman" w:hAnsi="Arial" w:cs="Arial"/>
          <w:color w:val="000000"/>
          <w:sz w:val="24"/>
          <w:szCs w:val="24"/>
          <w:lang w:eastAsia="en-NZ"/>
        </w:rPr>
        <w:t xml:space="preserve">a particular State </w:t>
      </w:r>
      <w:r w:rsidRPr="003112B5">
        <w:rPr>
          <w:rFonts w:ascii="Arial" w:eastAsia="Times New Roman" w:hAnsi="Arial" w:cs="Arial"/>
          <w:color w:val="000000"/>
          <w:sz w:val="24"/>
          <w:szCs w:val="24"/>
          <w:lang w:eastAsia="en-NZ"/>
        </w:rPr>
        <w:t xml:space="preserve">is a party to treaties which </w:t>
      </w:r>
      <w:r w:rsidR="00C526B8" w:rsidRPr="003112B5">
        <w:rPr>
          <w:rFonts w:ascii="Arial" w:eastAsia="Times New Roman" w:hAnsi="Arial" w:cs="Arial"/>
          <w:color w:val="000000"/>
          <w:sz w:val="24"/>
          <w:szCs w:val="24"/>
          <w:lang w:eastAsia="en-NZ"/>
        </w:rPr>
        <w:t xml:space="preserve">recognise </w:t>
      </w:r>
      <w:r w:rsidRPr="003112B5">
        <w:rPr>
          <w:rFonts w:ascii="Arial" w:eastAsia="Times New Roman" w:hAnsi="Arial" w:cs="Arial"/>
          <w:color w:val="000000"/>
          <w:sz w:val="24"/>
          <w:szCs w:val="24"/>
          <w:lang w:eastAsia="en-NZ"/>
        </w:rPr>
        <w:t>them.</w:t>
      </w:r>
      <w:r w:rsidRPr="003112B5">
        <w:rPr>
          <w:rStyle w:val="FootnoteReference"/>
          <w:rFonts w:ascii="Arial" w:eastAsia="Times New Roman" w:hAnsi="Arial" w:cs="Arial"/>
          <w:color w:val="000000"/>
          <w:sz w:val="24"/>
          <w:szCs w:val="24"/>
          <w:lang w:eastAsia="en-NZ"/>
        </w:rPr>
        <w:footnoteReference w:id="10"/>
      </w:r>
      <w:r w:rsidRPr="003112B5">
        <w:rPr>
          <w:rFonts w:ascii="Arial" w:eastAsia="Times New Roman" w:hAnsi="Arial" w:cs="Arial"/>
          <w:color w:val="000000"/>
          <w:sz w:val="24"/>
          <w:szCs w:val="24"/>
          <w:lang w:eastAsia="en-NZ"/>
        </w:rPr>
        <w:t xml:space="preserve">  </w:t>
      </w:r>
    </w:p>
    <w:p w14:paraId="4D175973" w14:textId="3831B9C8" w:rsidR="00933270" w:rsidRDefault="00CF555C"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If</w:t>
      </w:r>
      <w:r w:rsidR="00933270" w:rsidRPr="003112B5">
        <w:rPr>
          <w:rFonts w:ascii="Arial" w:eastAsia="Times New Roman" w:hAnsi="Arial" w:cs="Arial"/>
          <w:color w:val="000000"/>
          <w:sz w:val="24"/>
          <w:szCs w:val="24"/>
          <w:lang w:eastAsia="en-NZ"/>
        </w:rPr>
        <w:t xml:space="preserve"> that is accepted, however, it is not clear when such rights became part of customary international law.  </w:t>
      </w:r>
    </w:p>
    <w:p w14:paraId="3179394D" w14:textId="77777777" w:rsidR="00950278" w:rsidRPr="003112B5" w:rsidRDefault="00950278" w:rsidP="00950278">
      <w:pPr>
        <w:autoSpaceDE w:val="0"/>
        <w:autoSpaceDN w:val="0"/>
        <w:adjustRightInd w:val="0"/>
        <w:spacing w:after="240" w:line="240" w:lineRule="auto"/>
        <w:jc w:val="both"/>
        <w:rPr>
          <w:rFonts w:ascii="Arial" w:eastAsia="Times New Roman" w:hAnsi="Arial" w:cs="Arial"/>
          <w:color w:val="000000"/>
          <w:sz w:val="24"/>
          <w:szCs w:val="24"/>
          <w:lang w:eastAsia="en-NZ"/>
        </w:rPr>
      </w:pPr>
      <w:r w:rsidRPr="003112B5">
        <w:rPr>
          <w:rFonts w:ascii="Arial" w:eastAsia="Times New Roman" w:hAnsi="Arial" w:cs="Arial"/>
          <w:b/>
          <w:bCs/>
          <w:color w:val="000000"/>
          <w:sz w:val="24"/>
          <w:szCs w:val="24"/>
          <w:lang w:eastAsia="en-NZ"/>
        </w:rPr>
        <w:lastRenderedPageBreak/>
        <w:t xml:space="preserve">United Nations Declaration of </w:t>
      </w:r>
      <w:r>
        <w:rPr>
          <w:rFonts w:ascii="Arial" w:eastAsia="Times New Roman" w:hAnsi="Arial" w:cs="Arial"/>
          <w:b/>
          <w:bCs/>
          <w:color w:val="000000"/>
          <w:sz w:val="24"/>
          <w:szCs w:val="24"/>
          <w:lang w:eastAsia="en-NZ"/>
        </w:rPr>
        <w:t>Basic Principles of Justice for Victims of Crime and Abuse of Power</w:t>
      </w:r>
    </w:p>
    <w:p w14:paraId="129802DC" w14:textId="1BF07D08" w:rsidR="00950278" w:rsidRDefault="00950278" w:rsidP="00950278">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This Declaration was adopted by the UN General Assembly in 1985</w:t>
      </w:r>
      <w:r w:rsidR="00080BDF">
        <w:rPr>
          <w:rFonts w:ascii="Arial" w:eastAsia="Times New Roman" w:hAnsi="Arial" w:cs="Arial"/>
          <w:color w:val="000000"/>
          <w:sz w:val="24"/>
          <w:szCs w:val="24"/>
          <w:lang w:eastAsia="en-NZ"/>
        </w:rPr>
        <w:t xml:space="preserve">.  Like the UDHR, it is not a treaty.  </w:t>
      </w:r>
      <w:r w:rsidR="0027138C">
        <w:rPr>
          <w:rFonts w:ascii="Arial" w:eastAsia="Times New Roman" w:hAnsi="Arial" w:cs="Arial"/>
          <w:color w:val="000000"/>
          <w:sz w:val="24"/>
          <w:szCs w:val="24"/>
          <w:lang w:eastAsia="en-NZ"/>
        </w:rPr>
        <w:t>The Declaration</w:t>
      </w:r>
      <w:r>
        <w:rPr>
          <w:rFonts w:ascii="Arial" w:eastAsia="Times New Roman" w:hAnsi="Arial" w:cs="Arial"/>
          <w:color w:val="000000"/>
          <w:sz w:val="24"/>
          <w:szCs w:val="24"/>
          <w:lang w:eastAsia="en-NZ"/>
        </w:rPr>
        <w:t xml:space="preserve"> defines “victims” as persons who have suffered harm (including physical or mental injury) through acts or omissions that are defined as criminal in UN Member States, or are violations of “internationally recognized norms relating to human rights.”</w:t>
      </w:r>
      <w:r>
        <w:rPr>
          <w:rStyle w:val="FootnoteReference"/>
          <w:rFonts w:ascii="Arial" w:eastAsia="Times New Roman" w:hAnsi="Arial" w:cs="Arial"/>
          <w:color w:val="000000"/>
          <w:sz w:val="24"/>
          <w:szCs w:val="24"/>
          <w:lang w:eastAsia="en-NZ"/>
        </w:rPr>
        <w:footnoteReference w:id="11"/>
      </w:r>
      <w:r>
        <w:rPr>
          <w:rFonts w:ascii="Arial" w:eastAsia="Times New Roman" w:hAnsi="Arial" w:cs="Arial"/>
          <w:color w:val="000000"/>
          <w:sz w:val="24"/>
          <w:szCs w:val="24"/>
          <w:lang w:eastAsia="en-NZ"/>
        </w:rPr>
        <w:t xml:space="preserve">  Amongst other matters, it states that victims should be treated compassionately and with respect for their dignity,</w:t>
      </w:r>
      <w:r>
        <w:rPr>
          <w:rStyle w:val="FootnoteReference"/>
          <w:rFonts w:ascii="Arial" w:eastAsia="Times New Roman" w:hAnsi="Arial" w:cs="Arial"/>
          <w:color w:val="000000"/>
          <w:sz w:val="24"/>
          <w:szCs w:val="24"/>
          <w:lang w:eastAsia="en-NZ"/>
        </w:rPr>
        <w:footnoteReference w:id="12"/>
      </w:r>
      <w:r>
        <w:rPr>
          <w:rFonts w:ascii="Arial" w:eastAsia="Times New Roman" w:hAnsi="Arial" w:cs="Arial"/>
          <w:color w:val="000000"/>
          <w:sz w:val="24"/>
          <w:szCs w:val="24"/>
          <w:lang w:eastAsia="en-NZ"/>
        </w:rPr>
        <w:t xml:space="preserve"> and that mechanisms should be available which allow victims to obtain redress through procedures that are “expeditious, fair, inexpensive and accessible.”</w:t>
      </w:r>
      <w:r>
        <w:rPr>
          <w:rStyle w:val="FootnoteReference"/>
          <w:rFonts w:ascii="Arial" w:eastAsia="Times New Roman" w:hAnsi="Arial" w:cs="Arial"/>
          <w:color w:val="000000"/>
          <w:sz w:val="24"/>
          <w:szCs w:val="24"/>
          <w:lang w:eastAsia="en-NZ"/>
        </w:rPr>
        <w:footnoteReference w:id="13"/>
      </w:r>
      <w:r>
        <w:rPr>
          <w:rFonts w:ascii="Arial" w:eastAsia="Times New Roman" w:hAnsi="Arial" w:cs="Arial"/>
          <w:color w:val="000000"/>
          <w:sz w:val="24"/>
          <w:szCs w:val="24"/>
          <w:lang w:eastAsia="en-NZ"/>
        </w:rPr>
        <w:t xml:space="preserve">  </w:t>
      </w:r>
    </w:p>
    <w:p w14:paraId="6CB27B20" w14:textId="0BAF18D2" w:rsidR="00950278" w:rsidRPr="008733AA" w:rsidRDefault="00950278" w:rsidP="00950278">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In addition, the Declaration affirms that victims should receive restitution, compensation and assistance (including medical, psychological and social assistance) in certain circumstances.</w:t>
      </w:r>
      <w:r>
        <w:rPr>
          <w:rStyle w:val="FootnoteReference"/>
          <w:rFonts w:ascii="Arial" w:eastAsia="Times New Roman" w:hAnsi="Arial" w:cs="Arial"/>
          <w:color w:val="000000"/>
          <w:sz w:val="24"/>
          <w:szCs w:val="24"/>
          <w:lang w:eastAsia="en-NZ"/>
        </w:rPr>
        <w:footnoteReference w:id="14"/>
      </w:r>
    </w:p>
    <w:p w14:paraId="7475B970" w14:textId="2EC25194" w:rsidR="00933270" w:rsidRPr="003112B5" w:rsidRDefault="00933270" w:rsidP="00E74AFF">
      <w:pPr>
        <w:spacing w:after="0" w:line="240" w:lineRule="auto"/>
        <w:rPr>
          <w:rFonts w:ascii="Arial" w:eastAsia="Times New Roman" w:hAnsi="Arial" w:cs="Arial"/>
          <w:color w:val="000000"/>
          <w:sz w:val="24"/>
          <w:szCs w:val="24"/>
          <w:lang w:eastAsia="en-NZ"/>
        </w:rPr>
      </w:pPr>
      <w:r w:rsidRPr="003112B5">
        <w:rPr>
          <w:rFonts w:ascii="Arial" w:eastAsia="Times New Roman" w:hAnsi="Arial" w:cs="Arial"/>
          <w:b/>
          <w:bCs/>
          <w:color w:val="000000"/>
          <w:sz w:val="24"/>
          <w:szCs w:val="24"/>
          <w:lang w:eastAsia="en-NZ"/>
        </w:rPr>
        <w:t>International human rights treaties</w:t>
      </w:r>
    </w:p>
    <w:p w14:paraId="4E357927" w14:textId="77777777" w:rsidR="00933270" w:rsidRPr="003112B5" w:rsidRDefault="00933270" w:rsidP="00E74AFF">
      <w:pPr>
        <w:spacing w:after="0" w:line="240" w:lineRule="auto"/>
        <w:rPr>
          <w:rFonts w:ascii="Arial" w:eastAsia="Times New Roman" w:hAnsi="Arial" w:cs="Arial"/>
          <w:color w:val="000000"/>
          <w:sz w:val="24"/>
          <w:szCs w:val="24"/>
          <w:lang w:eastAsia="en-NZ"/>
        </w:rPr>
      </w:pPr>
    </w:p>
    <w:p w14:paraId="23ACA2AC" w14:textId="66E72392"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Since the UDHR’s adoption, a series of international human rights treaties have been made.  A purpose of these treaties is to carry out the Charter obligations of UN Member States in relation to human rights, as referred to above.  They include, draw on and in some cases develop the rights proclaimed in the UDHR.  </w:t>
      </w:r>
    </w:p>
    <w:p w14:paraId="6F888F66" w14:textId="1500E98C"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New Zealand is a State Party to the following </w:t>
      </w:r>
      <w:r w:rsidR="00CF555C" w:rsidRPr="003112B5">
        <w:rPr>
          <w:rFonts w:ascii="Arial" w:eastAsia="Times New Roman" w:hAnsi="Arial" w:cs="Arial"/>
          <w:color w:val="000000"/>
          <w:sz w:val="24"/>
          <w:szCs w:val="24"/>
          <w:lang w:eastAsia="en-NZ"/>
        </w:rPr>
        <w:t xml:space="preserve">relevant </w:t>
      </w:r>
      <w:r w:rsidRPr="003112B5">
        <w:rPr>
          <w:rFonts w:ascii="Arial" w:eastAsia="Times New Roman" w:hAnsi="Arial" w:cs="Arial"/>
          <w:color w:val="000000"/>
          <w:sz w:val="24"/>
          <w:szCs w:val="24"/>
          <w:lang w:eastAsia="en-NZ"/>
        </w:rPr>
        <w:t xml:space="preserve">human rights treaties: </w:t>
      </w:r>
    </w:p>
    <w:p w14:paraId="7C607A2E" w14:textId="7CFD6909" w:rsidR="00933270" w:rsidRPr="003112B5" w:rsidRDefault="00933270" w:rsidP="00F97A3E">
      <w:pPr>
        <w:pStyle w:val="ListParagraph"/>
        <w:numPr>
          <w:ilvl w:val="0"/>
          <w:numId w:val="5"/>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International Convention on the Elimination of All Forms of Racial Discrimination (</w:t>
      </w:r>
      <w:r w:rsidRPr="003112B5">
        <w:rPr>
          <w:rFonts w:ascii="Arial" w:eastAsia="Times New Roman" w:hAnsi="Arial" w:cs="Arial"/>
          <w:b/>
          <w:bCs/>
          <w:color w:val="000000"/>
          <w:sz w:val="24"/>
          <w:szCs w:val="24"/>
          <w:lang w:eastAsia="en-NZ"/>
        </w:rPr>
        <w:t>CERD</w:t>
      </w:r>
      <w:r w:rsidRPr="003112B5">
        <w:rPr>
          <w:rFonts w:ascii="Arial" w:eastAsia="Times New Roman" w:hAnsi="Arial" w:cs="Arial"/>
          <w:color w:val="000000"/>
          <w:sz w:val="24"/>
          <w:szCs w:val="24"/>
          <w:lang w:eastAsia="en-NZ"/>
        </w:rPr>
        <w:t>)</w:t>
      </w:r>
      <w:r w:rsidRPr="003112B5">
        <w:rPr>
          <w:rFonts w:ascii="Arial" w:eastAsia="Times New Roman" w:hAnsi="Arial" w:cs="Arial"/>
          <w:b/>
          <w:bCs/>
          <w:color w:val="000000"/>
          <w:sz w:val="24"/>
          <w:szCs w:val="24"/>
          <w:lang w:eastAsia="en-NZ"/>
        </w:rPr>
        <w:t xml:space="preserve"> </w:t>
      </w:r>
      <w:r w:rsidRPr="003112B5">
        <w:rPr>
          <w:rFonts w:ascii="Arial" w:eastAsia="Times New Roman" w:hAnsi="Arial" w:cs="Arial"/>
          <w:color w:val="000000"/>
          <w:sz w:val="24"/>
          <w:szCs w:val="24"/>
          <w:lang w:eastAsia="en-NZ"/>
        </w:rPr>
        <w:t>(ratified by New Zealand on 22 November 1972).</w:t>
      </w:r>
    </w:p>
    <w:p w14:paraId="16B30849" w14:textId="77777777" w:rsidR="00E74AFF" w:rsidRPr="003112B5" w:rsidRDefault="00E74AFF" w:rsidP="00E74AFF">
      <w:pPr>
        <w:spacing w:after="0" w:line="240" w:lineRule="auto"/>
        <w:ind w:left="140"/>
        <w:rPr>
          <w:rFonts w:ascii="Arial" w:eastAsia="Times New Roman" w:hAnsi="Arial" w:cs="Arial"/>
          <w:color w:val="000000"/>
          <w:sz w:val="24"/>
          <w:szCs w:val="24"/>
          <w:lang w:eastAsia="en-NZ"/>
        </w:rPr>
      </w:pPr>
    </w:p>
    <w:p w14:paraId="288B75B3" w14:textId="0554865B" w:rsidR="00933270" w:rsidRPr="003112B5" w:rsidRDefault="00933270" w:rsidP="00F97A3E">
      <w:pPr>
        <w:pStyle w:val="ListParagraph"/>
        <w:numPr>
          <w:ilvl w:val="0"/>
          <w:numId w:val="5"/>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International Covenant on Civil and Political Rights (</w:t>
      </w:r>
      <w:r w:rsidRPr="003112B5">
        <w:rPr>
          <w:rFonts w:ascii="Arial" w:eastAsia="Times New Roman" w:hAnsi="Arial" w:cs="Arial"/>
          <w:b/>
          <w:bCs/>
          <w:color w:val="000000"/>
          <w:sz w:val="24"/>
          <w:szCs w:val="24"/>
          <w:lang w:eastAsia="en-NZ"/>
        </w:rPr>
        <w:t>ICCPR</w:t>
      </w:r>
      <w:r w:rsidRPr="003112B5">
        <w:rPr>
          <w:rFonts w:ascii="Arial" w:eastAsia="Times New Roman" w:hAnsi="Arial" w:cs="Arial"/>
          <w:color w:val="000000"/>
          <w:sz w:val="24"/>
          <w:szCs w:val="24"/>
          <w:lang w:eastAsia="en-NZ"/>
        </w:rPr>
        <w:t>) (ratified by New Zealand on 28 December 1978).</w:t>
      </w:r>
    </w:p>
    <w:p w14:paraId="59CAACFB" w14:textId="77777777" w:rsidR="00E74AFF" w:rsidRPr="003112B5" w:rsidRDefault="00E74AFF" w:rsidP="00E74AFF">
      <w:pPr>
        <w:spacing w:after="0" w:line="240" w:lineRule="auto"/>
        <w:ind w:left="140"/>
        <w:rPr>
          <w:rFonts w:ascii="Arial" w:eastAsia="Times New Roman" w:hAnsi="Arial" w:cs="Arial"/>
          <w:color w:val="000000"/>
          <w:sz w:val="24"/>
          <w:szCs w:val="24"/>
          <w:lang w:eastAsia="en-NZ"/>
        </w:rPr>
      </w:pPr>
    </w:p>
    <w:p w14:paraId="43853E61" w14:textId="1F74AAD7" w:rsidR="00933270" w:rsidRPr="003112B5" w:rsidRDefault="00933270" w:rsidP="00F97A3E">
      <w:pPr>
        <w:pStyle w:val="ListParagraph"/>
        <w:numPr>
          <w:ilvl w:val="0"/>
          <w:numId w:val="5"/>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International Covenant on Economic, Social and Cultural Rights (</w:t>
      </w:r>
      <w:r w:rsidRPr="003112B5">
        <w:rPr>
          <w:rFonts w:ascii="Arial" w:eastAsia="Times New Roman" w:hAnsi="Arial" w:cs="Arial"/>
          <w:b/>
          <w:bCs/>
          <w:color w:val="000000"/>
          <w:sz w:val="24"/>
          <w:szCs w:val="24"/>
          <w:lang w:eastAsia="en-NZ"/>
        </w:rPr>
        <w:t>ICESCR</w:t>
      </w:r>
      <w:r w:rsidRPr="003112B5">
        <w:rPr>
          <w:rFonts w:ascii="Arial" w:eastAsia="Times New Roman" w:hAnsi="Arial" w:cs="Arial"/>
          <w:color w:val="000000"/>
          <w:sz w:val="24"/>
          <w:szCs w:val="24"/>
          <w:lang w:eastAsia="en-NZ"/>
        </w:rPr>
        <w:t>) (ratified by New Zealand on 28 December 1978).</w:t>
      </w:r>
    </w:p>
    <w:p w14:paraId="1223FE3F" w14:textId="77777777" w:rsidR="00E74AFF" w:rsidRPr="003112B5" w:rsidRDefault="00E74AFF" w:rsidP="00E74AFF">
      <w:pPr>
        <w:spacing w:after="0" w:line="240" w:lineRule="auto"/>
        <w:ind w:left="140"/>
        <w:rPr>
          <w:rFonts w:ascii="Arial" w:eastAsia="Times New Roman" w:hAnsi="Arial" w:cs="Arial"/>
          <w:color w:val="000000"/>
          <w:sz w:val="24"/>
          <w:szCs w:val="24"/>
          <w:lang w:eastAsia="en-NZ"/>
        </w:rPr>
      </w:pPr>
    </w:p>
    <w:p w14:paraId="50DE0319" w14:textId="4E5BE724" w:rsidR="00933270" w:rsidRPr="003112B5" w:rsidRDefault="00933270" w:rsidP="00F97A3E">
      <w:pPr>
        <w:pStyle w:val="ListParagraph"/>
        <w:numPr>
          <w:ilvl w:val="0"/>
          <w:numId w:val="5"/>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Convention on the Elimination of All Forms of Discrimination against Women (</w:t>
      </w:r>
      <w:r w:rsidRPr="003112B5">
        <w:rPr>
          <w:rFonts w:ascii="Arial" w:eastAsia="Times New Roman" w:hAnsi="Arial" w:cs="Arial"/>
          <w:b/>
          <w:bCs/>
          <w:color w:val="000000"/>
          <w:sz w:val="24"/>
          <w:szCs w:val="24"/>
          <w:lang w:eastAsia="en-NZ"/>
        </w:rPr>
        <w:t>CEDAW</w:t>
      </w:r>
      <w:r w:rsidRPr="003112B5">
        <w:rPr>
          <w:rFonts w:ascii="Arial" w:eastAsia="Times New Roman" w:hAnsi="Arial" w:cs="Arial"/>
          <w:color w:val="000000"/>
          <w:sz w:val="24"/>
          <w:szCs w:val="24"/>
          <w:lang w:eastAsia="en-NZ"/>
        </w:rPr>
        <w:t>) (ratified by New Zealand on 10 January 1985).</w:t>
      </w:r>
    </w:p>
    <w:p w14:paraId="4E499CDC" w14:textId="77777777" w:rsidR="00E74AFF" w:rsidRPr="003112B5" w:rsidRDefault="00E74AFF" w:rsidP="00E74AFF">
      <w:pPr>
        <w:spacing w:after="0" w:line="240" w:lineRule="auto"/>
        <w:ind w:left="140"/>
        <w:rPr>
          <w:rFonts w:ascii="Arial" w:eastAsia="Times New Roman" w:hAnsi="Arial" w:cs="Arial"/>
          <w:color w:val="000000"/>
          <w:sz w:val="24"/>
          <w:szCs w:val="24"/>
          <w:lang w:eastAsia="en-NZ"/>
        </w:rPr>
      </w:pPr>
    </w:p>
    <w:p w14:paraId="7DDE3682" w14:textId="4899C5E4" w:rsidR="00933270" w:rsidRPr="003112B5" w:rsidRDefault="00933270" w:rsidP="00F97A3E">
      <w:pPr>
        <w:pStyle w:val="ListParagraph"/>
        <w:numPr>
          <w:ilvl w:val="0"/>
          <w:numId w:val="5"/>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Convention against Torture and Other Cruel, Inhuman or Degrading Treatment or Punishment (</w:t>
      </w:r>
      <w:r w:rsidRPr="003112B5">
        <w:rPr>
          <w:rFonts w:ascii="Arial" w:eastAsia="Times New Roman" w:hAnsi="Arial" w:cs="Arial"/>
          <w:b/>
          <w:bCs/>
          <w:color w:val="000000"/>
          <w:sz w:val="24"/>
          <w:szCs w:val="24"/>
          <w:lang w:eastAsia="en-NZ"/>
        </w:rPr>
        <w:t>CAT</w:t>
      </w:r>
      <w:r w:rsidRPr="003112B5">
        <w:rPr>
          <w:rFonts w:ascii="Arial" w:eastAsia="Times New Roman" w:hAnsi="Arial" w:cs="Arial"/>
          <w:color w:val="000000"/>
          <w:sz w:val="24"/>
          <w:szCs w:val="24"/>
          <w:lang w:eastAsia="en-NZ"/>
        </w:rPr>
        <w:t>) (ratified by New Zealand on 10 December 1989).</w:t>
      </w:r>
    </w:p>
    <w:p w14:paraId="51BDA383" w14:textId="77777777" w:rsidR="00E74AFF" w:rsidRPr="003112B5" w:rsidRDefault="00E74AFF" w:rsidP="00E74AFF">
      <w:pPr>
        <w:spacing w:after="0" w:line="240" w:lineRule="auto"/>
        <w:ind w:left="140"/>
        <w:rPr>
          <w:rFonts w:ascii="Arial" w:eastAsia="Times New Roman" w:hAnsi="Arial" w:cs="Arial"/>
          <w:color w:val="000000"/>
          <w:sz w:val="24"/>
          <w:szCs w:val="24"/>
          <w:lang w:eastAsia="en-NZ"/>
        </w:rPr>
      </w:pPr>
    </w:p>
    <w:p w14:paraId="0CF89092" w14:textId="06FF1682" w:rsidR="00933270" w:rsidRPr="003112B5" w:rsidRDefault="00933270" w:rsidP="00F97A3E">
      <w:pPr>
        <w:pStyle w:val="ListParagraph"/>
        <w:numPr>
          <w:ilvl w:val="0"/>
          <w:numId w:val="5"/>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Convention on the Rights of the Child (</w:t>
      </w:r>
      <w:r w:rsidRPr="003112B5">
        <w:rPr>
          <w:rFonts w:ascii="Arial" w:eastAsia="Times New Roman" w:hAnsi="Arial" w:cs="Arial"/>
          <w:b/>
          <w:bCs/>
          <w:color w:val="000000"/>
          <w:sz w:val="24"/>
          <w:szCs w:val="24"/>
          <w:lang w:eastAsia="en-NZ"/>
        </w:rPr>
        <w:t>CROC</w:t>
      </w:r>
      <w:r w:rsidRPr="003112B5">
        <w:rPr>
          <w:rFonts w:ascii="Arial" w:eastAsia="Times New Roman" w:hAnsi="Arial" w:cs="Arial"/>
          <w:color w:val="000000"/>
          <w:sz w:val="24"/>
          <w:szCs w:val="24"/>
          <w:lang w:eastAsia="en-NZ"/>
        </w:rPr>
        <w:t>) (ratified by New Zealand on 6 April 1993).</w:t>
      </w:r>
    </w:p>
    <w:p w14:paraId="76C5B77C" w14:textId="77777777" w:rsidR="00E74AFF" w:rsidRPr="003112B5" w:rsidRDefault="00E74AFF" w:rsidP="00E74AFF">
      <w:pPr>
        <w:pStyle w:val="ListParagraph"/>
        <w:rPr>
          <w:rFonts w:ascii="Arial" w:eastAsia="Times New Roman" w:hAnsi="Arial" w:cs="Arial"/>
          <w:color w:val="000000"/>
          <w:sz w:val="24"/>
          <w:szCs w:val="24"/>
          <w:lang w:eastAsia="en-NZ"/>
        </w:rPr>
      </w:pPr>
    </w:p>
    <w:p w14:paraId="705B65B4" w14:textId="5FF7A80E" w:rsidR="00933270" w:rsidRPr="003112B5" w:rsidRDefault="00933270" w:rsidP="00F97A3E">
      <w:pPr>
        <w:pStyle w:val="ListParagraph"/>
        <w:numPr>
          <w:ilvl w:val="0"/>
          <w:numId w:val="5"/>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Convention on the Rights of Persons with Disabilities (</w:t>
      </w:r>
      <w:r w:rsidRPr="003112B5">
        <w:rPr>
          <w:rFonts w:ascii="Arial" w:eastAsia="Times New Roman" w:hAnsi="Arial" w:cs="Arial"/>
          <w:b/>
          <w:bCs/>
          <w:color w:val="000000"/>
          <w:sz w:val="24"/>
          <w:szCs w:val="24"/>
          <w:lang w:eastAsia="en-NZ"/>
        </w:rPr>
        <w:t>CRPD</w:t>
      </w:r>
      <w:r w:rsidRPr="003112B5">
        <w:rPr>
          <w:rFonts w:ascii="Arial" w:eastAsia="Times New Roman" w:hAnsi="Arial" w:cs="Arial"/>
          <w:color w:val="000000"/>
          <w:sz w:val="24"/>
          <w:szCs w:val="24"/>
          <w:lang w:eastAsia="en-NZ"/>
        </w:rPr>
        <w:t>) (ratified by New Zealand on 25 September 2008).</w:t>
      </w:r>
    </w:p>
    <w:p w14:paraId="3AF710A8" w14:textId="77777777" w:rsidR="00E74AFF" w:rsidRPr="003112B5" w:rsidRDefault="00E74AFF" w:rsidP="00E74AFF">
      <w:pPr>
        <w:spacing w:after="0" w:line="240" w:lineRule="auto"/>
        <w:rPr>
          <w:rFonts w:ascii="Arial" w:eastAsia="Times New Roman" w:hAnsi="Arial" w:cs="Arial"/>
          <w:color w:val="000000"/>
          <w:sz w:val="24"/>
          <w:szCs w:val="24"/>
          <w:lang w:eastAsia="en-NZ"/>
        </w:rPr>
      </w:pPr>
    </w:p>
    <w:p w14:paraId="794E8EB8" w14:textId="6F9A5FD3"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International law requires New Zealand to comply with these treaties.  Article 26 of the Vienna Convention on the Law of Treaties</w:t>
      </w:r>
      <w:r w:rsidR="00EB2CC0" w:rsidRPr="003112B5">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provides that parties to a treaty must perform their obligations under it in good faith.</w:t>
      </w:r>
      <w:r w:rsidR="00EB2CC0" w:rsidRPr="003112B5">
        <w:rPr>
          <w:rStyle w:val="FootnoteReference"/>
          <w:rFonts w:ascii="Arial" w:eastAsia="Times New Roman" w:hAnsi="Arial" w:cs="Arial"/>
          <w:color w:val="000000"/>
          <w:sz w:val="24"/>
          <w:szCs w:val="24"/>
          <w:lang w:eastAsia="en-NZ"/>
        </w:rPr>
        <w:footnoteReference w:id="15"/>
      </w:r>
      <w:r w:rsidR="00EB2CC0" w:rsidRPr="003112B5">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 xml:space="preserve"> Article 27 states that a party to a treaty cannot use its domestic law as justification for any failure to perform its obligations under that treaty.</w:t>
      </w:r>
      <w:r w:rsidRPr="003112B5">
        <w:rPr>
          <w:rStyle w:val="FootnoteReference"/>
          <w:rFonts w:ascii="Arial" w:eastAsia="Times New Roman" w:hAnsi="Arial" w:cs="Arial"/>
          <w:color w:val="000000"/>
          <w:sz w:val="24"/>
          <w:szCs w:val="24"/>
          <w:lang w:eastAsia="en-NZ"/>
        </w:rPr>
        <w:footnoteReference w:id="16"/>
      </w:r>
      <w:r w:rsidRPr="003112B5">
        <w:rPr>
          <w:rFonts w:ascii="Arial" w:eastAsia="Times New Roman" w:hAnsi="Arial" w:cs="Arial"/>
          <w:color w:val="000000"/>
          <w:sz w:val="24"/>
          <w:szCs w:val="24"/>
          <w:lang w:eastAsia="en-NZ"/>
        </w:rPr>
        <w:t xml:space="preserve">  </w:t>
      </w:r>
    </w:p>
    <w:p w14:paraId="73F82153" w14:textId="78A1E268" w:rsidR="00933270" w:rsidRPr="003112B5" w:rsidRDefault="00EB2CC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As</w:t>
      </w:r>
      <w:r w:rsidR="00933270" w:rsidRPr="003112B5">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 xml:space="preserve">set out in </w:t>
      </w:r>
      <w:r w:rsidR="00933270" w:rsidRPr="003112B5">
        <w:rPr>
          <w:rFonts w:ascii="Arial" w:eastAsia="Times New Roman" w:hAnsi="Arial" w:cs="Arial"/>
          <w:color w:val="000000"/>
          <w:sz w:val="24"/>
          <w:szCs w:val="24"/>
          <w:lang w:eastAsia="en-NZ"/>
        </w:rPr>
        <w:t xml:space="preserve">article 28 of the Vienna Convention, treaties do not apply retrospectively other than in limited circumstances.  In other words, they do not apply to acts which took place or situations which ceased to exist before the relevant treaty became binding on the State </w:t>
      </w:r>
      <w:r w:rsidR="00E7474C" w:rsidRPr="003112B5">
        <w:rPr>
          <w:rFonts w:ascii="Arial" w:eastAsia="Times New Roman" w:hAnsi="Arial" w:cs="Arial"/>
          <w:color w:val="000000"/>
          <w:sz w:val="24"/>
          <w:szCs w:val="24"/>
          <w:lang w:eastAsia="en-NZ"/>
        </w:rPr>
        <w:t>Pa</w:t>
      </w:r>
      <w:r w:rsidR="00933270" w:rsidRPr="003112B5">
        <w:rPr>
          <w:rFonts w:ascii="Arial" w:eastAsia="Times New Roman" w:hAnsi="Arial" w:cs="Arial"/>
          <w:color w:val="000000"/>
          <w:sz w:val="24"/>
          <w:szCs w:val="24"/>
          <w:lang w:eastAsia="en-NZ"/>
        </w:rPr>
        <w:t>rty concerned.</w:t>
      </w:r>
    </w:p>
    <w:p w14:paraId="2F8BC4A7" w14:textId="00F57DAE" w:rsidR="00933270" w:rsidRPr="003112B5" w:rsidRDefault="00933270" w:rsidP="00E74AFF">
      <w:pPr>
        <w:autoSpaceDE w:val="0"/>
        <w:autoSpaceDN w:val="0"/>
        <w:adjustRightInd w:val="0"/>
        <w:spacing w:after="240" w:line="240" w:lineRule="auto"/>
        <w:jc w:val="both"/>
        <w:rPr>
          <w:rFonts w:ascii="Arial" w:eastAsia="Times New Roman" w:hAnsi="Arial" w:cs="Arial"/>
          <w:color w:val="000000"/>
          <w:sz w:val="24"/>
          <w:szCs w:val="24"/>
          <w:lang w:eastAsia="en-NZ"/>
        </w:rPr>
      </w:pPr>
      <w:r w:rsidRPr="003112B5">
        <w:rPr>
          <w:rFonts w:ascii="Arial" w:eastAsia="Times New Roman" w:hAnsi="Arial" w:cs="Arial"/>
          <w:b/>
          <w:bCs/>
          <w:color w:val="000000"/>
          <w:sz w:val="24"/>
          <w:szCs w:val="24"/>
          <w:lang w:eastAsia="en-NZ"/>
        </w:rPr>
        <w:t>United Nations Declaration of the Rights of Indigenous Peoples (UNDRIP)</w:t>
      </w:r>
    </w:p>
    <w:p w14:paraId="4B85117E" w14:textId="77478119"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UNDRIP was adopted by the United Nations General Assembly on 13 September 2007.  New Zealand voted against UNDRIP in 2007 but in 2010 changed its position to one of support.</w:t>
      </w:r>
      <w:r w:rsidRPr="003112B5">
        <w:rPr>
          <w:rStyle w:val="FootnoteReference"/>
          <w:rFonts w:ascii="Arial" w:eastAsia="Times New Roman" w:hAnsi="Arial" w:cs="Arial"/>
          <w:color w:val="000000"/>
          <w:sz w:val="24"/>
          <w:szCs w:val="24"/>
          <w:lang w:eastAsia="en-NZ"/>
        </w:rPr>
        <w:footnoteReference w:id="17"/>
      </w:r>
      <w:r w:rsidRPr="003112B5">
        <w:rPr>
          <w:rFonts w:ascii="Arial" w:eastAsia="Times New Roman" w:hAnsi="Arial" w:cs="Arial"/>
          <w:color w:val="000000"/>
          <w:sz w:val="24"/>
          <w:szCs w:val="24"/>
          <w:lang w:eastAsia="en-NZ"/>
        </w:rPr>
        <w:t xml:space="preserve">  </w:t>
      </w:r>
    </w:p>
    <w:p w14:paraId="4CD56000" w14:textId="30CE3806"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UNDRIP is not a treaty and therefore does not create legal obligations.  However, it refers to some rights which are in treaties to which New Zealand is a State Party, and/or rights which may be part of customary international law (e.g. the rights to self-determination, freedom from discrimination, and to life, liberty and security of the person).  Those rights are legally binding on States Parties </w:t>
      </w:r>
      <w:r w:rsidR="00E955A5">
        <w:rPr>
          <w:rFonts w:ascii="Arial" w:eastAsia="Times New Roman" w:hAnsi="Arial" w:cs="Arial"/>
          <w:color w:val="000000"/>
          <w:sz w:val="24"/>
          <w:szCs w:val="24"/>
          <w:lang w:eastAsia="en-NZ"/>
        </w:rPr>
        <w:t xml:space="preserve">to the relevant treaties, </w:t>
      </w:r>
      <w:r w:rsidRPr="003112B5">
        <w:rPr>
          <w:rFonts w:ascii="Arial" w:eastAsia="Times New Roman" w:hAnsi="Arial" w:cs="Arial"/>
          <w:color w:val="000000"/>
          <w:sz w:val="24"/>
          <w:szCs w:val="24"/>
          <w:lang w:eastAsia="en-NZ"/>
        </w:rPr>
        <w:t>including New Zealand or, if the particular right is part of customary international law, on all States.</w:t>
      </w:r>
    </w:p>
    <w:p w14:paraId="75B2CD29" w14:textId="7E7CB653" w:rsidR="004A188D" w:rsidRDefault="004A188D"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Appendix A provides examples of the rights proclaimed in UNDRIP</w:t>
      </w:r>
      <w:r w:rsidR="00F631A0" w:rsidRPr="003112B5">
        <w:rPr>
          <w:rFonts w:ascii="Arial" w:eastAsia="Times New Roman" w:hAnsi="Arial" w:cs="Arial"/>
          <w:color w:val="000000"/>
          <w:sz w:val="24"/>
          <w:szCs w:val="24"/>
          <w:lang w:eastAsia="en-NZ"/>
        </w:rPr>
        <w:t xml:space="preserve">. </w:t>
      </w:r>
    </w:p>
    <w:p w14:paraId="2C5F7D0B" w14:textId="77777777" w:rsidR="00ED2D53" w:rsidRDefault="008523B1" w:rsidP="008733AA">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In its report </w:t>
      </w:r>
      <w:r w:rsidRPr="00F17235">
        <w:rPr>
          <w:rFonts w:ascii="Arial" w:eastAsia="Times New Roman" w:hAnsi="Arial" w:cs="Arial"/>
          <w:i/>
          <w:iCs/>
          <w:color w:val="000000"/>
          <w:sz w:val="24"/>
          <w:szCs w:val="24"/>
          <w:lang w:eastAsia="en-NZ"/>
        </w:rPr>
        <w:t>Whaia te Mana Motuhake</w:t>
      </w:r>
      <w:r w:rsidRPr="003112B5">
        <w:rPr>
          <w:rFonts w:ascii="Arial" w:eastAsia="Times New Roman" w:hAnsi="Arial" w:cs="Arial"/>
          <w:color w:val="000000"/>
          <w:sz w:val="24"/>
          <w:szCs w:val="24"/>
          <w:lang w:eastAsia="en-NZ"/>
        </w:rPr>
        <w:t>, the Waitangi Tribunal stated that UNDRIP had “significant normative weight”,</w:t>
      </w:r>
      <w:r w:rsidRPr="008733AA">
        <w:rPr>
          <w:rStyle w:val="FootnoteReference"/>
          <w:rFonts w:ascii="Arial" w:eastAsia="Times New Roman" w:hAnsi="Arial" w:cs="Arial"/>
          <w:color w:val="000000"/>
          <w:sz w:val="24"/>
          <w:szCs w:val="24"/>
          <w:lang w:eastAsia="en-NZ"/>
        </w:rPr>
        <w:footnoteReference w:id="18"/>
      </w:r>
      <w:r w:rsidRPr="008733AA">
        <w:rPr>
          <w:rStyle w:val="FootnoteReference"/>
        </w:rPr>
        <w:t xml:space="preserve"> </w:t>
      </w:r>
      <w:r w:rsidRPr="003112B5">
        <w:rPr>
          <w:rFonts w:ascii="Arial" w:eastAsia="Times New Roman" w:hAnsi="Arial" w:cs="Arial"/>
          <w:color w:val="000000"/>
          <w:sz w:val="24"/>
          <w:szCs w:val="24"/>
          <w:lang w:eastAsia="en-NZ"/>
        </w:rPr>
        <w:t>and recorded acceptance by claimants and the Crown that UNDRIP is relevant to interpreting the principles of the Treaty of Waitangi.</w:t>
      </w:r>
      <w:r w:rsidRPr="008733AA">
        <w:rPr>
          <w:rStyle w:val="FootnoteReference"/>
          <w:rFonts w:ascii="Arial" w:eastAsia="Times New Roman" w:hAnsi="Arial" w:cs="Arial"/>
          <w:color w:val="000000"/>
          <w:sz w:val="24"/>
          <w:szCs w:val="24"/>
          <w:lang w:eastAsia="en-NZ"/>
        </w:rPr>
        <w:footnoteReference w:id="19"/>
      </w:r>
      <w:r w:rsidRPr="003112B5">
        <w:rPr>
          <w:rFonts w:ascii="Arial" w:eastAsia="Times New Roman" w:hAnsi="Arial" w:cs="Arial"/>
          <w:color w:val="000000"/>
          <w:sz w:val="24"/>
          <w:szCs w:val="24"/>
          <w:lang w:eastAsia="en-NZ"/>
        </w:rPr>
        <w:t xml:space="preserve">  The Waitangi Tribunal also considered that UNDRIP can be taken into account in assessing the Crown’s actions against Treaty principles.</w:t>
      </w:r>
      <w:r w:rsidRPr="008733AA">
        <w:rPr>
          <w:rStyle w:val="FootnoteReference"/>
          <w:rFonts w:ascii="Arial" w:eastAsia="Times New Roman" w:hAnsi="Arial" w:cs="Arial"/>
          <w:color w:val="000000"/>
          <w:sz w:val="24"/>
          <w:szCs w:val="24"/>
          <w:lang w:eastAsia="en-NZ"/>
        </w:rPr>
        <w:footnoteReference w:id="20"/>
      </w:r>
      <w:r>
        <w:rPr>
          <w:rFonts w:ascii="Arial" w:eastAsia="Times New Roman" w:hAnsi="Arial" w:cs="Arial"/>
          <w:color w:val="000000"/>
          <w:sz w:val="24"/>
          <w:szCs w:val="24"/>
          <w:lang w:eastAsia="en-NZ"/>
        </w:rPr>
        <w:t xml:space="preserve">  </w:t>
      </w:r>
    </w:p>
    <w:p w14:paraId="0E783EE8" w14:textId="4B2B3026" w:rsidR="00ED2D53" w:rsidRDefault="008523B1" w:rsidP="008733AA">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ED2D53">
        <w:rPr>
          <w:rFonts w:ascii="Arial" w:eastAsia="Times New Roman" w:hAnsi="Arial" w:cs="Arial"/>
          <w:color w:val="000000"/>
          <w:sz w:val="24"/>
          <w:szCs w:val="24"/>
          <w:lang w:eastAsia="en-NZ"/>
        </w:rPr>
        <w:t xml:space="preserve">The </w:t>
      </w:r>
      <w:r w:rsidR="00ED2D53" w:rsidRPr="00ED2D53">
        <w:rPr>
          <w:rFonts w:ascii="Arial" w:eastAsia="Times New Roman" w:hAnsi="Arial" w:cs="Arial"/>
          <w:color w:val="000000"/>
          <w:sz w:val="24"/>
          <w:szCs w:val="24"/>
          <w:lang w:eastAsia="en-NZ"/>
        </w:rPr>
        <w:t xml:space="preserve">Inquiry’s terms of reference require that it will give appropriate recognition to Māori interests, </w:t>
      </w:r>
      <w:r w:rsidR="00ED2D53">
        <w:rPr>
          <w:rFonts w:ascii="Arial" w:eastAsia="Times New Roman" w:hAnsi="Arial" w:cs="Arial"/>
          <w:color w:val="000000"/>
          <w:sz w:val="24"/>
          <w:szCs w:val="24"/>
          <w:lang w:eastAsia="en-NZ"/>
        </w:rPr>
        <w:t xml:space="preserve">and that its work </w:t>
      </w:r>
      <w:r w:rsidR="00ED2D53" w:rsidRPr="00ED2D53">
        <w:rPr>
          <w:rFonts w:ascii="Arial" w:eastAsia="Times New Roman" w:hAnsi="Arial" w:cs="Arial"/>
          <w:color w:val="000000"/>
          <w:sz w:val="24"/>
          <w:szCs w:val="24"/>
          <w:lang w:eastAsia="en-NZ"/>
        </w:rPr>
        <w:t>will be underpinned by the Treaty of Waitangi and its principles</w:t>
      </w:r>
      <w:r w:rsidR="009A7266">
        <w:rPr>
          <w:rFonts w:ascii="Arial" w:eastAsia="Times New Roman" w:hAnsi="Arial" w:cs="Arial"/>
          <w:color w:val="000000"/>
          <w:sz w:val="24"/>
          <w:szCs w:val="24"/>
          <w:lang w:eastAsia="en-NZ"/>
        </w:rPr>
        <w:t xml:space="preserve">. </w:t>
      </w:r>
      <w:r w:rsidR="00315918">
        <w:rPr>
          <w:rFonts w:ascii="Arial" w:eastAsia="Times New Roman" w:hAnsi="Arial" w:cs="Arial"/>
          <w:color w:val="000000"/>
          <w:sz w:val="24"/>
          <w:szCs w:val="24"/>
          <w:lang w:eastAsia="en-NZ"/>
        </w:rPr>
        <w:t xml:space="preserve"> A summary of </w:t>
      </w:r>
      <w:r w:rsidR="00E3353F">
        <w:rPr>
          <w:rFonts w:ascii="Arial" w:eastAsia="Times New Roman" w:hAnsi="Arial" w:cs="Arial"/>
          <w:color w:val="000000"/>
          <w:sz w:val="24"/>
          <w:szCs w:val="24"/>
          <w:lang w:eastAsia="en-NZ"/>
        </w:rPr>
        <w:t>expectations arising from the Treaty of Waitangi principles</w:t>
      </w:r>
      <w:r w:rsidR="001355D4">
        <w:rPr>
          <w:rFonts w:ascii="Arial" w:eastAsia="Times New Roman" w:hAnsi="Arial" w:cs="Arial"/>
          <w:color w:val="000000"/>
          <w:sz w:val="24"/>
          <w:szCs w:val="24"/>
          <w:lang w:eastAsia="en-NZ"/>
        </w:rPr>
        <w:t xml:space="preserve">, with a focus on consultation with </w:t>
      </w:r>
      <w:r w:rsidR="00E3353F">
        <w:rPr>
          <w:rFonts w:ascii="Arial" w:eastAsia="Times New Roman" w:hAnsi="Arial" w:cs="Arial"/>
          <w:color w:val="000000"/>
          <w:sz w:val="24"/>
          <w:szCs w:val="24"/>
          <w:lang w:eastAsia="en-NZ"/>
        </w:rPr>
        <w:t>Māori</w:t>
      </w:r>
      <w:r w:rsidR="001355D4">
        <w:rPr>
          <w:rFonts w:ascii="Arial" w:eastAsia="Times New Roman" w:hAnsi="Arial" w:cs="Arial"/>
          <w:color w:val="000000"/>
          <w:sz w:val="24"/>
          <w:szCs w:val="24"/>
          <w:lang w:eastAsia="en-NZ"/>
        </w:rPr>
        <w:t>,</w:t>
      </w:r>
      <w:r w:rsidR="00E3353F">
        <w:rPr>
          <w:rFonts w:ascii="Arial" w:eastAsia="Times New Roman" w:hAnsi="Arial" w:cs="Arial"/>
          <w:color w:val="000000"/>
          <w:sz w:val="24"/>
          <w:szCs w:val="24"/>
          <w:lang w:eastAsia="en-NZ"/>
        </w:rPr>
        <w:t xml:space="preserve"> </w:t>
      </w:r>
      <w:r w:rsidR="00BC4382">
        <w:rPr>
          <w:rFonts w:ascii="Arial" w:eastAsia="Times New Roman" w:hAnsi="Arial" w:cs="Arial"/>
          <w:color w:val="000000"/>
          <w:sz w:val="24"/>
          <w:szCs w:val="24"/>
          <w:lang w:eastAsia="en-NZ"/>
        </w:rPr>
        <w:t xml:space="preserve">is </w:t>
      </w:r>
      <w:r w:rsidR="00315918">
        <w:rPr>
          <w:rFonts w:ascii="Arial" w:eastAsia="Times New Roman" w:hAnsi="Arial" w:cs="Arial"/>
          <w:color w:val="000000"/>
          <w:sz w:val="24"/>
          <w:szCs w:val="24"/>
          <w:lang w:eastAsia="en-NZ"/>
        </w:rPr>
        <w:t xml:space="preserve">set out in a </w:t>
      </w:r>
      <w:r w:rsidR="009A7266">
        <w:rPr>
          <w:rFonts w:ascii="Arial" w:eastAsia="Times New Roman" w:hAnsi="Arial" w:cs="Arial"/>
          <w:color w:val="000000"/>
          <w:sz w:val="24"/>
          <w:szCs w:val="24"/>
          <w:lang w:eastAsia="en-NZ"/>
        </w:rPr>
        <w:t xml:space="preserve">separate </w:t>
      </w:r>
      <w:r w:rsidR="006E4F42">
        <w:rPr>
          <w:rFonts w:ascii="Arial" w:eastAsia="Times New Roman" w:hAnsi="Arial" w:cs="Arial"/>
          <w:color w:val="000000"/>
          <w:sz w:val="24"/>
          <w:szCs w:val="24"/>
          <w:lang w:eastAsia="en-NZ"/>
        </w:rPr>
        <w:t xml:space="preserve">Inquiry </w:t>
      </w:r>
      <w:r w:rsidR="009A7266">
        <w:rPr>
          <w:rFonts w:ascii="Arial" w:eastAsia="Times New Roman" w:hAnsi="Arial" w:cs="Arial"/>
          <w:color w:val="000000"/>
          <w:sz w:val="24"/>
          <w:szCs w:val="24"/>
          <w:lang w:eastAsia="en-NZ"/>
        </w:rPr>
        <w:t>briefing paper</w:t>
      </w:r>
      <w:r w:rsidR="006E4F27">
        <w:rPr>
          <w:rFonts w:ascii="Arial" w:eastAsia="Times New Roman" w:hAnsi="Arial" w:cs="Arial"/>
          <w:color w:val="000000"/>
          <w:sz w:val="24"/>
          <w:szCs w:val="24"/>
          <w:lang w:eastAsia="en-NZ"/>
        </w:rPr>
        <w:t xml:space="preserve"> (“Findings on Application of Te </w:t>
      </w:r>
      <w:proofErr w:type="spellStart"/>
      <w:r w:rsidR="006E4F27">
        <w:rPr>
          <w:rFonts w:ascii="Arial" w:eastAsia="Times New Roman" w:hAnsi="Arial" w:cs="Arial"/>
          <w:color w:val="000000"/>
          <w:sz w:val="24"/>
          <w:szCs w:val="24"/>
          <w:lang w:eastAsia="en-NZ"/>
        </w:rPr>
        <w:t>Tiriti</w:t>
      </w:r>
      <w:proofErr w:type="spellEnd"/>
      <w:r w:rsidR="006E4F27">
        <w:rPr>
          <w:rFonts w:ascii="Arial" w:eastAsia="Times New Roman" w:hAnsi="Arial" w:cs="Arial"/>
          <w:color w:val="000000"/>
          <w:sz w:val="24"/>
          <w:szCs w:val="24"/>
          <w:lang w:eastAsia="en-NZ"/>
        </w:rPr>
        <w:t xml:space="preserve"> o Waitangi Principles, Māori Consultation and Information Gathering Identified in Recent Reports, Reviews or Inquiries”)</w:t>
      </w:r>
      <w:r w:rsidR="00E3353F">
        <w:rPr>
          <w:rFonts w:ascii="Arial" w:eastAsia="Times New Roman" w:hAnsi="Arial" w:cs="Arial"/>
          <w:color w:val="000000"/>
          <w:sz w:val="24"/>
          <w:szCs w:val="24"/>
          <w:lang w:eastAsia="en-NZ"/>
        </w:rPr>
        <w:t>, which should be read in conjunction with the rights proclaimed in UNDRIP</w:t>
      </w:r>
      <w:r w:rsidR="00315918">
        <w:rPr>
          <w:rFonts w:ascii="Arial" w:eastAsia="Times New Roman" w:hAnsi="Arial" w:cs="Arial"/>
          <w:color w:val="000000"/>
          <w:sz w:val="24"/>
          <w:szCs w:val="24"/>
          <w:lang w:eastAsia="en-NZ"/>
        </w:rPr>
        <w:t>.</w:t>
      </w:r>
    </w:p>
    <w:p w14:paraId="4F5C165B" w14:textId="334AC57D" w:rsidR="00933270" w:rsidRPr="003112B5" w:rsidRDefault="00AB11BA" w:rsidP="00261E3A">
      <w:pPr>
        <w:rPr>
          <w:rFonts w:ascii="Arial" w:eastAsia="Times New Roman" w:hAnsi="Arial" w:cs="Arial"/>
          <w:b/>
          <w:bCs/>
          <w:color w:val="000000"/>
          <w:sz w:val="24"/>
          <w:szCs w:val="24"/>
          <w:lang w:eastAsia="en-NZ"/>
        </w:rPr>
      </w:pPr>
      <w:r>
        <w:rPr>
          <w:rFonts w:ascii="Arial" w:eastAsia="Times New Roman" w:hAnsi="Arial" w:cs="Arial"/>
          <w:b/>
          <w:bCs/>
          <w:color w:val="000000"/>
          <w:sz w:val="24"/>
          <w:szCs w:val="24"/>
          <w:lang w:eastAsia="en-NZ"/>
        </w:rPr>
        <w:br w:type="page"/>
      </w:r>
      <w:r w:rsidR="00933270" w:rsidRPr="003112B5">
        <w:rPr>
          <w:rFonts w:ascii="Arial" w:eastAsia="Times New Roman" w:hAnsi="Arial" w:cs="Arial"/>
          <w:b/>
          <w:bCs/>
          <w:color w:val="000000"/>
          <w:sz w:val="24"/>
          <w:szCs w:val="24"/>
          <w:lang w:eastAsia="en-NZ"/>
        </w:rPr>
        <w:lastRenderedPageBreak/>
        <w:t>REDRESS IN INTERNATIONAL HUMAN RIGHTS LAW</w:t>
      </w:r>
    </w:p>
    <w:p w14:paraId="43AF900B" w14:textId="77777777" w:rsidR="00E74AFF" w:rsidRPr="003112B5" w:rsidRDefault="00E74AFF" w:rsidP="00E74AFF">
      <w:pPr>
        <w:spacing w:after="0" w:line="240" w:lineRule="auto"/>
        <w:rPr>
          <w:rFonts w:ascii="Arial" w:eastAsia="Times New Roman" w:hAnsi="Arial" w:cs="Arial"/>
          <w:b/>
          <w:bCs/>
          <w:color w:val="000000"/>
          <w:sz w:val="24"/>
          <w:szCs w:val="24"/>
          <w:lang w:eastAsia="en-NZ"/>
        </w:rPr>
      </w:pPr>
    </w:p>
    <w:p w14:paraId="10302B54" w14:textId="70C7A25B" w:rsidR="00933270" w:rsidRPr="003112B5" w:rsidRDefault="00C71971" w:rsidP="00E74AFF">
      <w:pPr>
        <w:spacing w:after="0" w:line="240" w:lineRule="auto"/>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Violation</w:t>
      </w:r>
      <w:r w:rsidR="00A04018" w:rsidRPr="003112B5">
        <w:rPr>
          <w:rFonts w:ascii="Arial" w:eastAsia="Times New Roman" w:hAnsi="Arial" w:cs="Arial"/>
          <w:b/>
          <w:bCs/>
          <w:color w:val="000000"/>
          <w:sz w:val="24"/>
          <w:szCs w:val="24"/>
          <w:lang w:eastAsia="en-NZ"/>
        </w:rPr>
        <w:t>,</w:t>
      </w:r>
      <w:r w:rsidR="00933270" w:rsidRPr="003112B5">
        <w:rPr>
          <w:rFonts w:ascii="Arial" w:eastAsia="Times New Roman" w:hAnsi="Arial" w:cs="Arial"/>
          <w:b/>
          <w:bCs/>
          <w:color w:val="000000"/>
          <w:sz w:val="24"/>
          <w:szCs w:val="24"/>
          <w:lang w:eastAsia="en-NZ"/>
        </w:rPr>
        <w:t xml:space="preserve"> harm</w:t>
      </w:r>
      <w:r w:rsidR="00A04018" w:rsidRPr="003112B5">
        <w:rPr>
          <w:rFonts w:ascii="Arial" w:eastAsia="Times New Roman" w:hAnsi="Arial" w:cs="Arial"/>
          <w:b/>
          <w:bCs/>
          <w:color w:val="000000"/>
          <w:sz w:val="24"/>
          <w:szCs w:val="24"/>
          <w:lang w:eastAsia="en-NZ"/>
        </w:rPr>
        <w:t xml:space="preserve"> and causation</w:t>
      </w:r>
    </w:p>
    <w:p w14:paraId="1FFC0008" w14:textId="77777777" w:rsidR="00933270" w:rsidRPr="003112B5" w:rsidRDefault="00933270" w:rsidP="004A3F69">
      <w:pPr>
        <w:pStyle w:val="ListParagraph"/>
        <w:spacing w:after="0" w:line="240" w:lineRule="auto"/>
        <w:ind w:left="1134"/>
        <w:rPr>
          <w:rFonts w:ascii="Arial" w:eastAsia="Times New Roman" w:hAnsi="Arial" w:cs="Arial"/>
          <w:color w:val="000000"/>
          <w:sz w:val="24"/>
          <w:szCs w:val="24"/>
          <w:lang w:eastAsia="en-NZ"/>
        </w:rPr>
      </w:pPr>
    </w:p>
    <w:p w14:paraId="6C2A2683" w14:textId="6DA49DD4"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The obligation to </w:t>
      </w:r>
      <w:r w:rsidR="00A04018" w:rsidRPr="003112B5">
        <w:rPr>
          <w:rFonts w:ascii="Arial" w:eastAsia="Times New Roman" w:hAnsi="Arial" w:cs="Arial"/>
          <w:color w:val="000000"/>
          <w:sz w:val="24"/>
          <w:szCs w:val="24"/>
          <w:lang w:eastAsia="en-NZ"/>
        </w:rPr>
        <w:t xml:space="preserve">provide </w:t>
      </w:r>
      <w:r w:rsidRPr="003112B5">
        <w:rPr>
          <w:rFonts w:ascii="Arial" w:eastAsia="Times New Roman" w:hAnsi="Arial" w:cs="Arial"/>
          <w:color w:val="000000"/>
          <w:sz w:val="24"/>
          <w:szCs w:val="24"/>
          <w:lang w:eastAsia="en-NZ"/>
        </w:rPr>
        <w:t>redress under international law arises when:</w:t>
      </w:r>
    </w:p>
    <w:p w14:paraId="3D61975D" w14:textId="12FEC4E6" w:rsidR="00397256" w:rsidRPr="003112B5" w:rsidRDefault="00397256" w:rsidP="002A2344">
      <w:pPr>
        <w:pStyle w:val="ListParagraph"/>
        <w:numPr>
          <w:ilvl w:val="0"/>
          <w:numId w:val="7"/>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an international obligation, including an international human rights obligation, has been violated</w:t>
      </w:r>
      <w:r w:rsidR="00933270" w:rsidRPr="003112B5">
        <w:rPr>
          <w:rFonts w:ascii="Arial" w:eastAsia="Times New Roman" w:hAnsi="Arial" w:cs="Arial"/>
          <w:color w:val="000000"/>
          <w:sz w:val="24"/>
          <w:szCs w:val="24"/>
          <w:lang w:eastAsia="en-NZ"/>
        </w:rPr>
        <w:t xml:space="preserve">; </w:t>
      </w:r>
    </w:p>
    <w:p w14:paraId="7F4FC9BF" w14:textId="77777777" w:rsidR="00397256" w:rsidRPr="003112B5" w:rsidRDefault="00397256" w:rsidP="002A2344">
      <w:pPr>
        <w:pStyle w:val="ListParagraph"/>
        <w:spacing w:after="0" w:line="240" w:lineRule="auto"/>
        <w:ind w:left="1134" w:hanging="634"/>
        <w:rPr>
          <w:rFonts w:ascii="Arial" w:eastAsia="Times New Roman" w:hAnsi="Arial" w:cs="Arial"/>
          <w:color w:val="000000"/>
          <w:sz w:val="24"/>
          <w:szCs w:val="24"/>
          <w:lang w:eastAsia="en-NZ"/>
        </w:rPr>
      </w:pPr>
    </w:p>
    <w:p w14:paraId="2F0CBD23" w14:textId="77777777" w:rsidR="00F221E8" w:rsidRPr="003112B5" w:rsidRDefault="00397256" w:rsidP="002A2344">
      <w:pPr>
        <w:pStyle w:val="ListParagraph"/>
        <w:numPr>
          <w:ilvl w:val="0"/>
          <w:numId w:val="7"/>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a State is responsible for th</w:t>
      </w:r>
      <w:r w:rsidR="004B1C38" w:rsidRPr="003112B5">
        <w:rPr>
          <w:rFonts w:ascii="Arial" w:eastAsia="Times New Roman" w:hAnsi="Arial" w:cs="Arial"/>
          <w:color w:val="000000"/>
          <w:sz w:val="24"/>
          <w:szCs w:val="24"/>
          <w:lang w:eastAsia="en-NZ"/>
        </w:rPr>
        <w:t>a</w:t>
      </w:r>
      <w:r w:rsidRPr="003112B5">
        <w:rPr>
          <w:rFonts w:ascii="Arial" w:eastAsia="Times New Roman" w:hAnsi="Arial" w:cs="Arial"/>
          <w:color w:val="000000"/>
          <w:sz w:val="24"/>
          <w:szCs w:val="24"/>
          <w:lang w:eastAsia="en-NZ"/>
        </w:rPr>
        <w:t xml:space="preserve">t violation; </w:t>
      </w:r>
    </w:p>
    <w:p w14:paraId="697259A3" w14:textId="77777777" w:rsidR="00AB03ED" w:rsidRPr="003112B5" w:rsidRDefault="00AB03ED" w:rsidP="002A2344">
      <w:pPr>
        <w:pStyle w:val="ListParagraph"/>
        <w:ind w:left="1134" w:hanging="634"/>
        <w:rPr>
          <w:rFonts w:ascii="Arial" w:eastAsia="Times New Roman" w:hAnsi="Arial" w:cs="Arial"/>
          <w:color w:val="000000"/>
          <w:sz w:val="24"/>
          <w:szCs w:val="24"/>
          <w:lang w:eastAsia="en-NZ"/>
        </w:rPr>
      </w:pPr>
    </w:p>
    <w:p w14:paraId="1C0BBFE1" w14:textId="769C02E5" w:rsidR="00400DC7" w:rsidRPr="003112B5" w:rsidRDefault="00933270" w:rsidP="002A2344">
      <w:pPr>
        <w:pStyle w:val="ListParagraph"/>
        <w:numPr>
          <w:ilvl w:val="0"/>
          <w:numId w:val="7"/>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w:t>
      </w:r>
      <w:r w:rsidR="0006266C" w:rsidRPr="003112B5">
        <w:rPr>
          <w:rFonts w:ascii="Arial" w:eastAsia="Times New Roman" w:hAnsi="Arial" w:cs="Arial"/>
          <w:color w:val="000000"/>
          <w:sz w:val="24"/>
          <w:szCs w:val="24"/>
          <w:lang w:eastAsia="en-NZ"/>
        </w:rPr>
        <w:t>e</w:t>
      </w:r>
      <w:r w:rsidRPr="003112B5">
        <w:rPr>
          <w:rFonts w:ascii="Arial" w:eastAsia="Times New Roman" w:hAnsi="Arial" w:cs="Arial"/>
          <w:color w:val="000000"/>
          <w:sz w:val="24"/>
          <w:szCs w:val="24"/>
          <w:lang w:eastAsia="en-NZ"/>
        </w:rPr>
        <w:t xml:space="preserve"> </w:t>
      </w:r>
      <w:r w:rsidR="00C71971" w:rsidRPr="003112B5">
        <w:rPr>
          <w:rFonts w:ascii="Arial" w:eastAsia="Times New Roman" w:hAnsi="Arial" w:cs="Arial"/>
          <w:color w:val="000000"/>
          <w:sz w:val="24"/>
          <w:szCs w:val="24"/>
          <w:lang w:eastAsia="en-NZ"/>
        </w:rPr>
        <w:t>violation</w:t>
      </w:r>
      <w:r w:rsidRPr="003112B5">
        <w:rPr>
          <w:rFonts w:ascii="Arial" w:eastAsia="Times New Roman" w:hAnsi="Arial" w:cs="Arial"/>
          <w:color w:val="000000"/>
          <w:sz w:val="24"/>
          <w:szCs w:val="24"/>
          <w:lang w:eastAsia="en-NZ"/>
        </w:rPr>
        <w:t xml:space="preserve"> has caused harm</w:t>
      </w:r>
      <w:r w:rsidR="001741E3" w:rsidRPr="003112B5">
        <w:rPr>
          <w:rFonts w:ascii="Arial" w:eastAsia="Times New Roman" w:hAnsi="Arial" w:cs="Arial"/>
          <w:color w:val="000000"/>
          <w:sz w:val="24"/>
          <w:szCs w:val="24"/>
          <w:lang w:eastAsia="en-NZ"/>
        </w:rPr>
        <w:t>.</w:t>
      </w:r>
      <w:r w:rsidR="004B1C38" w:rsidRPr="003112B5">
        <w:rPr>
          <w:rStyle w:val="FootnoteReference"/>
          <w:rFonts w:ascii="Arial" w:eastAsia="Times New Roman" w:hAnsi="Arial" w:cs="Arial"/>
          <w:color w:val="000000"/>
          <w:sz w:val="24"/>
          <w:szCs w:val="24"/>
          <w:lang w:eastAsia="en-NZ"/>
        </w:rPr>
        <w:footnoteReference w:id="21"/>
      </w:r>
    </w:p>
    <w:p w14:paraId="1685B8CA" w14:textId="77777777" w:rsidR="009E50D2" w:rsidRPr="003112B5" w:rsidRDefault="009E50D2" w:rsidP="009E50D2">
      <w:pPr>
        <w:pStyle w:val="ListParagraph"/>
        <w:spacing w:after="0" w:line="240" w:lineRule="auto"/>
        <w:ind w:left="860"/>
        <w:rPr>
          <w:rFonts w:ascii="Arial" w:eastAsia="Times New Roman" w:hAnsi="Arial" w:cs="Arial"/>
          <w:color w:val="000000"/>
          <w:sz w:val="24"/>
          <w:szCs w:val="24"/>
          <w:lang w:eastAsia="en-NZ"/>
        </w:rPr>
      </w:pPr>
    </w:p>
    <w:p w14:paraId="08933B05" w14:textId="56BE0FA0"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A State may </w:t>
      </w:r>
      <w:r w:rsidR="00C71971" w:rsidRPr="003112B5">
        <w:rPr>
          <w:rFonts w:ascii="Arial" w:eastAsia="Times New Roman" w:hAnsi="Arial" w:cs="Arial"/>
          <w:color w:val="000000"/>
          <w:sz w:val="24"/>
          <w:szCs w:val="24"/>
          <w:lang w:eastAsia="en-NZ"/>
        </w:rPr>
        <w:t>violate</w:t>
      </w:r>
      <w:r w:rsidRPr="003112B5">
        <w:rPr>
          <w:rFonts w:ascii="Arial" w:eastAsia="Times New Roman" w:hAnsi="Arial" w:cs="Arial"/>
          <w:color w:val="000000"/>
          <w:sz w:val="24"/>
          <w:szCs w:val="24"/>
          <w:lang w:eastAsia="en-NZ"/>
        </w:rPr>
        <w:t xml:space="preserve"> human rights by commission, i.e. by being responsible for an act that violates human rights.  It may also </w:t>
      </w:r>
      <w:r w:rsidR="00C71971" w:rsidRPr="003112B5">
        <w:rPr>
          <w:rFonts w:ascii="Arial" w:eastAsia="Times New Roman" w:hAnsi="Arial" w:cs="Arial"/>
          <w:color w:val="000000"/>
          <w:sz w:val="24"/>
          <w:szCs w:val="24"/>
          <w:lang w:eastAsia="en-NZ"/>
        </w:rPr>
        <w:t xml:space="preserve">violate </w:t>
      </w:r>
      <w:r w:rsidRPr="003112B5">
        <w:rPr>
          <w:rFonts w:ascii="Arial" w:eastAsia="Times New Roman" w:hAnsi="Arial" w:cs="Arial"/>
          <w:color w:val="000000"/>
          <w:sz w:val="24"/>
          <w:szCs w:val="24"/>
          <w:lang w:eastAsia="en-NZ"/>
        </w:rPr>
        <w:t>rights by omission.  This may include, for example, not taking effective measures to prevent violations, or to investigate, punish, and redress the harm caused by such violations (including in some circumstances violations by private persons or entities).</w:t>
      </w:r>
      <w:r w:rsidRPr="003112B5">
        <w:rPr>
          <w:rStyle w:val="FootnoteReference"/>
          <w:rFonts w:ascii="Arial" w:eastAsia="Times New Roman" w:hAnsi="Arial" w:cs="Arial"/>
          <w:color w:val="000000"/>
          <w:sz w:val="24"/>
          <w:szCs w:val="24"/>
          <w:lang w:eastAsia="en-NZ"/>
        </w:rPr>
        <w:footnoteReference w:id="22"/>
      </w:r>
      <w:r w:rsidRPr="003112B5">
        <w:rPr>
          <w:rFonts w:ascii="Arial" w:eastAsia="Times New Roman" w:hAnsi="Arial" w:cs="Arial"/>
          <w:color w:val="000000"/>
          <w:sz w:val="24"/>
          <w:szCs w:val="24"/>
          <w:lang w:eastAsia="en-NZ"/>
        </w:rPr>
        <w:t xml:space="preserve">  </w:t>
      </w:r>
    </w:p>
    <w:p w14:paraId="52801732" w14:textId="0BA189DF"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There must be a causal connection between the </w:t>
      </w:r>
      <w:r w:rsidR="00C71971" w:rsidRPr="003112B5">
        <w:rPr>
          <w:rFonts w:ascii="Arial" w:eastAsia="Times New Roman" w:hAnsi="Arial" w:cs="Arial"/>
          <w:color w:val="000000"/>
          <w:sz w:val="24"/>
          <w:szCs w:val="24"/>
          <w:lang w:eastAsia="en-NZ"/>
        </w:rPr>
        <w:t>violation</w:t>
      </w:r>
      <w:r w:rsidRPr="003112B5">
        <w:rPr>
          <w:rFonts w:ascii="Arial" w:eastAsia="Times New Roman" w:hAnsi="Arial" w:cs="Arial"/>
          <w:color w:val="000000"/>
          <w:sz w:val="24"/>
          <w:szCs w:val="24"/>
          <w:lang w:eastAsia="en-NZ"/>
        </w:rPr>
        <w:t xml:space="preserve"> and harm claimed.  A common test is whether the </w:t>
      </w:r>
      <w:r w:rsidR="00C71971" w:rsidRPr="003112B5">
        <w:rPr>
          <w:rFonts w:ascii="Arial" w:eastAsia="Times New Roman" w:hAnsi="Arial" w:cs="Arial"/>
          <w:color w:val="000000"/>
          <w:sz w:val="24"/>
          <w:szCs w:val="24"/>
          <w:lang w:eastAsia="en-NZ"/>
        </w:rPr>
        <w:t>violation</w:t>
      </w:r>
      <w:r w:rsidRPr="003112B5">
        <w:rPr>
          <w:rFonts w:ascii="Arial" w:eastAsia="Times New Roman" w:hAnsi="Arial" w:cs="Arial"/>
          <w:color w:val="000000"/>
          <w:sz w:val="24"/>
          <w:szCs w:val="24"/>
          <w:lang w:eastAsia="en-NZ"/>
        </w:rPr>
        <w:t xml:space="preserve"> is the “proximate cause” of that harm.</w:t>
      </w:r>
      <w:r w:rsidRPr="003112B5">
        <w:rPr>
          <w:rStyle w:val="FootnoteReference"/>
          <w:rFonts w:ascii="Arial" w:eastAsia="Times New Roman" w:hAnsi="Arial" w:cs="Arial"/>
          <w:color w:val="000000"/>
          <w:sz w:val="24"/>
          <w:szCs w:val="24"/>
          <w:lang w:eastAsia="en-NZ"/>
        </w:rPr>
        <w:footnoteReference w:id="23"/>
      </w:r>
      <w:r w:rsidRPr="003112B5">
        <w:rPr>
          <w:rFonts w:ascii="Arial" w:eastAsia="Times New Roman" w:hAnsi="Arial" w:cs="Arial"/>
          <w:color w:val="000000"/>
          <w:sz w:val="24"/>
          <w:szCs w:val="24"/>
          <w:lang w:eastAsia="en-NZ"/>
        </w:rPr>
        <w:t xml:space="preserve">  </w:t>
      </w:r>
    </w:p>
    <w:p w14:paraId="087A2BB8" w14:textId="58475FE7"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“Harm” has a wide meaning.  It can encompass the </w:t>
      </w:r>
      <w:r w:rsidR="00C71971" w:rsidRPr="003112B5">
        <w:rPr>
          <w:rFonts w:ascii="Arial" w:eastAsia="Times New Roman" w:hAnsi="Arial" w:cs="Arial"/>
          <w:color w:val="000000"/>
          <w:sz w:val="24"/>
          <w:szCs w:val="24"/>
          <w:lang w:eastAsia="en-NZ"/>
        </w:rPr>
        <w:t>violation</w:t>
      </w:r>
      <w:r w:rsidRPr="003112B5">
        <w:rPr>
          <w:rFonts w:ascii="Arial" w:eastAsia="Times New Roman" w:hAnsi="Arial" w:cs="Arial"/>
          <w:color w:val="000000"/>
          <w:sz w:val="24"/>
          <w:szCs w:val="24"/>
          <w:lang w:eastAsia="en-NZ"/>
        </w:rPr>
        <w:t xml:space="preserve">’s effect on the individual </w:t>
      </w:r>
      <w:r w:rsidR="00E274BE">
        <w:rPr>
          <w:rFonts w:ascii="Arial" w:eastAsia="Times New Roman" w:hAnsi="Arial" w:cs="Arial"/>
          <w:color w:val="000000"/>
          <w:sz w:val="24"/>
          <w:szCs w:val="24"/>
          <w:lang w:eastAsia="en-NZ"/>
        </w:rPr>
        <w:t>victim</w:t>
      </w:r>
      <w:r w:rsidR="008B649C">
        <w:rPr>
          <w:rFonts w:ascii="Arial" w:eastAsia="Times New Roman" w:hAnsi="Arial" w:cs="Arial"/>
          <w:color w:val="000000"/>
          <w:sz w:val="24"/>
          <w:szCs w:val="24"/>
          <w:lang w:eastAsia="en-NZ"/>
        </w:rPr>
        <w:t xml:space="preserve">/survivor </w:t>
      </w:r>
      <w:r w:rsidRPr="005C0AD7">
        <w:rPr>
          <w:rFonts w:ascii="Arial" w:eastAsia="Times New Roman" w:hAnsi="Arial" w:cs="Arial"/>
          <w:color w:val="000000"/>
          <w:sz w:val="24"/>
          <w:szCs w:val="24"/>
          <w:lang w:eastAsia="en-NZ"/>
        </w:rPr>
        <w:t>as</w:t>
      </w:r>
      <w:r w:rsidRPr="003112B5">
        <w:rPr>
          <w:rFonts w:ascii="Arial" w:eastAsia="Times New Roman" w:hAnsi="Arial" w:cs="Arial"/>
          <w:color w:val="000000"/>
          <w:sz w:val="24"/>
          <w:szCs w:val="24"/>
          <w:lang w:eastAsia="en-NZ"/>
        </w:rPr>
        <w:t xml:space="preserve"> well as on society more generally: “[e]ven if wrongful conduct does not cause provable material injury, it nonetheless concerns the public because it attacks core values by which the society defines itself.”</w:t>
      </w:r>
      <w:r w:rsidRPr="003112B5">
        <w:rPr>
          <w:rStyle w:val="FootnoteReference"/>
          <w:rFonts w:ascii="Arial" w:eastAsia="Times New Roman" w:hAnsi="Arial" w:cs="Arial"/>
          <w:color w:val="000000"/>
          <w:sz w:val="24"/>
          <w:szCs w:val="24"/>
          <w:lang w:eastAsia="en-NZ"/>
        </w:rPr>
        <w:footnoteReference w:id="24"/>
      </w:r>
      <w:r w:rsidRPr="003112B5">
        <w:rPr>
          <w:rFonts w:ascii="Arial" w:eastAsia="Times New Roman" w:hAnsi="Arial" w:cs="Arial"/>
          <w:color w:val="000000"/>
          <w:sz w:val="24"/>
          <w:szCs w:val="24"/>
          <w:lang w:eastAsia="en-NZ"/>
        </w:rPr>
        <w:t xml:space="preserve">  </w:t>
      </w:r>
      <w:r w:rsidR="009B255C" w:rsidRPr="003112B5">
        <w:rPr>
          <w:rFonts w:ascii="Arial" w:eastAsia="Times New Roman" w:hAnsi="Arial" w:cs="Arial"/>
          <w:color w:val="000000"/>
          <w:sz w:val="24"/>
          <w:szCs w:val="24"/>
          <w:lang w:eastAsia="en-NZ"/>
        </w:rPr>
        <w:t>In some cases, harm may be presumed from all the circumstances of the case, including the nature of the violation.</w:t>
      </w:r>
      <w:r w:rsidR="009B255C" w:rsidRPr="003112B5">
        <w:rPr>
          <w:rStyle w:val="FootnoteReference"/>
          <w:rFonts w:ascii="Arial" w:eastAsia="Times New Roman" w:hAnsi="Arial" w:cs="Arial"/>
          <w:color w:val="000000"/>
          <w:sz w:val="24"/>
          <w:szCs w:val="24"/>
          <w:lang w:eastAsia="en-NZ"/>
        </w:rPr>
        <w:footnoteReference w:id="25"/>
      </w:r>
    </w:p>
    <w:p w14:paraId="28D52AA4" w14:textId="6D2FA8C1"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Where a </w:t>
      </w:r>
      <w:r w:rsidR="00C71971" w:rsidRPr="003112B5">
        <w:rPr>
          <w:rFonts w:ascii="Arial" w:eastAsia="Times New Roman" w:hAnsi="Arial" w:cs="Arial"/>
          <w:color w:val="000000"/>
          <w:sz w:val="24"/>
          <w:szCs w:val="24"/>
          <w:lang w:eastAsia="en-NZ"/>
        </w:rPr>
        <w:t>violation</w:t>
      </w:r>
      <w:r w:rsidRPr="003112B5">
        <w:rPr>
          <w:rFonts w:ascii="Arial" w:eastAsia="Times New Roman" w:hAnsi="Arial" w:cs="Arial"/>
          <w:color w:val="000000"/>
          <w:sz w:val="24"/>
          <w:szCs w:val="24"/>
          <w:lang w:eastAsia="en-NZ"/>
        </w:rPr>
        <w:t xml:space="preserve"> affects a group as well as individual members of that group, it can be considered as both collective and individual.</w:t>
      </w:r>
      <w:r w:rsidRPr="003112B5">
        <w:rPr>
          <w:rStyle w:val="FootnoteReference"/>
          <w:rFonts w:ascii="Arial" w:eastAsia="Times New Roman" w:hAnsi="Arial" w:cs="Arial"/>
          <w:color w:val="000000"/>
          <w:sz w:val="24"/>
          <w:szCs w:val="24"/>
          <w:lang w:eastAsia="en-NZ"/>
        </w:rPr>
        <w:footnoteReference w:id="26"/>
      </w:r>
      <w:r w:rsidRPr="003112B5">
        <w:rPr>
          <w:rFonts w:ascii="Arial" w:eastAsia="Times New Roman" w:hAnsi="Arial" w:cs="Arial"/>
          <w:color w:val="000000"/>
          <w:sz w:val="24"/>
          <w:szCs w:val="24"/>
          <w:lang w:eastAsia="en-NZ"/>
        </w:rPr>
        <w:t xml:space="preserve">  Immediate family members or dependants </w:t>
      </w:r>
      <w:r w:rsidRPr="005C0AD7">
        <w:rPr>
          <w:rFonts w:ascii="Arial" w:eastAsia="Times New Roman" w:hAnsi="Arial" w:cs="Arial"/>
          <w:color w:val="000000"/>
          <w:sz w:val="24"/>
          <w:szCs w:val="24"/>
          <w:lang w:eastAsia="en-NZ"/>
        </w:rPr>
        <w:t xml:space="preserve">of a </w:t>
      </w:r>
      <w:r w:rsidR="00E274BE">
        <w:rPr>
          <w:rFonts w:ascii="Arial" w:eastAsia="Times New Roman" w:hAnsi="Arial" w:cs="Arial"/>
          <w:color w:val="000000"/>
          <w:sz w:val="24"/>
          <w:szCs w:val="24"/>
          <w:lang w:eastAsia="en-NZ"/>
        </w:rPr>
        <w:t>victim</w:t>
      </w:r>
      <w:r w:rsidR="008B649C">
        <w:rPr>
          <w:rFonts w:ascii="Arial" w:eastAsia="Times New Roman" w:hAnsi="Arial" w:cs="Arial"/>
          <w:color w:val="000000"/>
          <w:sz w:val="24"/>
          <w:szCs w:val="24"/>
          <w:lang w:eastAsia="en-NZ"/>
        </w:rPr>
        <w:t>/survivor</w:t>
      </w:r>
      <w:r w:rsidR="00E274BE">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may be found to have suffered harm as the result of a violation,</w:t>
      </w:r>
      <w:r w:rsidRPr="003112B5">
        <w:rPr>
          <w:rStyle w:val="FootnoteReference"/>
          <w:rFonts w:ascii="Arial" w:eastAsia="Times New Roman" w:hAnsi="Arial" w:cs="Arial"/>
          <w:color w:val="000000"/>
          <w:sz w:val="24"/>
          <w:szCs w:val="24"/>
          <w:lang w:eastAsia="en-NZ"/>
        </w:rPr>
        <w:footnoteReference w:id="27"/>
      </w:r>
      <w:r w:rsidRPr="003112B5">
        <w:rPr>
          <w:rFonts w:ascii="Arial" w:eastAsia="Times New Roman" w:hAnsi="Arial" w:cs="Arial"/>
          <w:color w:val="000000"/>
          <w:sz w:val="24"/>
          <w:szCs w:val="24"/>
          <w:lang w:eastAsia="en-NZ"/>
        </w:rPr>
        <w:t xml:space="preserve"> including emotional and financial harm.</w:t>
      </w:r>
      <w:r w:rsidRPr="003112B5">
        <w:rPr>
          <w:rStyle w:val="FootnoteReference"/>
          <w:rFonts w:ascii="Arial" w:eastAsia="Times New Roman" w:hAnsi="Arial" w:cs="Arial"/>
          <w:color w:val="000000"/>
          <w:sz w:val="24"/>
          <w:szCs w:val="24"/>
          <w:lang w:eastAsia="en-NZ"/>
        </w:rPr>
        <w:footnoteReference w:id="28"/>
      </w:r>
    </w:p>
    <w:p w14:paraId="05F11867" w14:textId="77777777" w:rsidR="00AB11BA" w:rsidRDefault="00AB11BA">
      <w:pPr>
        <w:rPr>
          <w:rFonts w:ascii="Arial" w:eastAsia="Times New Roman" w:hAnsi="Arial" w:cs="Arial"/>
          <w:b/>
          <w:bCs/>
          <w:color w:val="000000"/>
          <w:sz w:val="24"/>
          <w:szCs w:val="24"/>
          <w:lang w:eastAsia="en-NZ"/>
        </w:rPr>
      </w:pPr>
      <w:r>
        <w:rPr>
          <w:rFonts w:ascii="Arial" w:eastAsia="Times New Roman" w:hAnsi="Arial" w:cs="Arial"/>
          <w:b/>
          <w:bCs/>
          <w:color w:val="000000"/>
          <w:sz w:val="24"/>
          <w:szCs w:val="24"/>
          <w:lang w:eastAsia="en-NZ"/>
        </w:rPr>
        <w:br w:type="page"/>
      </w:r>
    </w:p>
    <w:p w14:paraId="2FAE7988" w14:textId="4F944392" w:rsidR="00933270" w:rsidRPr="003112B5" w:rsidRDefault="00933270" w:rsidP="00E74AFF">
      <w:pPr>
        <w:spacing w:after="0" w:line="240" w:lineRule="auto"/>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lastRenderedPageBreak/>
        <w:t>Investigations</w:t>
      </w:r>
      <w:r w:rsidR="00E7474C" w:rsidRPr="003112B5">
        <w:rPr>
          <w:rFonts w:ascii="Arial" w:eastAsia="Times New Roman" w:hAnsi="Arial" w:cs="Arial"/>
          <w:b/>
          <w:bCs/>
          <w:color w:val="000000"/>
          <w:sz w:val="24"/>
          <w:szCs w:val="24"/>
          <w:lang w:eastAsia="en-NZ"/>
        </w:rPr>
        <w:t xml:space="preserve">, </w:t>
      </w:r>
      <w:r w:rsidRPr="003112B5">
        <w:rPr>
          <w:rFonts w:ascii="Arial" w:eastAsia="Times New Roman" w:hAnsi="Arial" w:cs="Arial"/>
          <w:b/>
          <w:bCs/>
          <w:color w:val="000000"/>
          <w:sz w:val="24"/>
          <w:szCs w:val="24"/>
          <w:lang w:eastAsia="en-NZ"/>
        </w:rPr>
        <w:t>immunities and limitations</w:t>
      </w:r>
    </w:p>
    <w:p w14:paraId="6AE0B6B2" w14:textId="77777777" w:rsidR="00933270" w:rsidRPr="003112B5" w:rsidRDefault="00933270" w:rsidP="002E3B30">
      <w:pPr>
        <w:pStyle w:val="ListParagraph"/>
        <w:spacing w:after="0" w:line="240" w:lineRule="auto"/>
        <w:ind w:left="1134"/>
        <w:rPr>
          <w:rFonts w:ascii="Arial" w:eastAsia="Times New Roman" w:hAnsi="Arial" w:cs="Arial"/>
          <w:color w:val="000000"/>
          <w:sz w:val="24"/>
          <w:szCs w:val="24"/>
          <w:lang w:eastAsia="en-NZ"/>
        </w:rPr>
      </w:pPr>
    </w:p>
    <w:p w14:paraId="79D1E64B" w14:textId="2139C68C"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The </w:t>
      </w:r>
      <w:r w:rsidR="00182CFB" w:rsidRPr="003112B5">
        <w:rPr>
          <w:rFonts w:ascii="Arial" w:eastAsia="Times New Roman" w:hAnsi="Arial" w:cs="Arial"/>
          <w:color w:val="000000"/>
          <w:sz w:val="24"/>
          <w:szCs w:val="24"/>
          <w:lang w:eastAsia="en-NZ"/>
        </w:rPr>
        <w:t>U</w:t>
      </w:r>
      <w:r w:rsidR="001741E3" w:rsidRPr="003112B5">
        <w:rPr>
          <w:rFonts w:ascii="Arial" w:eastAsia="Times New Roman" w:hAnsi="Arial" w:cs="Arial"/>
          <w:color w:val="000000"/>
          <w:sz w:val="24"/>
          <w:szCs w:val="24"/>
          <w:lang w:eastAsia="en-NZ"/>
        </w:rPr>
        <w:t xml:space="preserve">nited </w:t>
      </w:r>
      <w:r w:rsidR="00182CFB" w:rsidRPr="003112B5">
        <w:rPr>
          <w:rFonts w:ascii="Arial" w:eastAsia="Times New Roman" w:hAnsi="Arial" w:cs="Arial"/>
          <w:color w:val="000000"/>
          <w:sz w:val="24"/>
          <w:szCs w:val="24"/>
          <w:lang w:eastAsia="en-NZ"/>
        </w:rPr>
        <w:t>N</w:t>
      </w:r>
      <w:r w:rsidR="001741E3" w:rsidRPr="003112B5">
        <w:rPr>
          <w:rFonts w:ascii="Arial" w:eastAsia="Times New Roman" w:hAnsi="Arial" w:cs="Arial"/>
          <w:color w:val="000000"/>
          <w:sz w:val="24"/>
          <w:szCs w:val="24"/>
          <w:lang w:eastAsia="en-NZ"/>
        </w:rPr>
        <w:t>ations</w:t>
      </w:r>
      <w:r w:rsidR="00182CFB" w:rsidRPr="003112B5">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Human Rights Committee considers that there is a general obligation under the ICCPR to “investigate allegations of violations promptly, thoroughly and effectively through independent and impartial bodies.”</w:t>
      </w:r>
      <w:r w:rsidRPr="003112B5">
        <w:rPr>
          <w:rStyle w:val="FootnoteReference"/>
          <w:rFonts w:ascii="Arial" w:eastAsia="Times New Roman" w:hAnsi="Arial" w:cs="Arial"/>
          <w:color w:val="000000"/>
          <w:sz w:val="24"/>
          <w:szCs w:val="24"/>
          <w:lang w:eastAsia="en-NZ"/>
        </w:rPr>
        <w:footnoteReference w:id="29"/>
      </w:r>
      <w:r w:rsidRPr="003112B5">
        <w:rPr>
          <w:rFonts w:ascii="Arial" w:eastAsia="Times New Roman" w:hAnsi="Arial" w:cs="Arial"/>
          <w:color w:val="000000"/>
          <w:sz w:val="24"/>
          <w:szCs w:val="24"/>
          <w:lang w:eastAsia="en-NZ"/>
        </w:rPr>
        <w:t xml:space="preserve">  In other instances, the obligation to investigate is referred to as an obligation to investigate complaints “promptly and impartially by competent authorities,”</w:t>
      </w:r>
      <w:r w:rsidRPr="003112B5">
        <w:rPr>
          <w:rStyle w:val="FootnoteReference"/>
          <w:rFonts w:ascii="Arial" w:eastAsia="Times New Roman" w:hAnsi="Arial" w:cs="Arial"/>
          <w:color w:val="000000"/>
          <w:sz w:val="24"/>
          <w:szCs w:val="24"/>
          <w:lang w:eastAsia="en-NZ"/>
        </w:rPr>
        <w:footnoteReference w:id="30"/>
      </w:r>
      <w:r w:rsidRPr="003112B5">
        <w:rPr>
          <w:rFonts w:ascii="Arial" w:eastAsia="Times New Roman" w:hAnsi="Arial" w:cs="Arial"/>
          <w:color w:val="000000"/>
          <w:sz w:val="24"/>
          <w:szCs w:val="24"/>
          <w:lang w:eastAsia="en-NZ"/>
        </w:rPr>
        <w:t xml:space="preserve"> or to undertake “prompt, effective and impartial investigations”.</w:t>
      </w:r>
      <w:r w:rsidRPr="003112B5">
        <w:rPr>
          <w:rStyle w:val="FootnoteReference"/>
          <w:rFonts w:ascii="Arial" w:eastAsia="Times New Roman" w:hAnsi="Arial" w:cs="Arial"/>
          <w:color w:val="000000"/>
          <w:sz w:val="24"/>
          <w:szCs w:val="24"/>
          <w:lang w:eastAsia="en-NZ"/>
        </w:rPr>
        <w:footnoteReference w:id="31"/>
      </w:r>
      <w:r w:rsidRPr="003112B5">
        <w:rPr>
          <w:rFonts w:ascii="Arial" w:eastAsia="Times New Roman" w:hAnsi="Arial" w:cs="Arial"/>
          <w:color w:val="000000"/>
          <w:sz w:val="24"/>
          <w:szCs w:val="24"/>
          <w:lang w:eastAsia="en-NZ"/>
        </w:rPr>
        <w:t xml:space="preserve"> </w:t>
      </w:r>
    </w:p>
    <w:p w14:paraId="5A44CA3F" w14:textId="1D25DF69"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If an investigation shows that a violation of certain rights has occurred, particularly violations recognised as criminal under domestic or international law, States Parties “must ensure that those responsible are brought to justice”.</w:t>
      </w:r>
      <w:r w:rsidRPr="003112B5">
        <w:rPr>
          <w:rStyle w:val="FootnoteReference"/>
          <w:rFonts w:ascii="Arial" w:eastAsia="Times New Roman" w:hAnsi="Arial" w:cs="Arial"/>
          <w:color w:val="000000"/>
          <w:sz w:val="24"/>
          <w:szCs w:val="24"/>
          <w:lang w:eastAsia="en-NZ"/>
        </w:rPr>
        <w:footnoteReference w:id="32"/>
      </w:r>
    </w:p>
    <w:p w14:paraId="34C5205D" w14:textId="5869D8D1" w:rsidR="00933270" w:rsidRPr="003112B5" w:rsidRDefault="00F57F7E"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UN treaty committees have considered that w</w:t>
      </w:r>
      <w:r w:rsidR="00933270" w:rsidRPr="003112B5">
        <w:rPr>
          <w:rFonts w:ascii="Arial" w:eastAsia="Times New Roman" w:hAnsi="Arial" w:cs="Arial"/>
          <w:color w:val="000000"/>
          <w:sz w:val="24"/>
          <w:szCs w:val="24"/>
          <w:lang w:eastAsia="en-NZ"/>
        </w:rPr>
        <w:t>here torture, cruel, inhuman or degrading treatment or punishment, summary or arbitrary killing, or enforced disappearance has occurred, amnesties fo</w:t>
      </w:r>
      <w:r w:rsidR="001B5ADA" w:rsidRPr="003112B5">
        <w:rPr>
          <w:rFonts w:ascii="Arial" w:eastAsia="Times New Roman" w:hAnsi="Arial" w:cs="Arial"/>
          <w:color w:val="000000"/>
          <w:sz w:val="24"/>
          <w:szCs w:val="24"/>
          <w:lang w:eastAsia="en-NZ"/>
        </w:rPr>
        <w:t xml:space="preserve">r </w:t>
      </w:r>
      <w:r w:rsidR="00933270" w:rsidRPr="003112B5">
        <w:rPr>
          <w:rFonts w:ascii="Arial" w:eastAsia="Times New Roman" w:hAnsi="Arial" w:cs="Arial"/>
          <w:color w:val="000000"/>
          <w:sz w:val="24"/>
          <w:szCs w:val="24"/>
          <w:lang w:eastAsia="en-NZ"/>
        </w:rPr>
        <w:t>perpetrators</w:t>
      </w:r>
      <w:r w:rsidRPr="003112B5">
        <w:rPr>
          <w:rFonts w:ascii="Arial" w:eastAsia="Times New Roman" w:hAnsi="Arial" w:cs="Arial"/>
          <w:color w:val="000000"/>
          <w:sz w:val="24"/>
          <w:szCs w:val="24"/>
          <w:lang w:eastAsia="en-NZ"/>
        </w:rPr>
        <w:t xml:space="preserve"> </w:t>
      </w:r>
      <w:r w:rsidR="00933270" w:rsidRPr="003112B5">
        <w:rPr>
          <w:rFonts w:ascii="Arial" w:eastAsia="Times New Roman" w:hAnsi="Arial" w:cs="Arial"/>
          <w:color w:val="000000"/>
          <w:sz w:val="24"/>
          <w:szCs w:val="24"/>
          <w:lang w:eastAsia="en-NZ"/>
        </w:rPr>
        <w:t xml:space="preserve">or other </w:t>
      </w:r>
      <w:r w:rsidR="00E60264" w:rsidRPr="003112B5">
        <w:rPr>
          <w:rFonts w:ascii="Arial" w:eastAsia="Times New Roman" w:hAnsi="Arial" w:cs="Arial"/>
          <w:color w:val="000000"/>
          <w:sz w:val="24"/>
          <w:szCs w:val="24"/>
          <w:lang w:eastAsia="en-NZ"/>
        </w:rPr>
        <w:t xml:space="preserve">complete </w:t>
      </w:r>
      <w:r w:rsidR="00933270" w:rsidRPr="003112B5">
        <w:rPr>
          <w:rFonts w:ascii="Arial" w:eastAsia="Times New Roman" w:hAnsi="Arial" w:cs="Arial"/>
          <w:color w:val="000000"/>
          <w:sz w:val="24"/>
          <w:szCs w:val="24"/>
          <w:lang w:eastAsia="en-NZ"/>
        </w:rPr>
        <w:t xml:space="preserve">legal immunities </w:t>
      </w:r>
      <w:r w:rsidRPr="003112B5">
        <w:rPr>
          <w:rFonts w:ascii="Arial" w:eastAsia="Times New Roman" w:hAnsi="Arial" w:cs="Arial"/>
          <w:color w:val="000000"/>
          <w:sz w:val="24"/>
          <w:szCs w:val="24"/>
          <w:lang w:eastAsia="en-NZ"/>
        </w:rPr>
        <w:t xml:space="preserve">from criminal and civil liability </w:t>
      </w:r>
      <w:r w:rsidR="00933270" w:rsidRPr="003112B5">
        <w:rPr>
          <w:rFonts w:ascii="Arial" w:eastAsia="Times New Roman" w:hAnsi="Arial" w:cs="Arial"/>
          <w:color w:val="000000"/>
          <w:sz w:val="24"/>
          <w:szCs w:val="24"/>
          <w:lang w:eastAsia="en-NZ"/>
        </w:rPr>
        <w:t>are</w:t>
      </w:r>
      <w:r w:rsidRPr="003112B5">
        <w:rPr>
          <w:rFonts w:ascii="Arial" w:eastAsia="Times New Roman" w:hAnsi="Arial" w:cs="Arial"/>
          <w:color w:val="000000"/>
          <w:sz w:val="24"/>
          <w:szCs w:val="24"/>
          <w:lang w:eastAsia="en-NZ"/>
        </w:rPr>
        <w:t xml:space="preserve"> </w:t>
      </w:r>
      <w:r w:rsidR="00933270" w:rsidRPr="003112B5">
        <w:rPr>
          <w:rFonts w:ascii="Arial" w:eastAsia="Times New Roman" w:hAnsi="Arial" w:cs="Arial"/>
          <w:color w:val="000000"/>
          <w:sz w:val="24"/>
          <w:szCs w:val="24"/>
          <w:lang w:eastAsia="en-NZ"/>
        </w:rPr>
        <w:t>impermissible.</w:t>
      </w:r>
      <w:r w:rsidR="00933270" w:rsidRPr="003112B5">
        <w:rPr>
          <w:rStyle w:val="FootnoteReference"/>
          <w:rFonts w:ascii="Arial" w:eastAsia="Times New Roman" w:hAnsi="Arial" w:cs="Arial"/>
          <w:color w:val="000000"/>
          <w:sz w:val="24"/>
          <w:szCs w:val="24"/>
          <w:lang w:eastAsia="en-NZ"/>
        </w:rPr>
        <w:footnoteReference w:id="33"/>
      </w:r>
      <w:r w:rsidR="00933270" w:rsidRPr="003112B5">
        <w:rPr>
          <w:rFonts w:ascii="Arial" w:eastAsia="Times New Roman" w:hAnsi="Arial" w:cs="Arial"/>
          <w:color w:val="000000"/>
          <w:sz w:val="24"/>
          <w:szCs w:val="24"/>
          <w:lang w:eastAsia="en-NZ"/>
        </w:rPr>
        <w:t xml:space="preserve">  </w:t>
      </w:r>
    </w:p>
    <w:p w14:paraId="59FE8A52" w14:textId="6E44DB8C" w:rsidR="00EE4097"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Where other rights</w:t>
      </w:r>
      <w:r w:rsidR="001741E3" w:rsidRPr="003112B5">
        <w:rPr>
          <w:rFonts w:ascii="Arial" w:eastAsia="Times New Roman" w:hAnsi="Arial" w:cs="Arial"/>
          <w:color w:val="000000"/>
          <w:sz w:val="24"/>
          <w:szCs w:val="24"/>
          <w:lang w:eastAsia="en-NZ"/>
        </w:rPr>
        <w:t>, or civil rather than criminal proceedings</w:t>
      </w:r>
      <w:r w:rsidR="00212C17" w:rsidRPr="003112B5">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are concerned, limitation periods may be permissible.  The European Court of Human Rights has found in a number of cases that a time or other bar on civil claims is not inconsistent with the European Convention on Human Rights</w:t>
      </w:r>
      <w:r w:rsidR="00182CFB" w:rsidRPr="003112B5">
        <w:rPr>
          <w:rFonts w:ascii="Arial" w:eastAsia="Times New Roman" w:hAnsi="Arial" w:cs="Arial"/>
          <w:color w:val="000000"/>
          <w:sz w:val="24"/>
          <w:szCs w:val="24"/>
          <w:lang w:eastAsia="en-NZ"/>
        </w:rPr>
        <w:t>,</w:t>
      </w:r>
      <w:r w:rsidRPr="003112B5">
        <w:rPr>
          <w:rFonts w:ascii="Arial" w:eastAsia="Times New Roman" w:hAnsi="Arial" w:cs="Arial"/>
          <w:color w:val="000000"/>
          <w:sz w:val="24"/>
          <w:szCs w:val="24"/>
          <w:lang w:eastAsia="en-NZ"/>
        </w:rPr>
        <w:t xml:space="preserve"> where</w:t>
      </w:r>
      <w:r w:rsidR="00EE4097" w:rsidRPr="003112B5">
        <w:rPr>
          <w:rFonts w:ascii="Arial" w:eastAsia="Times New Roman" w:hAnsi="Arial" w:cs="Arial"/>
          <w:color w:val="000000"/>
          <w:sz w:val="24"/>
          <w:szCs w:val="24"/>
          <w:lang w:eastAsia="en-NZ"/>
        </w:rPr>
        <w:t>:</w:t>
      </w:r>
    </w:p>
    <w:p w14:paraId="1F0E0A28" w14:textId="78A86A55" w:rsidR="00E74AFF" w:rsidRPr="003112B5" w:rsidRDefault="00182CFB" w:rsidP="00F26FB3">
      <w:pPr>
        <w:pStyle w:val="ListParagraph"/>
        <w:numPr>
          <w:ilvl w:val="0"/>
          <w:numId w:val="8"/>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 bar</w:t>
      </w:r>
      <w:r w:rsidR="00933270" w:rsidRPr="003112B5">
        <w:rPr>
          <w:rFonts w:ascii="Arial" w:eastAsia="Times New Roman" w:hAnsi="Arial" w:cs="Arial"/>
          <w:color w:val="000000"/>
          <w:sz w:val="24"/>
          <w:szCs w:val="24"/>
          <w:lang w:eastAsia="en-NZ"/>
        </w:rPr>
        <w:t xml:space="preserve"> does not restrict or reduce access to the courts “in such a way </w:t>
      </w:r>
      <w:r w:rsidR="00C22176" w:rsidRPr="003112B5">
        <w:rPr>
          <w:rFonts w:ascii="Arial" w:eastAsia="Times New Roman" w:hAnsi="Arial" w:cs="Arial"/>
          <w:color w:val="000000"/>
          <w:sz w:val="24"/>
          <w:szCs w:val="24"/>
          <w:lang w:eastAsia="en-NZ"/>
        </w:rPr>
        <w:t xml:space="preserve">or </w:t>
      </w:r>
      <w:r w:rsidR="00933270" w:rsidRPr="003112B5">
        <w:rPr>
          <w:rFonts w:ascii="Arial" w:eastAsia="Times New Roman" w:hAnsi="Arial" w:cs="Arial"/>
          <w:color w:val="000000"/>
          <w:sz w:val="24"/>
          <w:szCs w:val="24"/>
          <w:lang w:eastAsia="en-NZ"/>
        </w:rPr>
        <w:t xml:space="preserve">to such an extent that the very essence of the right is impaired”; </w:t>
      </w:r>
    </w:p>
    <w:p w14:paraId="70043BDB" w14:textId="77777777" w:rsidR="00E74AFF" w:rsidRPr="003112B5" w:rsidRDefault="00E74AFF" w:rsidP="00F26FB3">
      <w:pPr>
        <w:pStyle w:val="ListParagraph"/>
        <w:spacing w:after="0" w:line="240" w:lineRule="auto"/>
        <w:ind w:left="1134" w:hanging="634"/>
        <w:rPr>
          <w:rFonts w:ascii="Arial" w:eastAsia="Times New Roman" w:hAnsi="Arial" w:cs="Arial"/>
          <w:color w:val="000000"/>
          <w:sz w:val="24"/>
          <w:szCs w:val="24"/>
          <w:lang w:eastAsia="en-NZ"/>
        </w:rPr>
      </w:pPr>
    </w:p>
    <w:p w14:paraId="396DC154" w14:textId="77777777" w:rsidR="00E74AFF" w:rsidRPr="003112B5" w:rsidRDefault="00182CFB" w:rsidP="00F26FB3">
      <w:pPr>
        <w:pStyle w:val="ListParagraph"/>
        <w:numPr>
          <w:ilvl w:val="0"/>
          <w:numId w:val="8"/>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 bar</w:t>
      </w:r>
      <w:r w:rsidR="00933270" w:rsidRPr="003112B5">
        <w:rPr>
          <w:rFonts w:ascii="Arial" w:eastAsia="Times New Roman" w:hAnsi="Arial" w:cs="Arial"/>
          <w:color w:val="000000"/>
          <w:sz w:val="24"/>
          <w:szCs w:val="24"/>
          <w:lang w:eastAsia="en-NZ"/>
        </w:rPr>
        <w:t xml:space="preserve"> pursues a legitimate aim; and </w:t>
      </w:r>
    </w:p>
    <w:p w14:paraId="429E8869" w14:textId="77777777" w:rsidR="00E74AFF" w:rsidRPr="003112B5" w:rsidRDefault="00E74AFF" w:rsidP="00F26FB3">
      <w:pPr>
        <w:pStyle w:val="ListParagraph"/>
        <w:ind w:left="1134" w:hanging="634"/>
        <w:rPr>
          <w:rFonts w:ascii="Arial" w:eastAsia="Times New Roman" w:hAnsi="Arial" w:cs="Arial"/>
          <w:color w:val="000000"/>
          <w:sz w:val="24"/>
          <w:szCs w:val="24"/>
          <w:lang w:eastAsia="en-NZ"/>
        </w:rPr>
      </w:pPr>
    </w:p>
    <w:p w14:paraId="27F11AF7" w14:textId="26517190" w:rsidR="00933270" w:rsidRDefault="00933270" w:rsidP="00F26FB3">
      <w:pPr>
        <w:pStyle w:val="ListParagraph"/>
        <w:numPr>
          <w:ilvl w:val="0"/>
          <w:numId w:val="8"/>
        </w:numPr>
        <w:spacing w:after="0" w:line="240" w:lineRule="auto"/>
        <w:ind w:left="1134" w:hanging="634"/>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lastRenderedPageBreak/>
        <w:t xml:space="preserve">there is </w:t>
      </w:r>
      <w:r w:rsidR="001D1FCE" w:rsidRPr="003112B5">
        <w:rPr>
          <w:rFonts w:ascii="Arial" w:eastAsia="Times New Roman" w:hAnsi="Arial" w:cs="Arial"/>
          <w:color w:val="000000"/>
          <w:sz w:val="24"/>
          <w:szCs w:val="24"/>
          <w:lang w:eastAsia="en-NZ"/>
        </w:rPr>
        <w:t>“</w:t>
      </w:r>
      <w:r w:rsidRPr="003112B5">
        <w:rPr>
          <w:rFonts w:ascii="Arial" w:eastAsia="Times New Roman" w:hAnsi="Arial" w:cs="Arial"/>
          <w:color w:val="000000"/>
          <w:sz w:val="24"/>
          <w:szCs w:val="24"/>
          <w:lang w:eastAsia="en-NZ"/>
        </w:rPr>
        <w:t>a reasonable relationship of proportionality between the means employed and the aim sought to be achieved”.</w:t>
      </w:r>
      <w:r w:rsidRPr="003112B5">
        <w:rPr>
          <w:rStyle w:val="FootnoteReference"/>
          <w:rFonts w:ascii="Arial" w:eastAsia="Times New Roman" w:hAnsi="Arial" w:cs="Arial"/>
          <w:color w:val="000000"/>
          <w:sz w:val="24"/>
          <w:szCs w:val="24"/>
          <w:lang w:eastAsia="en-NZ"/>
        </w:rPr>
        <w:footnoteReference w:id="34"/>
      </w:r>
      <w:r w:rsidRPr="003112B5">
        <w:rPr>
          <w:rFonts w:ascii="Arial" w:eastAsia="Times New Roman" w:hAnsi="Arial" w:cs="Arial"/>
          <w:color w:val="000000"/>
          <w:sz w:val="24"/>
          <w:szCs w:val="24"/>
          <w:lang w:eastAsia="en-NZ"/>
        </w:rPr>
        <w:t xml:space="preserve">  </w:t>
      </w:r>
    </w:p>
    <w:p w14:paraId="1D7E70F7" w14:textId="77777777" w:rsidR="00446EF9" w:rsidRPr="003112B5" w:rsidRDefault="00446EF9" w:rsidP="0041031A">
      <w:pPr>
        <w:pStyle w:val="ListParagraph"/>
        <w:spacing w:after="0" w:line="240" w:lineRule="auto"/>
        <w:ind w:left="1134"/>
        <w:rPr>
          <w:rFonts w:ascii="Arial" w:eastAsia="Times New Roman" w:hAnsi="Arial" w:cs="Arial"/>
          <w:color w:val="000000"/>
          <w:sz w:val="24"/>
          <w:szCs w:val="24"/>
          <w:lang w:eastAsia="en-NZ"/>
        </w:rPr>
      </w:pPr>
    </w:p>
    <w:p w14:paraId="22A2CAA4" w14:textId="29470120" w:rsidR="00933270" w:rsidRPr="003112B5" w:rsidRDefault="00FF073C"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Limitation periods regulate what can be a conflict between rights: on the one hand, the rights of a plaintiff to have access to a Court to determine his or her rights, and to an effective remedy if those rights have been violated; and on the other, the right of a defendant to a fair trial.  The European Court has stated:</w:t>
      </w:r>
      <w:r w:rsidRPr="003112B5">
        <w:rPr>
          <w:rStyle w:val="FootnoteReference"/>
          <w:rFonts w:ascii="Arial" w:eastAsia="Times New Roman" w:hAnsi="Arial" w:cs="Arial"/>
          <w:color w:val="000000"/>
          <w:sz w:val="24"/>
          <w:szCs w:val="24"/>
          <w:lang w:eastAsia="en-NZ"/>
        </w:rPr>
        <w:footnoteReference w:id="35"/>
      </w:r>
    </w:p>
    <w:p w14:paraId="7523272F" w14:textId="613E7657" w:rsidR="00FF073C" w:rsidRPr="005846F4" w:rsidRDefault="00D6247E" w:rsidP="002A65FA">
      <w:pPr>
        <w:autoSpaceDE w:val="0"/>
        <w:autoSpaceDN w:val="0"/>
        <w:adjustRightInd w:val="0"/>
        <w:spacing w:after="240" w:line="240" w:lineRule="auto"/>
        <w:ind w:left="720"/>
        <w:jc w:val="both"/>
        <w:rPr>
          <w:rFonts w:ascii="Arial" w:eastAsia="Times New Roman" w:hAnsi="Arial" w:cs="Arial"/>
          <w:color w:val="000000"/>
          <w:lang w:eastAsia="en-NZ"/>
        </w:rPr>
      </w:pPr>
      <w:r w:rsidRPr="005846F4">
        <w:rPr>
          <w:rFonts w:ascii="Arial" w:eastAsia="Times New Roman" w:hAnsi="Arial" w:cs="Arial"/>
          <w:color w:val="000000"/>
          <w:lang w:eastAsia="en-NZ"/>
        </w:rPr>
        <w:t>[L]</w:t>
      </w:r>
      <w:r w:rsidR="00FF073C" w:rsidRPr="005846F4">
        <w:rPr>
          <w:rFonts w:ascii="Arial" w:eastAsia="Times New Roman" w:hAnsi="Arial" w:cs="Arial"/>
          <w:color w:val="000000"/>
          <w:lang w:eastAsia="en-NZ"/>
        </w:rPr>
        <w:t>imitation periods</w:t>
      </w:r>
      <w:r w:rsidR="00F57F7E" w:rsidRPr="005846F4">
        <w:rPr>
          <w:rFonts w:ascii="Arial" w:eastAsia="Times New Roman" w:hAnsi="Arial" w:cs="Arial"/>
          <w:color w:val="000000"/>
          <w:lang w:eastAsia="en-NZ"/>
        </w:rPr>
        <w:t xml:space="preserve"> </w:t>
      </w:r>
      <w:r w:rsidR="00FF073C" w:rsidRPr="005846F4">
        <w:rPr>
          <w:rFonts w:ascii="Arial" w:eastAsia="Times New Roman" w:hAnsi="Arial" w:cs="Arial"/>
          <w:color w:val="000000"/>
          <w:lang w:eastAsia="en-NZ"/>
        </w:rPr>
        <w:t>in personal injury cases are a common feature of the domestic legal systems of the Contracting States. They serve several important purposes, namely to ensure legal certainty and finality, protect potential defendants from stale claims which might be difficult to counter and prevent the injustice which might arise if courts were required to decide upon events which took place in the distant past on the basis of evidence which might have become unreliable and incomplete because of the passage of time.</w:t>
      </w:r>
    </w:p>
    <w:p w14:paraId="27EA6313" w14:textId="33B30E5F" w:rsidR="00E60264" w:rsidRPr="003112B5" w:rsidRDefault="00E60264" w:rsidP="00E60264">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 deciding whether a particular limitation is permissible, relevant considerations may include whether it applies to criminal and civil proceedings, or only to civil, and whether compensation orders may be made in any criminal proceedings.</w:t>
      </w:r>
      <w:r w:rsidRPr="003112B5">
        <w:rPr>
          <w:rStyle w:val="FootnoteReference"/>
          <w:rFonts w:ascii="Arial" w:eastAsia="Times New Roman" w:hAnsi="Arial" w:cs="Arial"/>
          <w:color w:val="000000"/>
          <w:sz w:val="24"/>
          <w:szCs w:val="24"/>
          <w:lang w:eastAsia="en-NZ"/>
        </w:rPr>
        <w:footnoteReference w:id="36"/>
      </w:r>
      <w:r w:rsidRPr="003112B5">
        <w:rPr>
          <w:rFonts w:ascii="Arial" w:eastAsia="Times New Roman" w:hAnsi="Arial" w:cs="Arial"/>
          <w:color w:val="000000"/>
          <w:sz w:val="24"/>
          <w:szCs w:val="24"/>
          <w:lang w:eastAsia="en-NZ"/>
        </w:rPr>
        <w:t xml:space="preserve"> </w:t>
      </w:r>
    </w:p>
    <w:p w14:paraId="13CD1FC9" w14:textId="0F1DEAFF" w:rsidR="00933270" w:rsidRPr="003112B5" w:rsidRDefault="00933270" w:rsidP="00E74AFF">
      <w:pPr>
        <w:spacing w:after="0" w:line="240" w:lineRule="auto"/>
        <w:rPr>
          <w:rFonts w:ascii="Arial" w:eastAsia="Times New Roman" w:hAnsi="Arial" w:cs="Arial"/>
          <w:color w:val="000000"/>
          <w:sz w:val="24"/>
          <w:szCs w:val="24"/>
          <w:lang w:eastAsia="en-NZ"/>
        </w:rPr>
      </w:pPr>
      <w:r w:rsidRPr="003112B5">
        <w:rPr>
          <w:rFonts w:ascii="Arial" w:eastAsia="Times New Roman" w:hAnsi="Arial" w:cs="Arial"/>
          <w:b/>
          <w:bCs/>
          <w:color w:val="000000"/>
          <w:sz w:val="24"/>
          <w:szCs w:val="24"/>
          <w:lang w:eastAsia="en-NZ"/>
        </w:rPr>
        <w:t>Types of redress</w:t>
      </w:r>
    </w:p>
    <w:p w14:paraId="76C34265" w14:textId="453A5D6C" w:rsidR="00933270" w:rsidRPr="003112B5" w:rsidRDefault="00933270" w:rsidP="004A3F69">
      <w:pPr>
        <w:pStyle w:val="ListParagraph"/>
        <w:spacing w:after="0" w:line="240" w:lineRule="auto"/>
        <w:ind w:left="1134"/>
        <w:rPr>
          <w:rFonts w:ascii="Arial" w:eastAsia="Times New Roman" w:hAnsi="Arial" w:cs="Arial"/>
          <w:color w:val="000000"/>
          <w:sz w:val="24"/>
          <w:szCs w:val="24"/>
          <w:lang w:eastAsia="en-NZ"/>
        </w:rPr>
      </w:pPr>
    </w:p>
    <w:p w14:paraId="2ABC9CC2" w14:textId="2FA2F78C"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Once a </w:t>
      </w:r>
      <w:r w:rsidR="00C71971" w:rsidRPr="003112B5">
        <w:rPr>
          <w:rFonts w:ascii="Arial" w:eastAsia="Times New Roman" w:hAnsi="Arial" w:cs="Arial"/>
          <w:color w:val="000000"/>
          <w:sz w:val="24"/>
          <w:szCs w:val="24"/>
          <w:lang w:eastAsia="en-NZ"/>
        </w:rPr>
        <w:t>violation</w:t>
      </w:r>
      <w:r w:rsidR="00B76DA0" w:rsidRPr="003112B5">
        <w:rPr>
          <w:rFonts w:ascii="Arial" w:eastAsia="Times New Roman" w:hAnsi="Arial" w:cs="Arial"/>
          <w:color w:val="000000"/>
          <w:sz w:val="24"/>
          <w:szCs w:val="24"/>
          <w:lang w:eastAsia="en-NZ"/>
        </w:rPr>
        <w:t xml:space="preserve"> attributable to a State</w:t>
      </w:r>
      <w:r w:rsidRPr="003112B5">
        <w:rPr>
          <w:rFonts w:ascii="Arial" w:eastAsia="Times New Roman" w:hAnsi="Arial" w:cs="Arial"/>
          <w:color w:val="000000"/>
          <w:sz w:val="24"/>
          <w:szCs w:val="24"/>
          <w:lang w:eastAsia="en-NZ"/>
        </w:rPr>
        <w:t xml:space="preserve"> has been shown, and causation established, the State must make </w:t>
      </w:r>
      <w:r w:rsidR="00A11A3A" w:rsidRPr="003112B5">
        <w:rPr>
          <w:rFonts w:ascii="Arial" w:eastAsia="Times New Roman" w:hAnsi="Arial" w:cs="Arial"/>
          <w:color w:val="000000"/>
          <w:sz w:val="24"/>
          <w:szCs w:val="24"/>
          <w:lang w:eastAsia="en-NZ"/>
        </w:rPr>
        <w:t xml:space="preserve">redress </w:t>
      </w:r>
      <w:r w:rsidRPr="003112B5">
        <w:rPr>
          <w:rFonts w:ascii="Arial" w:eastAsia="Times New Roman" w:hAnsi="Arial" w:cs="Arial"/>
          <w:color w:val="000000"/>
          <w:sz w:val="24"/>
          <w:szCs w:val="24"/>
          <w:lang w:eastAsia="en-NZ"/>
        </w:rPr>
        <w:t>for the harm caused.</w:t>
      </w:r>
      <w:r w:rsidRPr="003112B5">
        <w:rPr>
          <w:rStyle w:val="FootnoteReference"/>
          <w:rFonts w:ascii="Arial" w:eastAsia="Times New Roman" w:hAnsi="Arial" w:cs="Arial"/>
          <w:color w:val="000000"/>
          <w:sz w:val="24"/>
          <w:szCs w:val="24"/>
          <w:lang w:eastAsia="en-NZ"/>
        </w:rPr>
        <w:footnoteReference w:id="37"/>
      </w:r>
      <w:r w:rsidRPr="003112B5">
        <w:rPr>
          <w:rFonts w:ascii="Arial" w:eastAsia="Times New Roman" w:hAnsi="Arial" w:cs="Arial"/>
          <w:color w:val="000000"/>
          <w:sz w:val="24"/>
          <w:szCs w:val="24"/>
          <w:lang w:eastAsia="en-NZ"/>
        </w:rPr>
        <w:t xml:space="preserve">  This may consist of restitution, rehabilitation, compensation, </w:t>
      </w:r>
      <w:r w:rsidR="001C48BE" w:rsidRPr="003112B5">
        <w:rPr>
          <w:rFonts w:ascii="Arial" w:eastAsia="Times New Roman" w:hAnsi="Arial" w:cs="Arial"/>
          <w:color w:val="000000"/>
          <w:sz w:val="24"/>
          <w:szCs w:val="24"/>
          <w:lang w:eastAsia="en-NZ"/>
        </w:rPr>
        <w:t xml:space="preserve">and </w:t>
      </w:r>
      <w:r w:rsidRPr="003112B5">
        <w:rPr>
          <w:rFonts w:ascii="Arial" w:eastAsia="Times New Roman" w:hAnsi="Arial" w:cs="Arial"/>
          <w:color w:val="000000"/>
          <w:sz w:val="24"/>
          <w:szCs w:val="24"/>
          <w:lang w:eastAsia="en-NZ"/>
        </w:rPr>
        <w:t>satisfaction</w:t>
      </w:r>
      <w:r w:rsidR="001C48BE" w:rsidRPr="003112B5">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as necessary</w:t>
      </w:r>
      <w:r w:rsidR="00936D96" w:rsidRPr="003112B5">
        <w:rPr>
          <w:rFonts w:ascii="Arial" w:eastAsia="Times New Roman" w:hAnsi="Arial" w:cs="Arial"/>
          <w:color w:val="000000"/>
          <w:sz w:val="24"/>
          <w:szCs w:val="24"/>
          <w:lang w:eastAsia="en-NZ"/>
        </w:rPr>
        <w:t xml:space="preserve"> (including where appropriate guarantees of non-repetition)</w:t>
      </w:r>
      <w:r w:rsidRPr="003112B5">
        <w:rPr>
          <w:rFonts w:ascii="Arial" w:eastAsia="Times New Roman" w:hAnsi="Arial" w:cs="Arial"/>
          <w:color w:val="000000"/>
          <w:sz w:val="24"/>
          <w:szCs w:val="24"/>
          <w:lang w:eastAsia="en-NZ"/>
        </w:rPr>
        <w:t>.</w:t>
      </w:r>
      <w:r w:rsidRPr="003112B5">
        <w:rPr>
          <w:rStyle w:val="FootnoteReference"/>
          <w:rFonts w:ascii="Arial" w:eastAsia="Times New Roman" w:hAnsi="Arial" w:cs="Arial"/>
          <w:color w:val="000000"/>
          <w:sz w:val="24"/>
          <w:szCs w:val="24"/>
          <w:lang w:eastAsia="en-NZ"/>
        </w:rPr>
        <w:footnoteReference w:id="38"/>
      </w:r>
      <w:r w:rsidRPr="003112B5">
        <w:rPr>
          <w:rFonts w:ascii="Arial" w:eastAsia="Times New Roman" w:hAnsi="Arial" w:cs="Arial"/>
          <w:color w:val="000000"/>
          <w:sz w:val="24"/>
          <w:szCs w:val="24"/>
          <w:lang w:eastAsia="en-NZ"/>
        </w:rPr>
        <w:t xml:space="preserve">  </w:t>
      </w:r>
      <w:r w:rsidR="001C48BE" w:rsidRPr="003112B5">
        <w:rPr>
          <w:rFonts w:ascii="Arial" w:eastAsia="Times New Roman" w:hAnsi="Arial" w:cs="Arial"/>
          <w:color w:val="000000"/>
          <w:sz w:val="24"/>
          <w:szCs w:val="24"/>
          <w:lang w:eastAsia="en-NZ"/>
        </w:rPr>
        <w:t xml:space="preserve">The State is also obliged to cease the </w:t>
      </w:r>
      <w:r w:rsidR="00C71971" w:rsidRPr="003112B5">
        <w:rPr>
          <w:rFonts w:ascii="Arial" w:eastAsia="Times New Roman" w:hAnsi="Arial" w:cs="Arial"/>
          <w:color w:val="000000"/>
          <w:sz w:val="24"/>
          <w:szCs w:val="24"/>
          <w:lang w:eastAsia="en-NZ"/>
        </w:rPr>
        <w:t>violation</w:t>
      </w:r>
      <w:r w:rsidR="001C48BE" w:rsidRPr="003112B5">
        <w:rPr>
          <w:rFonts w:ascii="Arial" w:eastAsia="Times New Roman" w:hAnsi="Arial" w:cs="Arial"/>
          <w:color w:val="000000"/>
          <w:sz w:val="24"/>
          <w:szCs w:val="24"/>
          <w:lang w:eastAsia="en-NZ"/>
        </w:rPr>
        <w:t xml:space="preserve"> if it is ongoing</w:t>
      </w:r>
      <w:r w:rsidR="00FE193D" w:rsidRPr="003112B5">
        <w:rPr>
          <w:rFonts w:ascii="Arial" w:eastAsia="Times New Roman" w:hAnsi="Arial" w:cs="Arial"/>
          <w:color w:val="000000"/>
          <w:sz w:val="24"/>
          <w:szCs w:val="24"/>
          <w:lang w:eastAsia="en-NZ"/>
        </w:rPr>
        <w:t>.</w:t>
      </w:r>
      <w:r w:rsidR="00FE193D" w:rsidRPr="003112B5">
        <w:rPr>
          <w:rStyle w:val="FootnoteReference"/>
          <w:rFonts w:ascii="Arial" w:eastAsia="Times New Roman" w:hAnsi="Arial" w:cs="Arial"/>
          <w:color w:val="000000"/>
          <w:sz w:val="24"/>
          <w:szCs w:val="24"/>
          <w:lang w:eastAsia="en-NZ"/>
        </w:rPr>
        <w:footnoteReference w:id="39"/>
      </w:r>
      <w:r w:rsidR="00692E1D" w:rsidRPr="003112B5">
        <w:rPr>
          <w:rFonts w:ascii="Arial" w:eastAsia="Times New Roman" w:hAnsi="Arial" w:cs="Arial"/>
          <w:color w:val="000000"/>
          <w:sz w:val="24"/>
          <w:szCs w:val="24"/>
          <w:lang w:eastAsia="en-NZ"/>
        </w:rPr>
        <w:t xml:space="preserve"> </w:t>
      </w:r>
      <w:r w:rsidR="005846F4">
        <w:rPr>
          <w:rFonts w:ascii="Arial" w:eastAsia="Times New Roman" w:hAnsi="Arial" w:cs="Arial"/>
          <w:color w:val="000000"/>
          <w:sz w:val="24"/>
          <w:szCs w:val="24"/>
          <w:lang w:eastAsia="en-NZ"/>
        </w:rPr>
        <w:t xml:space="preserve"> </w:t>
      </w:r>
      <w:r w:rsidR="00692E1D" w:rsidRPr="003112B5">
        <w:rPr>
          <w:rFonts w:ascii="Arial" w:eastAsia="Times New Roman" w:hAnsi="Arial" w:cs="Arial"/>
          <w:color w:val="000000"/>
          <w:sz w:val="24"/>
          <w:szCs w:val="24"/>
          <w:lang w:eastAsia="en-NZ"/>
        </w:rPr>
        <w:t>Sometimes cessation and</w:t>
      </w:r>
      <w:r w:rsidR="00863A5B" w:rsidRPr="003112B5">
        <w:rPr>
          <w:rFonts w:ascii="Arial" w:eastAsia="Times New Roman" w:hAnsi="Arial" w:cs="Arial"/>
          <w:color w:val="000000"/>
          <w:sz w:val="24"/>
          <w:szCs w:val="24"/>
          <w:lang w:eastAsia="en-NZ"/>
        </w:rPr>
        <w:t>/or</w:t>
      </w:r>
      <w:r w:rsidR="00692E1D" w:rsidRPr="003112B5">
        <w:rPr>
          <w:rFonts w:ascii="Arial" w:eastAsia="Times New Roman" w:hAnsi="Arial" w:cs="Arial"/>
          <w:color w:val="000000"/>
          <w:sz w:val="24"/>
          <w:szCs w:val="24"/>
          <w:lang w:eastAsia="en-NZ"/>
        </w:rPr>
        <w:t xml:space="preserve"> </w:t>
      </w:r>
      <w:r w:rsidR="00692E1D" w:rsidRPr="003112B5">
        <w:rPr>
          <w:rFonts w:ascii="Arial" w:eastAsia="Times New Roman" w:hAnsi="Arial" w:cs="Arial"/>
          <w:color w:val="000000"/>
          <w:sz w:val="24"/>
          <w:szCs w:val="24"/>
          <w:lang w:eastAsia="en-NZ"/>
        </w:rPr>
        <w:lastRenderedPageBreak/>
        <w:t>guarantees of non-repetition are referred to as part of redress,</w:t>
      </w:r>
      <w:r w:rsidR="00692E1D" w:rsidRPr="003112B5">
        <w:rPr>
          <w:rStyle w:val="FootnoteReference"/>
          <w:rFonts w:ascii="Arial" w:eastAsia="Times New Roman" w:hAnsi="Arial" w:cs="Arial"/>
          <w:color w:val="000000"/>
          <w:sz w:val="24"/>
          <w:szCs w:val="24"/>
          <w:lang w:eastAsia="en-NZ"/>
        </w:rPr>
        <w:footnoteReference w:id="40"/>
      </w:r>
      <w:r w:rsidR="00692E1D" w:rsidRPr="003112B5">
        <w:rPr>
          <w:rFonts w:ascii="Arial" w:eastAsia="Times New Roman" w:hAnsi="Arial" w:cs="Arial"/>
          <w:color w:val="000000"/>
          <w:sz w:val="24"/>
          <w:szCs w:val="24"/>
          <w:lang w:eastAsia="en-NZ"/>
        </w:rPr>
        <w:t xml:space="preserve"> while others consider them to be separate to redress.</w:t>
      </w:r>
      <w:r w:rsidR="00692E1D" w:rsidRPr="003112B5">
        <w:rPr>
          <w:rStyle w:val="FootnoteReference"/>
          <w:rFonts w:ascii="Arial" w:eastAsia="Times New Roman" w:hAnsi="Arial" w:cs="Arial"/>
          <w:color w:val="000000"/>
          <w:sz w:val="24"/>
          <w:szCs w:val="24"/>
          <w:lang w:eastAsia="en-NZ"/>
        </w:rPr>
        <w:footnoteReference w:id="41"/>
      </w:r>
      <w:r w:rsidR="00692E1D" w:rsidRPr="003112B5">
        <w:rPr>
          <w:rFonts w:ascii="Arial" w:eastAsia="Times New Roman" w:hAnsi="Arial" w:cs="Arial"/>
          <w:color w:val="000000"/>
          <w:sz w:val="24"/>
          <w:szCs w:val="24"/>
          <w:lang w:eastAsia="en-NZ"/>
        </w:rPr>
        <w:t xml:space="preserve">  For ease of reference, and because these obligations arise when a violation has occurred, this paper includes them within its definition of redress.</w:t>
      </w:r>
    </w:p>
    <w:p w14:paraId="6E2207E6" w14:textId="1AA2ACD2"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A failure to provide effective redress may amount to a</w:t>
      </w:r>
      <w:r w:rsidR="006436FB" w:rsidRPr="003112B5">
        <w:rPr>
          <w:rFonts w:ascii="Arial" w:eastAsia="Times New Roman" w:hAnsi="Arial" w:cs="Arial"/>
          <w:color w:val="000000"/>
          <w:sz w:val="24"/>
          <w:szCs w:val="24"/>
          <w:lang w:eastAsia="en-NZ"/>
        </w:rPr>
        <w:t xml:space="preserve">nother </w:t>
      </w:r>
      <w:r w:rsidRPr="003112B5">
        <w:rPr>
          <w:rFonts w:ascii="Arial" w:eastAsia="Times New Roman" w:hAnsi="Arial" w:cs="Arial"/>
          <w:color w:val="000000"/>
          <w:sz w:val="24"/>
          <w:szCs w:val="24"/>
          <w:lang w:eastAsia="en-NZ"/>
        </w:rPr>
        <w:t xml:space="preserve">human rights </w:t>
      </w:r>
      <w:r w:rsidR="00C71971" w:rsidRPr="003112B5">
        <w:rPr>
          <w:rFonts w:ascii="Arial" w:eastAsia="Times New Roman" w:hAnsi="Arial" w:cs="Arial"/>
          <w:color w:val="000000"/>
          <w:sz w:val="24"/>
          <w:szCs w:val="24"/>
          <w:lang w:eastAsia="en-NZ"/>
        </w:rPr>
        <w:t>violation</w:t>
      </w:r>
      <w:r w:rsidRPr="003112B5">
        <w:rPr>
          <w:rFonts w:ascii="Arial" w:eastAsia="Times New Roman" w:hAnsi="Arial" w:cs="Arial"/>
          <w:color w:val="000000"/>
          <w:sz w:val="24"/>
          <w:szCs w:val="24"/>
          <w:lang w:eastAsia="en-NZ"/>
        </w:rPr>
        <w:t>.</w:t>
      </w:r>
      <w:r w:rsidRPr="003112B5">
        <w:rPr>
          <w:rStyle w:val="FootnoteReference"/>
          <w:rFonts w:ascii="Arial" w:eastAsia="Times New Roman" w:hAnsi="Arial" w:cs="Arial"/>
          <w:color w:val="000000"/>
          <w:sz w:val="24"/>
          <w:szCs w:val="24"/>
          <w:lang w:eastAsia="en-NZ"/>
        </w:rPr>
        <w:footnoteReference w:id="42"/>
      </w:r>
      <w:r w:rsidRPr="003112B5">
        <w:rPr>
          <w:rFonts w:ascii="Arial" w:eastAsia="Times New Roman" w:hAnsi="Arial" w:cs="Arial"/>
          <w:color w:val="000000"/>
          <w:sz w:val="24"/>
          <w:szCs w:val="24"/>
          <w:lang w:eastAsia="en-NZ"/>
        </w:rPr>
        <w:t xml:space="preserve">  </w:t>
      </w:r>
      <w:r w:rsidR="00F631A0" w:rsidRPr="003112B5">
        <w:rPr>
          <w:rFonts w:ascii="Arial" w:eastAsia="Times New Roman" w:hAnsi="Arial" w:cs="Arial"/>
          <w:color w:val="000000"/>
          <w:sz w:val="24"/>
          <w:szCs w:val="24"/>
          <w:lang w:eastAsia="en-NZ"/>
        </w:rPr>
        <w:t>Al</w:t>
      </w:r>
      <w:r w:rsidRPr="003112B5">
        <w:rPr>
          <w:rFonts w:ascii="Arial" w:eastAsia="Times New Roman" w:hAnsi="Arial" w:cs="Arial"/>
          <w:color w:val="000000"/>
          <w:sz w:val="24"/>
          <w:szCs w:val="24"/>
          <w:lang w:eastAsia="en-NZ"/>
        </w:rPr>
        <w:t>so</w:t>
      </w:r>
      <w:r w:rsidR="00F631A0" w:rsidRPr="003112B5">
        <w:rPr>
          <w:rFonts w:ascii="Arial" w:eastAsia="Times New Roman" w:hAnsi="Arial" w:cs="Arial"/>
          <w:color w:val="000000"/>
          <w:sz w:val="24"/>
          <w:szCs w:val="24"/>
          <w:lang w:eastAsia="en-NZ"/>
        </w:rPr>
        <w:t>,</w:t>
      </w:r>
      <w:r w:rsidRPr="003112B5">
        <w:rPr>
          <w:rFonts w:ascii="Arial" w:eastAsia="Times New Roman" w:hAnsi="Arial" w:cs="Arial"/>
          <w:color w:val="000000"/>
          <w:sz w:val="24"/>
          <w:szCs w:val="24"/>
          <w:lang w:eastAsia="en-NZ"/>
        </w:rPr>
        <w:t xml:space="preserve"> a failure to provide effective redress in relation to an event which occurred before the entry into force of a relevant human rights treaty may amount to a continuing violation.  That is, the event itself </w:t>
      </w:r>
      <w:r w:rsidR="00775346" w:rsidRPr="003112B5">
        <w:rPr>
          <w:rFonts w:ascii="Arial" w:eastAsia="Times New Roman" w:hAnsi="Arial" w:cs="Arial"/>
          <w:color w:val="000000"/>
          <w:sz w:val="24"/>
          <w:szCs w:val="24"/>
          <w:lang w:eastAsia="en-NZ"/>
        </w:rPr>
        <w:t xml:space="preserve">may be </w:t>
      </w:r>
      <w:r w:rsidRPr="003112B5">
        <w:rPr>
          <w:rFonts w:ascii="Arial" w:eastAsia="Times New Roman" w:hAnsi="Arial" w:cs="Arial"/>
          <w:color w:val="000000"/>
          <w:sz w:val="24"/>
          <w:szCs w:val="24"/>
          <w:lang w:eastAsia="en-NZ"/>
        </w:rPr>
        <w:t>outside the jurisdiction of the relevant court or tribunal</w:t>
      </w:r>
      <w:r w:rsidR="000A5F45" w:rsidRPr="003112B5">
        <w:rPr>
          <w:rFonts w:ascii="Arial" w:eastAsia="Times New Roman" w:hAnsi="Arial" w:cs="Arial"/>
          <w:color w:val="000000"/>
          <w:sz w:val="24"/>
          <w:szCs w:val="24"/>
          <w:lang w:eastAsia="en-NZ"/>
        </w:rPr>
        <w:t xml:space="preserve"> (meaning that it cannot provide the basis for a finding that a right has been violated)</w:t>
      </w:r>
      <w:r w:rsidR="006436FB" w:rsidRPr="003112B5">
        <w:rPr>
          <w:rFonts w:ascii="Arial" w:eastAsia="Times New Roman" w:hAnsi="Arial" w:cs="Arial"/>
          <w:color w:val="000000"/>
          <w:sz w:val="24"/>
          <w:szCs w:val="24"/>
          <w:lang w:eastAsia="en-NZ"/>
        </w:rPr>
        <w:t xml:space="preserve">, but the </w:t>
      </w:r>
      <w:r w:rsidRPr="003112B5">
        <w:rPr>
          <w:rFonts w:ascii="Arial" w:eastAsia="Times New Roman" w:hAnsi="Arial" w:cs="Arial"/>
          <w:color w:val="000000"/>
          <w:sz w:val="24"/>
          <w:szCs w:val="24"/>
          <w:lang w:eastAsia="en-NZ"/>
        </w:rPr>
        <w:t>failure to provide a remedy</w:t>
      </w:r>
      <w:r w:rsidR="000A5F45" w:rsidRPr="003112B5">
        <w:rPr>
          <w:rFonts w:ascii="Arial" w:eastAsia="Times New Roman" w:hAnsi="Arial" w:cs="Arial"/>
          <w:color w:val="000000"/>
          <w:sz w:val="24"/>
          <w:szCs w:val="24"/>
          <w:lang w:eastAsia="en-NZ"/>
        </w:rPr>
        <w:t xml:space="preserve"> </w:t>
      </w:r>
      <w:r w:rsidR="00775346" w:rsidRPr="003112B5">
        <w:rPr>
          <w:rFonts w:ascii="Arial" w:eastAsia="Times New Roman" w:hAnsi="Arial" w:cs="Arial"/>
          <w:color w:val="000000"/>
          <w:sz w:val="24"/>
          <w:szCs w:val="24"/>
          <w:lang w:eastAsia="en-NZ"/>
        </w:rPr>
        <w:t xml:space="preserve">may be able to </w:t>
      </w:r>
      <w:r w:rsidR="000A5F45" w:rsidRPr="003112B5">
        <w:rPr>
          <w:rFonts w:ascii="Arial" w:eastAsia="Times New Roman" w:hAnsi="Arial" w:cs="Arial"/>
          <w:color w:val="000000"/>
          <w:sz w:val="24"/>
          <w:szCs w:val="24"/>
          <w:lang w:eastAsia="en-NZ"/>
        </w:rPr>
        <w:t>be considered</w:t>
      </w:r>
      <w:r w:rsidR="00775346" w:rsidRPr="003112B5">
        <w:rPr>
          <w:rFonts w:ascii="Arial" w:eastAsia="Times New Roman" w:hAnsi="Arial" w:cs="Arial"/>
          <w:color w:val="000000"/>
          <w:sz w:val="24"/>
          <w:szCs w:val="24"/>
          <w:lang w:eastAsia="en-NZ"/>
        </w:rPr>
        <w:t>,</w:t>
      </w:r>
      <w:r w:rsidR="000A5F45" w:rsidRPr="003112B5">
        <w:rPr>
          <w:rFonts w:ascii="Arial" w:eastAsia="Times New Roman" w:hAnsi="Arial" w:cs="Arial"/>
          <w:color w:val="000000"/>
          <w:sz w:val="24"/>
          <w:szCs w:val="24"/>
          <w:lang w:eastAsia="en-NZ"/>
        </w:rPr>
        <w:t xml:space="preserve"> and a finding of </w:t>
      </w:r>
      <w:r w:rsidR="00C71971" w:rsidRPr="003112B5">
        <w:rPr>
          <w:rFonts w:ascii="Arial" w:eastAsia="Times New Roman" w:hAnsi="Arial" w:cs="Arial"/>
          <w:color w:val="000000"/>
          <w:sz w:val="24"/>
          <w:szCs w:val="24"/>
          <w:lang w:eastAsia="en-NZ"/>
        </w:rPr>
        <w:t>violation</w:t>
      </w:r>
      <w:r w:rsidR="000A5F45" w:rsidRPr="003112B5">
        <w:rPr>
          <w:rFonts w:ascii="Arial" w:eastAsia="Times New Roman" w:hAnsi="Arial" w:cs="Arial"/>
          <w:color w:val="000000"/>
          <w:sz w:val="24"/>
          <w:szCs w:val="24"/>
          <w:lang w:eastAsia="en-NZ"/>
        </w:rPr>
        <w:t xml:space="preserve"> made in respect of it</w:t>
      </w:r>
      <w:r w:rsidRPr="003112B5">
        <w:rPr>
          <w:rFonts w:ascii="Arial" w:eastAsia="Times New Roman" w:hAnsi="Arial" w:cs="Arial"/>
          <w:color w:val="000000"/>
          <w:sz w:val="24"/>
          <w:szCs w:val="24"/>
          <w:lang w:eastAsia="en-NZ"/>
        </w:rPr>
        <w:t>.</w:t>
      </w:r>
      <w:r w:rsidRPr="003112B5">
        <w:rPr>
          <w:rStyle w:val="FootnoteReference"/>
          <w:rFonts w:ascii="Arial" w:eastAsia="Times New Roman" w:hAnsi="Arial" w:cs="Arial"/>
          <w:color w:val="000000"/>
          <w:sz w:val="24"/>
          <w:szCs w:val="24"/>
          <w:lang w:eastAsia="en-NZ"/>
        </w:rPr>
        <w:footnoteReference w:id="43"/>
      </w:r>
    </w:p>
    <w:p w14:paraId="6BE0F674" w14:textId="43AB75B5"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 deciding what redress is required in a particular case, relevant considerations include what remedy or remedies are required to address the harm caused, deter repetition,</w:t>
      </w:r>
      <w:r w:rsidRPr="003112B5">
        <w:rPr>
          <w:rStyle w:val="FootnoteReference"/>
          <w:rFonts w:ascii="Arial" w:eastAsia="Times New Roman" w:hAnsi="Arial" w:cs="Arial"/>
          <w:color w:val="000000"/>
          <w:sz w:val="24"/>
          <w:szCs w:val="24"/>
          <w:lang w:eastAsia="en-NZ"/>
        </w:rPr>
        <w:footnoteReference w:id="44"/>
      </w:r>
      <w:r w:rsidRPr="003112B5">
        <w:rPr>
          <w:rFonts w:ascii="Arial" w:eastAsia="Times New Roman" w:hAnsi="Arial" w:cs="Arial"/>
          <w:color w:val="000000"/>
          <w:sz w:val="24"/>
          <w:szCs w:val="24"/>
          <w:lang w:eastAsia="en-NZ"/>
        </w:rPr>
        <w:t xml:space="preserve"> and vindicate the importance of the right(s) at both an individual and societal level.  “[S]ociety as well as the individual victim is injured when state agents violate human rights.”</w:t>
      </w:r>
      <w:r w:rsidRPr="003112B5">
        <w:rPr>
          <w:rStyle w:val="FootnoteReference"/>
          <w:rFonts w:ascii="Arial" w:eastAsia="Times New Roman" w:hAnsi="Arial" w:cs="Arial"/>
          <w:color w:val="000000"/>
          <w:sz w:val="24"/>
          <w:szCs w:val="24"/>
          <w:lang w:eastAsia="en-NZ"/>
        </w:rPr>
        <w:footnoteReference w:id="45"/>
      </w:r>
    </w:p>
    <w:p w14:paraId="4D7159A6" w14:textId="40829AFD" w:rsidR="00933270" w:rsidRPr="003112B5" w:rsidRDefault="00933270" w:rsidP="00E74AFF">
      <w:pPr>
        <w:spacing w:after="0" w:line="240" w:lineRule="auto"/>
        <w:rPr>
          <w:rFonts w:ascii="Arial" w:eastAsia="Times New Roman" w:hAnsi="Arial" w:cs="Arial"/>
          <w:b/>
          <w:bCs/>
          <w:i/>
          <w:iCs/>
          <w:color w:val="000000"/>
          <w:sz w:val="24"/>
          <w:szCs w:val="24"/>
          <w:lang w:eastAsia="en-NZ"/>
        </w:rPr>
      </w:pPr>
      <w:r w:rsidRPr="003112B5">
        <w:rPr>
          <w:rFonts w:ascii="Arial" w:eastAsia="Times New Roman" w:hAnsi="Arial" w:cs="Arial"/>
          <w:b/>
          <w:bCs/>
          <w:i/>
          <w:iCs/>
          <w:color w:val="000000"/>
          <w:sz w:val="24"/>
          <w:szCs w:val="24"/>
          <w:lang w:eastAsia="en-NZ"/>
        </w:rPr>
        <w:t>Restitution and rehabilitation</w:t>
      </w:r>
    </w:p>
    <w:p w14:paraId="637A2253" w14:textId="77777777" w:rsidR="00E74AFF" w:rsidRPr="003112B5" w:rsidRDefault="00E74AFF" w:rsidP="00E74AFF">
      <w:pPr>
        <w:spacing w:after="0" w:line="240" w:lineRule="auto"/>
        <w:rPr>
          <w:rFonts w:ascii="Arial" w:eastAsia="Times New Roman" w:hAnsi="Arial" w:cs="Arial"/>
          <w:color w:val="000000"/>
          <w:sz w:val="24"/>
          <w:szCs w:val="24"/>
          <w:lang w:eastAsia="en-NZ"/>
        </w:rPr>
      </w:pPr>
    </w:p>
    <w:p w14:paraId="41341AD2" w14:textId="6BB292C0"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The purpose of restitution is to restore to </w:t>
      </w:r>
      <w:r w:rsidRPr="005846F4">
        <w:rPr>
          <w:rFonts w:ascii="Arial" w:eastAsia="Times New Roman" w:hAnsi="Arial" w:cs="Arial"/>
          <w:color w:val="000000"/>
          <w:sz w:val="24"/>
          <w:szCs w:val="24"/>
          <w:lang w:eastAsia="en-NZ"/>
        </w:rPr>
        <w:t xml:space="preserve">the </w:t>
      </w:r>
      <w:r w:rsidR="00E274BE">
        <w:rPr>
          <w:rFonts w:ascii="Arial" w:eastAsia="Times New Roman" w:hAnsi="Arial" w:cs="Arial"/>
          <w:color w:val="000000"/>
          <w:sz w:val="24"/>
          <w:szCs w:val="24"/>
          <w:lang w:eastAsia="en-NZ"/>
        </w:rPr>
        <w:t>victim</w:t>
      </w:r>
      <w:r w:rsidR="0017488E">
        <w:rPr>
          <w:rFonts w:ascii="Arial" w:eastAsia="Times New Roman" w:hAnsi="Arial" w:cs="Arial"/>
          <w:color w:val="000000"/>
          <w:sz w:val="24"/>
          <w:szCs w:val="24"/>
          <w:lang w:eastAsia="en-NZ"/>
        </w:rPr>
        <w:t>/survivor</w:t>
      </w:r>
      <w:r w:rsidR="00E274BE">
        <w:rPr>
          <w:rFonts w:ascii="Arial" w:eastAsia="Times New Roman" w:hAnsi="Arial" w:cs="Arial"/>
          <w:color w:val="000000"/>
          <w:sz w:val="24"/>
          <w:szCs w:val="24"/>
          <w:lang w:eastAsia="en-NZ"/>
        </w:rPr>
        <w:t xml:space="preserve"> </w:t>
      </w:r>
      <w:r w:rsidRPr="005846F4">
        <w:rPr>
          <w:rFonts w:ascii="Arial" w:eastAsia="Times New Roman" w:hAnsi="Arial" w:cs="Arial"/>
          <w:color w:val="000000"/>
          <w:sz w:val="24"/>
          <w:szCs w:val="24"/>
          <w:lang w:eastAsia="en-NZ"/>
        </w:rPr>
        <w:t>that</w:t>
      </w:r>
      <w:r w:rsidRPr="003112B5">
        <w:rPr>
          <w:rFonts w:ascii="Arial" w:eastAsia="Times New Roman" w:hAnsi="Arial" w:cs="Arial"/>
          <w:color w:val="000000"/>
          <w:sz w:val="24"/>
          <w:szCs w:val="24"/>
          <w:lang w:eastAsia="en-NZ"/>
        </w:rPr>
        <w:t xml:space="preserve"> which has been unlawfully taken from her or him.</w:t>
      </w:r>
      <w:r w:rsidRPr="003112B5">
        <w:rPr>
          <w:rStyle w:val="FootnoteReference"/>
          <w:rFonts w:ascii="Arial" w:eastAsia="Times New Roman" w:hAnsi="Arial" w:cs="Arial"/>
          <w:color w:val="000000"/>
          <w:sz w:val="24"/>
          <w:szCs w:val="24"/>
          <w:lang w:eastAsia="en-NZ"/>
        </w:rPr>
        <w:footnoteReference w:id="46"/>
      </w:r>
      <w:r w:rsidRPr="003112B5">
        <w:rPr>
          <w:rFonts w:ascii="Arial" w:eastAsia="Times New Roman" w:hAnsi="Arial" w:cs="Arial"/>
          <w:color w:val="000000"/>
          <w:sz w:val="24"/>
          <w:szCs w:val="24"/>
          <w:lang w:eastAsia="en-NZ"/>
        </w:rPr>
        <w:t xml:space="preserve">  Put another way, it is to “re-establish the situation which existed before the wrongful act was committed”.</w:t>
      </w:r>
      <w:r w:rsidRPr="003112B5">
        <w:rPr>
          <w:rStyle w:val="FootnoteReference"/>
          <w:rFonts w:ascii="Arial" w:eastAsia="Times New Roman" w:hAnsi="Arial" w:cs="Arial"/>
          <w:color w:val="000000"/>
          <w:sz w:val="24"/>
          <w:szCs w:val="24"/>
          <w:lang w:eastAsia="en-NZ"/>
        </w:rPr>
        <w:footnoteReference w:id="47"/>
      </w:r>
      <w:r w:rsidRPr="003112B5">
        <w:rPr>
          <w:rFonts w:ascii="Arial" w:eastAsia="Times New Roman" w:hAnsi="Arial" w:cs="Arial"/>
          <w:color w:val="000000"/>
          <w:sz w:val="24"/>
          <w:szCs w:val="24"/>
          <w:lang w:eastAsia="en-NZ"/>
        </w:rPr>
        <w:t xml:space="preserve">  Examples include the return of property wrongfully taken</w:t>
      </w:r>
      <w:r w:rsidR="00B762DA" w:rsidRPr="003112B5">
        <w:rPr>
          <w:rFonts w:ascii="Arial" w:eastAsia="Times New Roman" w:hAnsi="Arial" w:cs="Arial"/>
          <w:color w:val="000000"/>
          <w:sz w:val="24"/>
          <w:szCs w:val="24"/>
          <w:lang w:eastAsia="en-NZ"/>
        </w:rPr>
        <w:t xml:space="preserve">, the restoration of one’s family to how it was before an arbitrary or unlawful interference with it, </w:t>
      </w:r>
      <w:r w:rsidRPr="003112B5">
        <w:rPr>
          <w:rFonts w:ascii="Arial" w:eastAsia="Times New Roman" w:hAnsi="Arial" w:cs="Arial"/>
          <w:color w:val="000000"/>
          <w:sz w:val="24"/>
          <w:szCs w:val="24"/>
          <w:lang w:eastAsia="en-NZ"/>
        </w:rPr>
        <w:t xml:space="preserve">or the reinstatement of </w:t>
      </w:r>
      <w:r w:rsidRPr="005846F4">
        <w:rPr>
          <w:rFonts w:ascii="Arial" w:eastAsia="Times New Roman" w:hAnsi="Arial" w:cs="Arial"/>
          <w:color w:val="000000"/>
          <w:sz w:val="24"/>
          <w:szCs w:val="24"/>
          <w:lang w:eastAsia="en-NZ"/>
        </w:rPr>
        <w:t xml:space="preserve">a </w:t>
      </w:r>
      <w:r w:rsidR="00E274BE">
        <w:rPr>
          <w:rFonts w:ascii="Arial" w:eastAsia="Times New Roman" w:hAnsi="Arial" w:cs="Arial"/>
          <w:color w:val="000000"/>
          <w:sz w:val="24"/>
          <w:szCs w:val="24"/>
          <w:lang w:eastAsia="en-NZ"/>
        </w:rPr>
        <w:t xml:space="preserve">victim </w:t>
      </w:r>
      <w:r w:rsidRPr="005846F4">
        <w:rPr>
          <w:rFonts w:ascii="Arial" w:eastAsia="Times New Roman" w:hAnsi="Arial" w:cs="Arial"/>
          <w:color w:val="000000"/>
          <w:sz w:val="24"/>
          <w:szCs w:val="24"/>
          <w:lang w:eastAsia="en-NZ"/>
        </w:rPr>
        <w:t>in employment</w:t>
      </w:r>
      <w:r w:rsidRPr="003112B5">
        <w:rPr>
          <w:rFonts w:ascii="Arial" w:eastAsia="Times New Roman" w:hAnsi="Arial" w:cs="Arial"/>
          <w:color w:val="000000"/>
          <w:sz w:val="24"/>
          <w:szCs w:val="24"/>
          <w:lang w:eastAsia="en-NZ"/>
        </w:rPr>
        <w:t xml:space="preserve"> wrongfully terminated.</w:t>
      </w:r>
      <w:r w:rsidRPr="003112B5">
        <w:rPr>
          <w:rStyle w:val="FootnoteReference"/>
          <w:rFonts w:ascii="Arial" w:eastAsia="Times New Roman" w:hAnsi="Arial" w:cs="Arial"/>
          <w:color w:val="000000"/>
          <w:sz w:val="24"/>
          <w:szCs w:val="24"/>
          <w:lang w:eastAsia="en-NZ"/>
        </w:rPr>
        <w:footnoteReference w:id="48"/>
      </w:r>
      <w:r w:rsidRPr="003112B5">
        <w:rPr>
          <w:rFonts w:ascii="Arial" w:eastAsia="Times New Roman" w:hAnsi="Arial" w:cs="Arial"/>
          <w:color w:val="000000"/>
          <w:sz w:val="24"/>
          <w:szCs w:val="24"/>
          <w:lang w:eastAsia="en-NZ"/>
        </w:rPr>
        <w:t xml:space="preserve">  </w:t>
      </w:r>
    </w:p>
    <w:p w14:paraId="26DE0710" w14:textId="77777777" w:rsidR="00607100" w:rsidRDefault="00933270" w:rsidP="00607100">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Where possible, restitution should be granted.</w:t>
      </w:r>
      <w:r w:rsidRPr="003112B5">
        <w:rPr>
          <w:rStyle w:val="FootnoteReference"/>
          <w:rFonts w:ascii="Arial" w:eastAsia="Times New Roman" w:hAnsi="Arial" w:cs="Arial"/>
          <w:color w:val="000000"/>
          <w:sz w:val="24"/>
          <w:szCs w:val="24"/>
          <w:lang w:eastAsia="en-NZ"/>
        </w:rPr>
        <w:footnoteReference w:id="49"/>
      </w:r>
      <w:r w:rsidRPr="003112B5">
        <w:rPr>
          <w:rFonts w:ascii="Arial" w:eastAsia="Times New Roman" w:hAnsi="Arial" w:cs="Arial"/>
          <w:color w:val="000000"/>
          <w:sz w:val="24"/>
          <w:szCs w:val="24"/>
          <w:lang w:eastAsia="en-NZ"/>
        </w:rPr>
        <w:t xml:space="preserve">  Restitution may not be possible, however, for many human rights violations.  For example, full restitution cannot be achieved where violations of the right to life or to security of the person, or the right not to be subject to torture, have occurred.</w:t>
      </w:r>
      <w:r w:rsidRPr="003112B5">
        <w:rPr>
          <w:rStyle w:val="FootnoteReference"/>
          <w:rFonts w:ascii="Arial" w:eastAsia="Times New Roman" w:hAnsi="Arial" w:cs="Arial"/>
          <w:color w:val="000000"/>
          <w:sz w:val="24"/>
          <w:szCs w:val="24"/>
          <w:lang w:eastAsia="en-NZ"/>
        </w:rPr>
        <w:footnoteReference w:id="50"/>
      </w:r>
      <w:r w:rsidRPr="003112B5">
        <w:rPr>
          <w:rFonts w:ascii="Arial" w:eastAsia="Times New Roman" w:hAnsi="Arial" w:cs="Arial"/>
          <w:color w:val="000000"/>
          <w:sz w:val="24"/>
          <w:szCs w:val="24"/>
          <w:lang w:eastAsia="en-NZ"/>
        </w:rPr>
        <w:t xml:space="preserve"> </w:t>
      </w:r>
    </w:p>
    <w:p w14:paraId="1127F521" w14:textId="3CB4B0B5" w:rsidR="00933270" w:rsidRPr="00607100" w:rsidRDefault="00933270" w:rsidP="00607100">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607100">
        <w:rPr>
          <w:rFonts w:ascii="Arial" w:eastAsia="Times New Roman" w:hAnsi="Arial" w:cs="Arial"/>
          <w:color w:val="000000"/>
          <w:sz w:val="24"/>
          <w:szCs w:val="24"/>
          <w:lang w:eastAsia="en-NZ"/>
        </w:rPr>
        <w:t xml:space="preserve">Rehabilitation may be considered as part of restitution, although again full rehabilitation may not be possible.  Rehabilitation may include the provision of </w:t>
      </w:r>
      <w:r w:rsidRPr="00607100">
        <w:rPr>
          <w:rFonts w:ascii="Arial" w:eastAsia="Times New Roman" w:hAnsi="Arial" w:cs="Arial"/>
          <w:color w:val="000000"/>
          <w:sz w:val="24"/>
          <w:szCs w:val="24"/>
          <w:lang w:eastAsia="en-NZ"/>
        </w:rPr>
        <w:lastRenderedPageBreak/>
        <w:t xml:space="preserve">medical and psychological treatment and other health and social services, as well as measures aimed at restoring a </w:t>
      </w:r>
      <w:r w:rsidR="00E274BE" w:rsidRPr="00607100">
        <w:rPr>
          <w:rFonts w:ascii="Arial" w:eastAsia="Times New Roman" w:hAnsi="Arial" w:cs="Arial"/>
          <w:color w:val="000000"/>
          <w:sz w:val="24"/>
          <w:szCs w:val="24"/>
          <w:lang w:eastAsia="en-NZ"/>
        </w:rPr>
        <w:t xml:space="preserve">victim’s </w:t>
      </w:r>
      <w:r w:rsidRPr="00607100">
        <w:rPr>
          <w:rFonts w:ascii="Arial" w:eastAsia="Times New Roman" w:hAnsi="Arial" w:cs="Arial"/>
          <w:color w:val="000000"/>
          <w:sz w:val="24"/>
          <w:szCs w:val="24"/>
          <w:lang w:eastAsia="en-NZ"/>
        </w:rPr>
        <w:t>reputation.</w:t>
      </w:r>
      <w:r w:rsidRPr="003112B5">
        <w:rPr>
          <w:rStyle w:val="FootnoteReference"/>
          <w:rFonts w:ascii="Arial" w:eastAsia="Times New Roman" w:hAnsi="Arial" w:cs="Arial"/>
          <w:color w:val="000000"/>
          <w:sz w:val="24"/>
          <w:szCs w:val="24"/>
          <w:lang w:eastAsia="en-NZ"/>
        </w:rPr>
        <w:footnoteReference w:id="51"/>
      </w:r>
    </w:p>
    <w:p w14:paraId="5BE552B3" w14:textId="7E7C02E6" w:rsidR="00933270" w:rsidRPr="003112B5" w:rsidRDefault="00933270" w:rsidP="00E74AFF">
      <w:pPr>
        <w:spacing w:after="0" w:line="240" w:lineRule="auto"/>
        <w:rPr>
          <w:rFonts w:ascii="Arial" w:eastAsia="Times New Roman" w:hAnsi="Arial" w:cs="Arial"/>
          <w:b/>
          <w:bCs/>
          <w:i/>
          <w:iCs/>
          <w:color w:val="000000"/>
          <w:sz w:val="24"/>
          <w:szCs w:val="24"/>
          <w:lang w:eastAsia="en-NZ"/>
        </w:rPr>
      </w:pPr>
      <w:r w:rsidRPr="003112B5">
        <w:rPr>
          <w:rFonts w:ascii="Arial" w:eastAsia="Times New Roman" w:hAnsi="Arial" w:cs="Arial"/>
          <w:b/>
          <w:bCs/>
          <w:i/>
          <w:iCs/>
          <w:color w:val="000000"/>
          <w:sz w:val="24"/>
          <w:szCs w:val="24"/>
          <w:lang w:eastAsia="en-NZ"/>
        </w:rPr>
        <w:t>Compensation</w:t>
      </w:r>
    </w:p>
    <w:p w14:paraId="03BE31CF" w14:textId="77777777" w:rsidR="00933270" w:rsidRPr="003112B5" w:rsidRDefault="00933270" w:rsidP="00922DDF">
      <w:pPr>
        <w:spacing w:after="0" w:line="240" w:lineRule="auto"/>
        <w:ind w:left="567"/>
        <w:rPr>
          <w:rFonts w:ascii="Arial" w:eastAsia="Times New Roman" w:hAnsi="Arial" w:cs="Arial"/>
          <w:color w:val="000000"/>
          <w:sz w:val="24"/>
          <w:szCs w:val="24"/>
          <w:lang w:eastAsia="en-NZ"/>
        </w:rPr>
      </w:pPr>
    </w:p>
    <w:p w14:paraId="5D432233" w14:textId="47B23AC9"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Where restitution is not possible or does not </w:t>
      </w:r>
      <w:r w:rsidR="00775346" w:rsidRPr="003112B5">
        <w:rPr>
          <w:rFonts w:ascii="Arial" w:eastAsia="Times New Roman" w:hAnsi="Arial" w:cs="Arial"/>
          <w:color w:val="000000"/>
          <w:sz w:val="24"/>
          <w:szCs w:val="24"/>
          <w:lang w:eastAsia="en-NZ"/>
        </w:rPr>
        <w:t>provide a</w:t>
      </w:r>
      <w:r w:rsidR="00D675D1" w:rsidRPr="003112B5">
        <w:rPr>
          <w:rFonts w:ascii="Arial" w:eastAsia="Times New Roman" w:hAnsi="Arial" w:cs="Arial"/>
          <w:color w:val="000000"/>
          <w:sz w:val="24"/>
          <w:szCs w:val="24"/>
          <w:lang w:eastAsia="en-NZ"/>
        </w:rPr>
        <w:t xml:space="preserve">n effective </w:t>
      </w:r>
      <w:r w:rsidR="00775346" w:rsidRPr="003112B5">
        <w:rPr>
          <w:rFonts w:ascii="Arial" w:eastAsia="Times New Roman" w:hAnsi="Arial" w:cs="Arial"/>
          <w:color w:val="000000"/>
          <w:sz w:val="24"/>
          <w:szCs w:val="24"/>
          <w:lang w:eastAsia="en-NZ"/>
        </w:rPr>
        <w:t>remedy</w:t>
      </w:r>
      <w:r w:rsidRPr="003112B5">
        <w:rPr>
          <w:rFonts w:ascii="Arial" w:eastAsia="Times New Roman" w:hAnsi="Arial" w:cs="Arial"/>
          <w:color w:val="000000"/>
          <w:sz w:val="24"/>
          <w:szCs w:val="24"/>
          <w:lang w:eastAsia="en-NZ"/>
        </w:rPr>
        <w:t>, compensation must be paid.</w:t>
      </w:r>
      <w:r w:rsidRPr="003112B5">
        <w:rPr>
          <w:rStyle w:val="FootnoteReference"/>
          <w:rFonts w:ascii="Arial" w:eastAsia="Times New Roman" w:hAnsi="Arial" w:cs="Arial"/>
          <w:color w:val="000000"/>
          <w:sz w:val="24"/>
          <w:szCs w:val="24"/>
          <w:lang w:eastAsia="en-NZ"/>
        </w:rPr>
        <w:footnoteReference w:id="52"/>
      </w:r>
      <w:r w:rsidRPr="003112B5">
        <w:rPr>
          <w:rFonts w:ascii="Arial" w:eastAsia="Times New Roman" w:hAnsi="Arial" w:cs="Arial"/>
          <w:color w:val="000000"/>
          <w:sz w:val="24"/>
          <w:szCs w:val="24"/>
          <w:lang w:eastAsia="en-NZ"/>
        </w:rPr>
        <w:t xml:space="preserve">  Again, there must be a “clear causal connection” between the harm claimed and the </w:t>
      </w:r>
      <w:r w:rsidR="00C71971" w:rsidRPr="003112B5">
        <w:rPr>
          <w:rFonts w:ascii="Arial" w:eastAsia="Times New Roman" w:hAnsi="Arial" w:cs="Arial"/>
          <w:color w:val="000000"/>
          <w:sz w:val="24"/>
          <w:szCs w:val="24"/>
          <w:lang w:eastAsia="en-NZ"/>
        </w:rPr>
        <w:t>violation</w:t>
      </w:r>
      <w:r w:rsidRPr="003112B5">
        <w:rPr>
          <w:rFonts w:ascii="Arial" w:eastAsia="Times New Roman" w:hAnsi="Arial" w:cs="Arial"/>
          <w:color w:val="000000"/>
          <w:sz w:val="24"/>
          <w:szCs w:val="24"/>
          <w:lang w:eastAsia="en-NZ"/>
        </w:rPr>
        <w:t>.</w:t>
      </w:r>
      <w:r w:rsidRPr="003112B5">
        <w:rPr>
          <w:rStyle w:val="FootnoteReference"/>
          <w:rFonts w:ascii="Arial" w:eastAsia="Times New Roman" w:hAnsi="Arial" w:cs="Arial"/>
          <w:color w:val="000000"/>
          <w:sz w:val="24"/>
          <w:szCs w:val="24"/>
          <w:lang w:eastAsia="en-NZ"/>
        </w:rPr>
        <w:footnoteReference w:id="53"/>
      </w:r>
      <w:r w:rsidRPr="003112B5">
        <w:rPr>
          <w:rFonts w:ascii="Arial" w:eastAsia="Times New Roman" w:hAnsi="Arial" w:cs="Arial"/>
          <w:color w:val="000000"/>
          <w:sz w:val="24"/>
          <w:szCs w:val="24"/>
          <w:lang w:eastAsia="en-NZ"/>
        </w:rPr>
        <w:t xml:space="preserve">  If </w:t>
      </w:r>
      <w:r w:rsidRPr="00805B14">
        <w:rPr>
          <w:rFonts w:ascii="Arial" w:eastAsia="Times New Roman" w:hAnsi="Arial" w:cs="Arial"/>
          <w:color w:val="000000"/>
          <w:sz w:val="24"/>
          <w:szCs w:val="24"/>
          <w:lang w:eastAsia="en-NZ"/>
        </w:rPr>
        <w:t xml:space="preserve">the </w:t>
      </w:r>
      <w:r w:rsidR="00E274BE">
        <w:rPr>
          <w:rFonts w:ascii="Arial" w:eastAsia="Times New Roman" w:hAnsi="Arial" w:cs="Arial"/>
          <w:color w:val="000000"/>
          <w:sz w:val="24"/>
          <w:szCs w:val="24"/>
          <w:lang w:eastAsia="en-NZ"/>
        </w:rPr>
        <w:t xml:space="preserve">person in question </w:t>
      </w:r>
      <w:r w:rsidRPr="00805B14">
        <w:rPr>
          <w:rFonts w:ascii="Arial" w:eastAsia="Times New Roman" w:hAnsi="Arial" w:cs="Arial"/>
          <w:color w:val="000000"/>
          <w:sz w:val="24"/>
          <w:szCs w:val="24"/>
          <w:lang w:eastAsia="en-NZ"/>
        </w:rPr>
        <w:t>has</w:t>
      </w:r>
      <w:r w:rsidRPr="003112B5">
        <w:rPr>
          <w:rFonts w:ascii="Arial" w:eastAsia="Times New Roman" w:hAnsi="Arial" w:cs="Arial"/>
          <w:color w:val="000000"/>
          <w:sz w:val="24"/>
          <w:szCs w:val="24"/>
          <w:lang w:eastAsia="en-NZ"/>
        </w:rPr>
        <w:t xml:space="preserve"> not suffered any harm due to the </w:t>
      </w:r>
      <w:r w:rsidR="00C71971" w:rsidRPr="003112B5">
        <w:rPr>
          <w:rFonts w:ascii="Arial" w:eastAsia="Times New Roman" w:hAnsi="Arial" w:cs="Arial"/>
          <w:color w:val="000000"/>
          <w:sz w:val="24"/>
          <w:szCs w:val="24"/>
          <w:lang w:eastAsia="en-NZ"/>
        </w:rPr>
        <w:t>violation</w:t>
      </w:r>
      <w:r w:rsidRPr="003112B5">
        <w:rPr>
          <w:rFonts w:ascii="Arial" w:eastAsia="Times New Roman" w:hAnsi="Arial" w:cs="Arial"/>
          <w:color w:val="000000"/>
          <w:sz w:val="24"/>
          <w:szCs w:val="24"/>
          <w:lang w:eastAsia="en-NZ"/>
        </w:rPr>
        <w:t xml:space="preserve">, or would have suffered the same harm even if the </w:t>
      </w:r>
      <w:r w:rsidR="00C71971" w:rsidRPr="003112B5">
        <w:rPr>
          <w:rFonts w:ascii="Arial" w:eastAsia="Times New Roman" w:hAnsi="Arial" w:cs="Arial"/>
          <w:color w:val="000000"/>
          <w:sz w:val="24"/>
          <w:szCs w:val="24"/>
          <w:lang w:eastAsia="en-NZ"/>
        </w:rPr>
        <w:t>violation</w:t>
      </w:r>
      <w:r w:rsidRPr="003112B5">
        <w:rPr>
          <w:rFonts w:ascii="Arial" w:eastAsia="Times New Roman" w:hAnsi="Arial" w:cs="Arial"/>
          <w:color w:val="000000"/>
          <w:sz w:val="24"/>
          <w:szCs w:val="24"/>
          <w:lang w:eastAsia="en-NZ"/>
        </w:rPr>
        <w:t xml:space="preserve"> had not occurred, then arguably no obligation to pay compensation arises.</w:t>
      </w:r>
      <w:r w:rsidRPr="003112B5">
        <w:rPr>
          <w:rStyle w:val="FootnoteReference"/>
          <w:rFonts w:ascii="Arial" w:eastAsia="Times New Roman" w:hAnsi="Arial" w:cs="Arial"/>
          <w:color w:val="000000"/>
          <w:sz w:val="24"/>
          <w:szCs w:val="24"/>
          <w:lang w:eastAsia="en-NZ"/>
        </w:rPr>
        <w:footnoteReference w:id="54"/>
      </w:r>
      <w:r w:rsidRPr="003112B5">
        <w:rPr>
          <w:rFonts w:ascii="Arial" w:eastAsia="Times New Roman" w:hAnsi="Arial" w:cs="Arial"/>
          <w:color w:val="000000"/>
          <w:sz w:val="24"/>
          <w:szCs w:val="24"/>
          <w:lang w:eastAsia="en-NZ"/>
        </w:rPr>
        <w:t xml:space="preserve">  </w:t>
      </w:r>
    </w:p>
    <w:p w14:paraId="68D4927A" w14:textId="71F97E9E" w:rsidR="009E50D2" w:rsidRPr="00E274BE" w:rsidRDefault="00933270" w:rsidP="00E274B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That noted, it is difficult to see how a person who has suffered a violation of human rights could have suffered no harm as </w:t>
      </w:r>
      <w:r w:rsidR="008709F2" w:rsidRPr="00805B14">
        <w:rPr>
          <w:rFonts w:ascii="Arial" w:eastAsia="Times New Roman" w:hAnsi="Arial" w:cs="Arial"/>
          <w:color w:val="000000"/>
          <w:sz w:val="24"/>
          <w:szCs w:val="24"/>
          <w:lang w:eastAsia="en-NZ"/>
        </w:rPr>
        <w:t xml:space="preserve">a </w:t>
      </w:r>
      <w:r w:rsidRPr="00805B14">
        <w:rPr>
          <w:rFonts w:ascii="Arial" w:eastAsia="Times New Roman" w:hAnsi="Arial" w:cs="Arial"/>
          <w:color w:val="000000"/>
          <w:sz w:val="24"/>
          <w:szCs w:val="24"/>
          <w:lang w:eastAsia="en-NZ"/>
        </w:rPr>
        <w:t>r</w:t>
      </w:r>
      <w:r w:rsidRPr="003112B5">
        <w:rPr>
          <w:rFonts w:ascii="Arial" w:eastAsia="Times New Roman" w:hAnsi="Arial" w:cs="Arial"/>
          <w:color w:val="000000"/>
          <w:sz w:val="24"/>
          <w:szCs w:val="24"/>
          <w:lang w:eastAsia="en-NZ"/>
        </w:rPr>
        <w:t xml:space="preserve">esult.  The nature and extent of harm suffered, however, will depend on all the circumstances of the case.  These will include </w:t>
      </w:r>
      <w:r w:rsidRPr="00805B14">
        <w:rPr>
          <w:rFonts w:ascii="Arial" w:eastAsia="Times New Roman" w:hAnsi="Arial" w:cs="Arial"/>
          <w:color w:val="000000"/>
          <w:sz w:val="24"/>
          <w:szCs w:val="24"/>
          <w:lang w:eastAsia="en-NZ"/>
        </w:rPr>
        <w:t>the</w:t>
      </w:r>
      <w:r w:rsidR="00775346" w:rsidRPr="00805B14">
        <w:rPr>
          <w:rFonts w:ascii="Arial" w:eastAsia="Times New Roman" w:hAnsi="Arial" w:cs="Arial"/>
          <w:color w:val="000000"/>
          <w:sz w:val="24"/>
          <w:szCs w:val="24"/>
          <w:lang w:eastAsia="en-NZ"/>
        </w:rPr>
        <w:t xml:space="preserve"> </w:t>
      </w:r>
      <w:r w:rsidR="00E274BE">
        <w:rPr>
          <w:rFonts w:ascii="Arial" w:eastAsia="Times New Roman" w:hAnsi="Arial" w:cs="Arial"/>
          <w:color w:val="000000"/>
          <w:sz w:val="24"/>
          <w:szCs w:val="24"/>
          <w:lang w:eastAsia="en-NZ"/>
        </w:rPr>
        <w:t xml:space="preserve">person’s </w:t>
      </w:r>
      <w:r w:rsidRPr="00E274BE">
        <w:rPr>
          <w:rFonts w:ascii="Arial" w:eastAsia="Times New Roman" w:hAnsi="Arial" w:cs="Arial"/>
          <w:color w:val="000000"/>
          <w:sz w:val="24"/>
          <w:szCs w:val="24"/>
          <w:lang w:eastAsia="en-NZ"/>
        </w:rPr>
        <w:t>particular characteristics, the nature of the right violated, the gravity of the violation, and any other potential causes of the harm claimed.  Further, it may be that even if a person has suffered no personal harm</w:t>
      </w:r>
      <w:r w:rsidR="00DA530B" w:rsidRPr="00E274BE">
        <w:rPr>
          <w:rFonts w:ascii="Arial" w:eastAsia="Times New Roman" w:hAnsi="Arial" w:cs="Arial"/>
          <w:color w:val="000000"/>
          <w:sz w:val="24"/>
          <w:szCs w:val="24"/>
          <w:lang w:eastAsia="en-NZ"/>
        </w:rPr>
        <w:t xml:space="preserve"> (whether emotional or otherwise)</w:t>
      </w:r>
      <w:r w:rsidRPr="00E274BE">
        <w:rPr>
          <w:rFonts w:ascii="Arial" w:eastAsia="Times New Roman" w:hAnsi="Arial" w:cs="Arial"/>
          <w:color w:val="000000"/>
          <w:sz w:val="24"/>
          <w:szCs w:val="24"/>
          <w:lang w:eastAsia="en-NZ"/>
        </w:rPr>
        <w:t xml:space="preserve">, an amount should still be awarded to vindicate the right </w:t>
      </w:r>
      <w:r w:rsidR="00C71971" w:rsidRPr="00E274BE">
        <w:rPr>
          <w:rFonts w:ascii="Arial" w:eastAsia="Times New Roman" w:hAnsi="Arial" w:cs="Arial"/>
          <w:color w:val="000000"/>
          <w:sz w:val="24"/>
          <w:szCs w:val="24"/>
          <w:lang w:eastAsia="en-NZ"/>
        </w:rPr>
        <w:t xml:space="preserve">violated </w:t>
      </w:r>
      <w:r w:rsidRPr="00E274BE">
        <w:rPr>
          <w:rFonts w:ascii="Arial" w:eastAsia="Times New Roman" w:hAnsi="Arial" w:cs="Arial"/>
          <w:color w:val="000000"/>
          <w:sz w:val="24"/>
          <w:szCs w:val="24"/>
          <w:lang w:eastAsia="en-NZ"/>
        </w:rPr>
        <w:t xml:space="preserve">and deter future </w:t>
      </w:r>
      <w:r w:rsidR="00C71971" w:rsidRPr="00E274BE">
        <w:rPr>
          <w:rFonts w:ascii="Arial" w:eastAsia="Times New Roman" w:hAnsi="Arial" w:cs="Arial"/>
          <w:color w:val="000000"/>
          <w:sz w:val="24"/>
          <w:szCs w:val="24"/>
          <w:lang w:eastAsia="en-NZ"/>
        </w:rPr>
        <w:t>violations</w:t>
      </w:r>
      <w:r w:rsidRPr="00E274BE">
        <w:rPr>
          <w:rFonts w:ascii="Arial" w:eastAsia="Times New Roman" w:hAnsi="Arial" w:cs="Arial"/>
          <w:color w:val="000000"/>
          <w:sz w:val="24"/>
          <w:szCs w:val="24"/>
          <w:lang w:eastAsia="en-NZ"/>
        </w:rPr>
        <w:t>.</w:t>
      </w:r>
      <w:r w:rsidRPr="003112B5">
        <w:rPr>
          <w:rStyle w:val="FootnoteReference"/>
          <w:rFonts w:ascii="Arial" w:eastAsia="Times New Roman" w:hAnsi="Arial" w:cs="Arial"/>
          <w:color w:val="000000"/>
          <w:sz w:val="24"/>
          <w:szCs w:val="24"/>
          <w:lang w:eastAsia="en-NZ"/>
        </w:rPr>
        <w:footnoteReference w:id="55"/>
      </w:r>
    </w:p>
    <w:p w14:paraId="4A0AE0B8" w14:textId="5F35BB98"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Assessing how much should be paid as compensation in a given case can be complex.</w:t>
      </w:r>
      <w:r w:rsidRPr="003112B5">
        <w:rPr>
          <w:rStyle w:val="FootnoteReference"/>
          <w:rFonts w:ascii="Arial" w:eastAsia="Times New Roman" w:hAnsi="Arial" w:cs="Arial"/>
          <w:color w:val="000000"/>
          <w:sz w:val="24"/>
          <w:szCs w:val="24"/>
          <w:lang w:eastAsia="en-NZ"/>
        </w:rPr>
        <w:footnoteReference w:id="56"/>
      </w:r>
      <w:r w:rsidRPr="003112B5">
        <w:rPr>
          <w:rFonts w:ascii="Arial" w:eastAsia="Times New Roman" w:hAnsi="Arial" w:cs="Arial"/>
          <w:color w:val="000000"/>
          <w:sz w:val="24"/>
          <w:szCs w:val="24"/>
          <w:lang w:eastAsia="en-NZ"/>
        </w:rPr>
        <w:t xml:space="preserve">  </w:t>
      </w:r>
    </w:p>
    <w:p w14:paraId="1929C231" w14:textId="67337086"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The European Court of Human Rights has awarded compensation for financial losses and non-financial losses (i.e. emotional harm), as well as costs and expenses incurred by </w:t>
      </w:r>
      <w:r w:rsidRPr="00805B14">
        <w:rPr>
          <w:rFonts w:ascii="Arial" w:eastAsia="Times New Roman" w:hAnsi="Arial" w:cs="Arial"/>
          <w:color w:val="000000"/>
          <w:sz w:val="24"/>
          <w:szCs w:val="24"/>
          <w:lang w:eastAsia="en-NZ"/>
        </w:rPr>
        <w:t xml:space="preserve">the </w:t>
      </w:r>
      <w:r w:rsidR="009812CF">
        <w:rPr>
          <w:rFonts w:ascii="Arial" w:eastAsia="Times New Roman" w:hAnsi="Arial" w:cs="Arial"/>
          <w:color w:val="000000"/>
          <w:sz w:val="24"/>
          <w:szCs w:val="24"/>
          <w:lang w:eastAsia="en-NZ"/>
        </w:rPr>
        <w:t xml:space="preserve">claimant </w:t>
      </w:r>
      <w:r w:rsidRPr="00805B14">
        <w:rPr>
          <w:rFonts w:ascii="Arial" w:eastAsia="Times New Roman" w:hAnsi="Arial" w:cs="Arial"/>
          <w:color w:val="000000"/>
          <w:sz w:val="24"/>
          <w:szCs w:val="24"/>
          <w:lang w:eastAsia="en-NZ"/>
        </w:rPr>
        <w:t>in bringing the case.</w:t>
      </w:r>
      <w:r w:rsidRPr="00805B14">
        <w:rPr>
          <w:rStyle w:val="FootnoteReference"/>
          <w:rFonts w:ascii="Arial" w:eastAsia="Times New Roman" w:hAnsi="Arial" w:cs="Arial"/>
          <w:color w:val="000000"/>
          <w:sz w:val="24"/>
          <w:szCs w:val="24"/>
          <w:lang w:eastAsia="en-NZ"/>
        </w:rPr>
        <w:footnoteReference w:id="57"/>
      </w:r>
      <w:r w:rsidRPr="00805B14">
        <w:rPr>
          <w:rFonts w:ascii="Arial" w:eastAsia="Times New Roman" w:hAnsi="Arial" w:cs="Arial"/>
          <w:color w:val="000000"/>
          <w:sz w:val="24"/>
          <w:szCs w:val="24"/>
          <w:lang w:eastAsia="en-NZ"/>
        </w:rPr>
        <w:t xml:space="preserve">  </w:t>
      </w:r>
      <w:r w:rsidR="00775346" w:rsidRPr="00805B14">
        <w:rPr>
          <w:rFonts w:ascii="Arial" w:eastAsia="Times New Roman" w:hAnsi="Arial" w:cs="Arial"/>
          <w:color w:val="000000"/>
          <w:sz w:val="24"/>
          <w:szCs w:val="24"/>
          <w:lang w:eastAsia="en-NZ"/>
        </w:rPr>
        <w:t>Such f</w:t>
      </w:r>
      <w:r w:rsidRPr="00805B14">
        <w:rPr>
          <w:rFonts w:ascii="Arial" w:eastAsia="Times New Roman" w:hAnsi="Arial" w:cs="Arial"/>
          <w:color w:val="000000"/>
          <w:sz w:val="24"/>
          <w:szCs w:val="24"/>
          <w:lang w:eastAsia="en-NZ"/>
        </w:rPr>
        <w:t>inancial losses have included loss of past and future</w:t>
      </w:r>
      <w:r w:rsidRPr="003112B5">
        <w:rPr>
          <w:rFonts w:ascii="Arial" w:eastAsia="Times New Roman" w:hAnsi="Arial" w:cs="Arial"/>
          <w:color w:val="000000"/>
          <w:sz w:val="24"/>
          <w:szCs w:val="24"/>
          <w:lang w:eastAsia="en-NZ"/>
        </w:rPr>
        <w:t xml:space="preserve"> earnings, past and future medical expenses, and lost business opportunities.</w:t>
      </w:r>
      <w:r w:rsidRPr="003112B5">
        <w:rPr>
          <w:rStyle w:val="FootnoteReference"/>
          <w:rFonts w:ascii="Arial" w:eastAsia="Times New Roman" w:hAnsi="Arial" w:cs="Arial"/>
          <w:color w:val="000000"/>
          <w:sz w:val="24"/>
          <w:szCs w:val="24"/>
          <w:lang w:eastAsia="en-NZ"/>
        </w:rPr>
        <w:footnoteReference w:id="58"/>
      </w:r>
      <w:r w:rsidRPr="003112B5">
        <w:rPr>
          <w:rFonts w:ascii="Arial" w:eastAsia="Times New Roman" w:hAnsi="Arial" w:cs="Arial"/>
          <w:color w:val="000000"/>
          <w:sz w:val="24"/>
          <w:szCs w:val="24"/>
          <w:lang w:eastAsia="en-NZ"/>
        </w:rPr>
        <w:t xml:space="preserve">  Factors the Court has considered relevant to </w:t>
      </w:r>
      <w:r w:rsidRPr="003112B5">
        <w:rPr>
          <w:rFonts w:ascii="Arial" w:eastAsia="Times New Roman" w:hAnsi="Arial" w:cs="Arial"/>
          <w:color w:val="000000"/>
          <w:sz w:val="24"/>
          <w:szCs w:val="24"/>
          <w:lang w:eastAsia="en-NZ"/>
        </w:rPr>
        <w:lastRenderedPageBreak/>
        <w:t xml:space="preserve">the amount of compensation awarded include the severity of the violation and </w:t>
      </w:r>
      <w:r w:rsidRPr="00805B14">
        <w:rPr>
          <w:rFonts w:ascii="Arial" w:eastAsia="Times New Roman" w:hAnsi="Arial" w:cs="Arial"/>
          <w:color w:val="000000"/>
          <w:sz w:val="24"/>
          <w:szCs w:val="24"/>
          <w:lang w:eastAsia="en-NZ"/>
        </w:rPr>
        <w:t>the</w:t>
      </w:r>
      <w:r w:rsidR="00D80935">
        <w:rPr>
          <w:rFonts w:ascii="Arial" w:eastAsia="Times New Roman" w:hAnsi="Arial" w:cs="Arial"/>
          <w:color w:val="000000"/>
          <w:sz w:val="24"/>
          <w:szCs w:val="24"/>
          <w:lang w:eastAsia="en-NZ"/>
        </w:rPr>
        <w:t xml:space="preserve"> </w:t>
      </w:r>
      <w:r w:rsidR="00EE2014">
        <w:rPr>
          <w:rFonts w:ascii="Arial" w:eastAsia="Times New Roman" w:hAnsi="Arial" w:cs="Arial"/>
          <w:color w:val="000000"/>
          <w:sz w:val="24"/>
          <w:szCs w:val="24"/>
          <w:lang w:eastAsia="en-NZ"/>
        </w:rPr>
        <w:t xml:space="preserve">claimant’s </w:t>
      </w:r>
      <w:r w:rsidRPr="003112B5">
        <w:rPr>
          <w:rFonts w:ascii="Arial" w:eastAsia="Times New Roman" w:hAnsi="Arial" w:cs="Arial"/>
          <w:color w:val="000000"/>
          <w:sz w:val="24"/>
          <w:szCs w:val="24"/>
          <w:lang w:eastAsia="en-NZ"/>
        </w:rPr>
        <w:t>conduct.</w:t>
      </w:r>
      <w:r w:rsidRPr="003112B5">
        <w:rPr>
          <w:rStyle w:val="FootnoteReference"/>
          <w:rFonts w:ascii="Arial" w:eastAsia="Times New Roman" w:hAnsi="Arial" w:cs="Arial"/>
          <w:color w:val="000000"/>
          <w:sz w:val="24"/>
          <w:szCs w:val="24"/>
          <w:lang w:eastAsia="en-NZ"/>
        </w:rPr>
        <w:footnoteReference w:id="59"/>
      </w:r>
      <w:r w:rsidRPr="003112B5">
        <w:rPr>
          <w:rFonts w:ascii="Arial" w:eastAsia="Times New Roman" w:hAnsi="Arial" w:cs="Arial"/>
          <w:color w:val="000000"/>
          <w:sz w:val="24"/>
          <w:szCs w:val="24"/>
          <w:lang w:eastAsia="en-NZ"/>
        </w:rPr>
        <w:t xml:space="preserve">  </w:t>
      </w:r>
    </w:p>
    <w:p w14:paraId="7403FE89" w14:textId="77777777"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 Inter-American Court of Human Rights has also made awards for financial and non-financial losses, and costs.</w:t>
      </w:r>
      <w:r w:rsidRPr="003112B5">
        <w:rPr>
          <w:rStyle w:val="FootnoteReference"/>
          <w:rFonts w:ascii="Arial" w:eastAsia="Times New Roman" w:hAnsi="Arial" w:cs="Arial"/>
          <w:color w:val="000000"/>
          <w:sz w:val="24"/>
          <w:szCs w:val="24"/>
          <w:lang w:eastAsia="en-NZ"/>
        </w:rPr>
        <w:footnoteReference w:id="60"/>
      </w:r>
      <w:r w:rsidRPr="003112B5">
        <w:rPr>
          <w:rFonts w:ascii="Arial" w:eastAsia="Times New Roman" w:hAnsi="Arial" w:cs="Arial"/>
          <w:color w:val="000000"/>
          <w:sz w:val="24"/>
          <w:szCs w:val="24"/>
          <w:lang w:eastAsia="en-NZ"/>
        </w:rPr>
        <w:t xml:space="preserve">  </w:t>
      </w:r>
    </w:p>
    <w:p w14:paraId="18D12DCC" w14:textId="6C44518D"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Both Courts have considered that deductions may be made to take into account amounts </w:t>
      </w:r>
      <w:r w:rsidRPr="008D02A1">
        <w:rPr>
          <w:rFonts w:ascii="Arial" w:eastAsia="Times New Roman" w:hAnsi="Arial" w:cs="Arial"/>
          <w:color w:val="000000"/>
          <w:sz w:val="24"/>
          <w:szCs w:val="24"/>
          <w:lang w:eastAsia="en-NZ"/>
        </w:rPr>
        <w:t xml:space="preserve">the </w:t>
      </w:r>
      <w:r w:rsidR="00E274BE">
        <w:rPr>
          <w:rFonts w:ascii="Arial" w:eastAsia="Times New Roman" w:hAnsi="Arial" w:cs="Arial"/>
          <w:color w:val="000000"/>
          <w:sz w:val="24"/>
          <w:szCs w:val="24"/>
          <w:lang w:eastAsia="en-NZ"/>
        </w:rPr>
        <w:t>victim</w:t>
      </w:r>
      <w:r w:rsidR="00D80935">
        <w:rPr>
          <w:rFonts w:ascii="Arial" w:eastAsia="Times New Roman" w:hAnsi="Arial" w:cs="Arial"/>
          <w:color w:val="000000"/>
          <w:sz w:val="24"/>
          <w:szCs w:val="24"/>
          <w:lang w:eastAsia="en-NZ"/>
        </w:rPr>
        <w:t>/survivor</w:t>
      </w:r>
      <w:r w:rsidR="00E274BE">
        <w:rPr>
          <w:rFonts w:ascii="Arial" w:eastAsia="Times New Roman" w:hAnsi="Arial" w:cs="Arial"/>
          <w:color w:val="000000"/>
          <w:sz w:val="24"/>
          <w:szCs w:val="24"/>
          <w:lang w:eastAsia="en-NZ"/>
        </w:rPr>
        <w:t xml:space="preserve"> </w:t>
      </w:r>
      <w:r w:rsidRPr="008D02A1">
        <w:rPr>
          <w:rFonts w:ascii="Arial" w:eastAsia="Times New Roman" w:hAnsi="Arial" w:cs="Arial"/>
          <w:color w:val="000000"/>
          <w:sz w:val="24"/>
          <w:szCs w:val="24"/>
          <w:lang w:eastAsia="en-NZ"/>
        </w:rPr>
        <w:t>has</w:t>
      </w:r>
      <w:r w:rsidRPr="003112B5">
        <w:rPr>
          <w:rFonts w:ascii="Arial" w:eastAsia="Times New Roman" w:hAnsi="Arial" w:cs="Arial"/>
          <w:color w:val="000000"/>
          <w:sz w:val="24"/>
          <w:szCs w:val="24"/>
          <w:lang w:eastAsia="en-NZ"/>
        </w:rPr>
        <w:t xml:space="preserve"> already received (e.g. as the result of domestic proceedings).</w:t>
      </w:r>
      <w:r w:rsidRPr="003112B5">
        <w:rPr>
          <w:rStyle w:val="FootnoteReference"/>
          <w:rFonts w:ascii="Arial" w:eastAsia="Times New Roman" w:hAnsi="Arial" w:cs="Arial"/>
          <w:color w:val="000000"/>
          <w:sz w:val="24"/>
          <w:szCs w:val="24"/>
          <w:lang w:eastAsia="en-NZ"/>
        </w:rPr>
        <w:footnoteReference w:id="61"/>
      </w:r>
      <w:r w:rsidRPr="003112B5">
        <w:rPr>
          <w:rFonts w:ascii="Arial" w:eastAsia="Times New Roman" w:hAnsi="Arial" w:cs="Arial"/>
          <w:color w:val="000000"/>
          <w:sz w:val="24"/>
          <w:szCs w:val="24"/>
          <w:lang w:eastAsia="en-NZ"/>
        </w:rPr>
        <w:t xml:space="preserve">  Compensation </w:t>
      </w:r>
      <w:r w:rsidR="000A5F45" w:rsidRPr="003112B5">
        <w:rPr>
          <w:rFonts w:ascii="Arial" w:eastAsia="Times New Roman" w:hAnsi="Arial" w:cs="Arial"/>
          <w:color w:val="000000"/>
          <w:sz w:val="24"/>
          <w:szCs w:val="24"/>
          <w:lang w:eastAsia="en-NZ"/>
        </w:rPr>
        <w:t xml:space="preserve">will </w:t>
      </w:r>
      <w:r w:rsidRPr="003112B5">
        <w:rPr>
          <w:rFonts w:ascii="Arial" w:eastAsia="Times New Roman" w:hAnsi="Arial" w:cs="Arial"/>
          <w:color w:val="000000"/>
          <w:sz w:val="24"/>
          <w:szCs w:val="24"/>
          <w:lang w:eastAsia="en-NZ"/>
        </w:rPr>
        <w:t>not be awarded if the Court considers that an amount already received is sufficient.</w:t>
      </w:r>
      <w:r w:rsidRPr="003112B5">
        <w:rPr>
          <w:rStyle w:val="FootnoteReference"/>
          <w:rFonts w:ascii="Arial" w:eastAsia="Times New Roman" w:hAnsi="Arial" w:cs="Arial"/>
          <w:color w:val="000000"/>
          <w:sz w:val="24"/>
          <w:szCs w:val="24"/>
          <w:lang w:eastAsia="en-NZ"/>
        </w:rPr>
        <w:footnoteReference w:id="62"/>
      </w:r>
      <w:r w:rsidRPr="003112B5">
        <w:rPr>
          <w:rFonts w:ascii="Arial" w:eastAsia="Times New Roman" w:hAnsi="Arial" w:cs="Arial"/>
          <w:color w:val="000000"/>
          <w:sz w:val="24"/>
          <w:szCs w:val="24"/>
          <w:lang w:eastAsia="en-NZ"/>
        </w:rPr>
        <w:t xml:space="preserve">  On the other hand, the Court may make an award if it considers that an amount received through domestic proceedings or otherwise is inadequate.</w:t>
      </w:r>
      <w:r w:rsidRPr="003112B5">
        <w:rPr>
          <w:rStyle w:val="FootnoteReference"/>
          <w:rFonts w:ascii="Arial" w:eastAsia="Times New Roman" w:hAnsi="Arial" w:cs="Arial"/>
          <w:color w:val="000000"/>
          <w:sz w:val="24"/>
          <w:szCs w:val="24"/>
          <w:lang w:eastAsia="en-NZ"/>
        </w:rPr>
        <w:footnoteReference w:id="63"/>
      </w:r>
      <w:r w:rsidRPr="003112B5">
        <w:rPr>
          <w:rFonts w:ascii="Arial" w:eastAsia="Times New Roman" w:hAnsi="Arial" w:cs="Arial"/>
          <w:color w:val="000000"/>
          <w:sz w:val="24"/>
          <w:szCs w:val="24"/>
          <w:lang w:eastAsia="en-NZ"/>
        </w:rPr>
        <w:t xml:space="preserve"> </w:t>
      </w:r>
    </w:p>
    <w:p w14:paraId="12FE3CBD" w14:textId="73E6DD10" w:rsidR="009E50D2" w:rsidRPr="003112B5" w:rsidRDefault="00933270" w:rsidP="009E50D2">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It has been argued that remedies awarded by the Courts, including compensation, lack consistency</w:t>
      </w:r>
      <w:r w:rsidR="00935415" w:rsidRPr="003112B5">
        <w:rPr>
          <w:rFonts w:ascii="Arial" w:eastAsia="Times New Roman" w:hAnsi="Arial" w:cs="Arial"/>
          <w:color w:val="000000"/>
          <w:sz w:val="24"/>
          <w:szCs w:val="24"/>
          <w:lang w:eastAsia="en-NZ"/>
        </w:rPr>
        <w:t xml:space="preserve"> and give </w:t>
      </w:r>
      <w:r w:rsidRPr="003112B5">
        <w:rPr>
          <w:rFonts w:ascii="Arial" w:eastAsia="Times New Roman" w:hAnsi="Arial" w:cs="Arial"/>
          <w:color w:val="000000"/>
          <w:sz w:val="24"/>
          <w:szCs w:val="24"/>
          <w:lang w:eastAsia="en-NZ"/>
        </w:rPr>
        <w:t xml:space="preserve">insufficient guidance on </w:t>
      </w:r>
      <w:r w:rsidR="004261AD" w:rsidRPr="003112B5">
        <w:rPr>
          <w:rFonts w:ascii="Arial" w:eastAsia="Times New Roman" w:hAnsi="Arial" w:cs="Arial"/>
          <w:color w:val="000000"/>
          <w:sz w:val="24"/>
          <w:szCs w:val="24"/>
          <w:lang w:eastAsia="en-NZ"/>
        </w:rPr>
        <w:t xml:space="preserve">how much should be awarded </w:t>
      </w:r>
      <w:r w:rsidR="00775346" w:rsidRPr="003112B5">
        <w:rPr>
          <w:rFonts w:ascii="Arial" w:eastAsia="Times New Roman" w:hAnsi="Arial" w:cs="Arial"/>
          <w:color w:val="000000"/>
          <w:sz w:val="24"/>
          <w:szCs w:val="24"/>
          <w:lang w:eastAsia="en-NZ"/>
        </w:rPr>
        <w:t xml:space="preserve">for </w:t>
      </w:r>
      <w:r w:rsidRPr="003112B5">
        <w:rPr>
          <w:rFonts w:ascii="Arial" w:eastAsia="Times New Roman" w:hAnsi="Arial" w:cs="Arial"/>
          <w:color w:val="000000"/>
          <w:sz w:val="24"/>
          <w:szCs w:val="24"/>
          <w:lang w:eastAsia="en-NZ"/>
        </w:rPr>
        <w:t>emotional harm.</w:t>
      </w:r>
      <w:r w:rsidR="00935415" w:rsidRPr="003112B5">
        <w:rPr>
          <w:rStyle w:val="FootnoteReference"/>
          <w:rFonts w:ascii="Arial" w:eastAsia="Times New Roman" w:hAnsi="Arial" w:cs="Arial"/>
          <w:color w:val="000000"/>
          <w:sz w:val="24"/>
          <w:szCs w:val="24"/>
          <w:lang w:eastAsia="en-NZ"/>
        </w:rPr>
        <w:footnoteReference w:id="64"/>
      </w:r>
      <w:r w:rsidR="00B76DA0" w:rsidRPr="003112B5">
        <w:rPr>
          <w:rFonts w:ascii="Arial" w:eastAsia="Times New Roman" w:hAnsi="Arial" w:cs="Arial"/>
          <w:color w:val="000000"/>
          <w:sz w:val="24"/>
          <w:szCs w:val="24"/>
          <w:lang w:eastAsia="en-NZ"/>
        </w:rPr>
        <w:t xml:space="preserve">  </w:t>
      </w:r>
      <w:r w:rsidR="004261AD" w:rsidRPr="003112B5">
        <w:rPr>
          <w:rFonts w:ascii="Arial" w:eastAsia="Times New Roman" w:hAnsi="Arial" w:cs="Arial"/>
          <w:color w:val="000000"/>
          <w:sz w:val="24"/>
          <w:szCs w:val="24"/>
          <w:lang w:eastAsia="en-NZ"/>
        </w:rPr>
        <w:t>Similarly,</w:t>
      </w:r>
      <w:r w:rsidR="00935415" w:rsidRPr="003112B5">
        <w:rPr>
          <w:rFonts w:ascii="Arial" w:eastAsia="Times New Roman" w:hAnsi="Arial" w:cs="Arial"/>
          <w:color w:val="000000"/>
          <w:sz w:val="24"/>
          <w:szCs w:val="24"/>
          <w:lang w:eastAsia="en-NZ"/>
        </w:rPr>
        <w:t xml:space="preserve"> when </w:t>
      </w:r>
      <w:r w:rsidRPr="003112B5">
        <w:rPr>
          <w:rFonts w:ascii="Arial" w:eastAsia="Times New Roman" w:hAnsi="Arial" w:cs="Arial"/>
          <w:color w:val="000000"/>
          <w:sz w:val="24"/>
          <w:szCs w:val="24"/>
          <w:lang w:eastAsia="en-NZ"/>
        </w:rPr>
        <w:t xml:space="preserve">United Nations </w:t>
      </w:r>
      <w:r w:rsidR="005B4AF7">
        <w:rPr>
          <w:rFonts w:ascii="Arial" w:eastAsia="Times New Roman" w:hAnsi="Arial" w:cs="Arial"/>
          <w:color w:val="000000"/>
          <w:sz w:val="24"/>
          <w:szCs w:val="24"/>
          <w:lang w:eastAsia="en-NZ"/>
        </w:rPr>
        <w:t xml:space="preserve">treaty committees </w:t>
      </w:r>
      <w:r w:rsidRPr="003112B5">
        <w:rPr>
          <w:rFonts w:ascii="Arial" w:eastAsia="Times New Roman" w:hAnsi="Arial" w:cs="Arial"/>
          <w:color w:val="000000"/>
          <w:sz w:val="24"/>
          <w:szCs w:val="24"/>
          <w:lang w:eastAsia="en-NZ"/>
        </w:rPr>
        <w:t>call on States Parties to pay compensation</w:t>
      </w:r>
      <w:r w:rsidR="00935415" w:rsidRPr="003112B5">
        <w:rPr>
          <w:rFonts w:ascii="Arial" w:eastAsia="Times New Roman" w:hAnsi="Arial" w:cs="Arial"/>
          <w:color w:val="000000"/>
          <w:sz w:val="24"/>
          <w:szCs w:val="24"/>
          <w:lang w:eastAsia="en-NZ"/>
        </w:rPr>
        <w:t>, they refer more generally to</w:t>
      </w:r>
      <w:r w:rsidRPr="003112B5">
        <w:rPr>
          <w:rFonts w:ascii="Arial" w:eastAsia="Times New Roman" w:hAnsi="Arial" w:cs="Arial"/>
          <w:color w:val="000000"/>
          <w:sz w:val="24"/>
          <w:szCs w:val="24"/>
          <w:lang w:eastAsia="en-NZ"/>
        </w:rPr>
        <w:t xml:space="preserve"> the payment of</w:t>
      </w:r>
      <w:r w:rsidR="00935415" w:rsidRPr="003112B5">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“adequate” or “fair” compensation</w:t>
      </w:r>
      <w:r w:rsidR="00B76DA0" w:rsidRPr="003112B5">
        <w:rPr>
          <w:rFonts w:ascii="Arial" w:eastAsia="Times New Roman" w:hAnsi="Arial" w:cs="Arial"/>
          <w:color w:val="000000"/>
          <w:sz w:val="24"/>
          <w:szCs w:val="24"/>
          <w:lang w:eastAsia="en-NZ"/>
        </w:rPr>
        <w:t>,</w:t>
      </w:r>
      <w:r w:rsidR="00935415" w:rsidRPr="003112B5">
        <w:rPr>
          <w:rStyle w:val="FootnoteReference"/>
          <w:rFonts w:ascii="Arial" w:eastAsia="Times New Roman" w:hAnsi="Arial" w:cs="Arial"/>
          <w:color w:val="000000"/>
          <w:sz w:val="24"/>
          <w:szCs w:val="24"/>
          <w:lang w:eastAsia="en-NZ"/>
        </w:rPr>
        <w:footnoteReference w:id="65"/>
      </w:r>
      <w:r w:rsidR="00935415" w:rsidRPr="003112B5">
        <w:rPr>
          <w:rFonts w:ascii="Arial" w:eastAsia="Times New Roman" w:hAnsi="Arial" w:cs="Arial"/>
          <w:color w:val="000000"/>
          <w:sz w:val="24"/>
          <w:szCs w:val="24"/>
          <w:lang w:eastAsia="en-NZ"/>
        </w:rPr>
        <w:t xml:space="preserve"> rather than specifying amounts</w:t>
      </w:r>
      <w:r w:rsidRPr="003112B5">
        <w:rPr>
          <w:rFonts w:ascii="Arial" w:eastAsia="Times New Roman" w:hAnsi="Arial" w:cs="Arial"/>
          <w:color w:val="000000"/>
          <w:sz w:val="24"/>
          <w:szCs w:val="24"/>
          <w:lang w:eastAsia="en-NZ"/>
        </w:rPr>
        <w:t>.</w:t>
      </w:r>
      <w:r w:rsidR="00935415" w:rsidRPr="003112B5">
        <w:rPr>
          <w:rStyle w:val="FootnoteReference"/>
          <w:rFonts w:ascii="Arial" w:eastAsia="Times New Roman" w:hAnsi="Arial" w:cs="Arial"/>
          <w:color w:val="000000"/>
          <w:sz w:val="24"/>
          <w:szCs w:val="24"/>
          <w:lang w:eastAsia="en-NZ"/>
        </w:rPr>
        <w:footnoteReference w:id="66"/>
      </w:r>
      <w:r w:rsidRPr="003112B5">
        <w:rPr>
          <w:rFonts w:ascii="Arial" w:eastAsia="Times New Roman" w:hAnsi="Arial" w:cs="Arial"/>
          <w:color w:val="000000"/>
          <w:sz w:val="24"/>
          <w:szCs w:val="24"/>
          <w:lang w:eastAsia="en-NZ"/>
        </w:rPr>
        <w:t xml:space="preserve"> </w:t>
      </w:r>
    </w:p>
    <w:p w14:paraId="2EE4772D" w14:textId="2F0FFA33" w:rsidR="00933270" w:rsidRPr="003112B5" w:rsidRDefault="00A610EB" w:rsidP="009E50D2">
      <w:pPr>
        <w:autoSpaceDE w:val="0"/>
        <w:autoSpaceDN w:val="0"/>
        <w:adjustRightInd w:val="0"/>
        <w:spacing w:after="240" w:line="240" w:lineRule="auto"/>
        <w:jc w:val="both"/>
        <w:rPr>
          <w:rFonts w:ascii="Arial" w:eastAsia="Times New Roman" w:hAnsi="Arial" w:cs="Arial"/>
          <w:color w:val="000000"/>
          <w:sz w:val="24"/>
          <w:szCs w:val="24"/>
          <w:lang w:eastAsia="en-NZ"/>
        </w:rPr>
      </w:pPr>
      <w:r w:rsidRPr="003112B5">
        <w:rPr>
          <w:rFonts w:ascii="Arial" w:eastAsia="Times New Roman" w:hAnsi="Arial" w:cs="Arial"/>
          <w:b/>
          <w:bCs/>
          <w:i/>
          <w:iCs/>
          <w:color w:val="000000"/>
          <w:sz w:val="24"/>
          <w:szCs w:val="24"/>
          <w:lang w:eastAsia="en-NZ"/>
        </w:rPr>
        <w:t>S</w:t>
      </w:r>
      <w:r w:rsidR="00933270" w:rsidRPr="003112B5">
        <w:rPr>
          <w:rFonts w:ascii="Arial" w:eastAsia="Times New Roman" w:hAnsi="Arial" w:cs="Arial"/>
          <w:b/>
          <w:bCs/>
          <w:i/>
          <w:iCs/>
          <w:color w:val="000000"/>
          <w:sz w:val="24"/>
          <w:szCs w:val="24"/>
          <w:lang w:eastAsia="en-NZ"/>
        </w:rPr>
        <w:t>atisfaction</w:t>
      </w:r>
      <w:r w:rsidRPr="003112B5">
        <w:rPr>
          <w:rFonts w:ascii="Arial" w:eastAsia="Times New Roman" w:hAnsi="Arial" w:cs="Arial"/>
          <w:b/>
          <w:bCs/>
          <w:i/>
          <w:iCs/>
          <w:color w:val="000000"/>
          <w:sz w:val="24"/>
          <w:szCs w:val="24"/>
          <w:lang w:eastAsia="en-NZ"/>
        </w:rPr>
        <w:t xml:space="preserve"> (including cessation and guarantees of non-repetition)</w:t>
      </w:r>
    </w:p>
    <w:p w14:paraId="09493573" w14:textId="1890C1C2"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A State responsible for an internationally wrongful act, including a </w:t>
      </w:r>
      <w:r w:rsidR="00C71971" w:rsidRPr="003112B5">
        <w:rPr>
          <w:rFonts w:ascii="Arial" w:eastAsia="Times New Roman" w:hAnsi="Arial" w:cs="Arial"/>
          <w:color w:val="000000"/>
          <w:sz w:val="24"/>
          <w:szCs w:val="24"/>
          <w:lang w:eastAsia="en-NZ"/>
        </w:rPr>
        <w:t>violation</w:t>
      </w:r>
      <w:r w:rsidRPr="003112B5">
        <w:rPr>
          <w:rFonts w:ascii="Arial" w:eastAsia="Times New Roman" w:hAnsi="Arial" w:cs="Arial"/>
          <w:color w:val="000000"/>
          <w:sz w:val="24"/>
          <w:szCs w:val="24"/>
          <w:lang w:eastAsia="en-NZ"/>
        </w:rPr>
        <w:t xml:space="preserve"> of human rights, must cease the act if it is ongoing.  It must also provide guarantees of non-repetition if required by the circumstances.</w:t>
      </w:r>
      <w:r w:rsidRPr="003112B5">
        <w:rPr>
          <w:rStyle w:val="FootnoteReference"/>
          <w:rFonts w:ascii="Arial" w:eastAsia="Times New Roman" w:hAnsi="Arial" w:cs="Arial"/>
          <w:color w:val="000000"/>
          <w:sz w:val="24"/>
          <w:szCs w:val="24"/>
          <w:lang w:eastAsia="en-NZ"/>
        </w:rPr>
        <w:footnoteReference w:id="67"/>
      </w:r>
      <w:r w:rsidRPr="003112B5">
        <w:rPr>
          <w:rFonts w:ascii="Arial" w:eastAsia="Times New Roman" w:hAnsi="Arial" w:cs="Arial"/>
          <w:color w:val="000000"/>
          <w:sz w:val="24"/>
          <w:szCs w:val="24"/>
          <w:lang w:eastAsia="en-NZ"/>
        </w:rPr>
        <w:t xml:space="preserve">  </w:t>
      </w:r>
    </w:p>
    <w:p w14:paraId="76D8216E" w14:textId="1FA89165" w:rsidR="00933270" w:rsidRPr="003112B5" w:rsidRDefault="00A610EB"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To provide satisfaction, the State may need to accept responsibility for the violation and publicly apologise.</w:t>
      </w:r>
      <w:r w:rsidRPr="003112B5">
        <w:rPr>
          <w:rStyle w:val="FootnoteReference"/>
          <w:rFonts w:ascii="Arial" w:eastAsia="Times New Roman" w:hAnsi="Arial" w:cs="Arial"/>
          <w:color w:val="000000"/>
          <w:sz w:val="24"/>
          <w:szCs w:val="24"/>
          <w:lang w:eastAsia="en-NZ"/>
        </w:rPr>
        <w:footnoteReference w:id="68"/>
      </w:r>
      <w:r w:rsidRPr="003112B5">
        <w:rPr>
          <w:rFonts w:ascii="Arial" w:eastAsia="Times New Roman" w:hAnsi="Arial" w:cs="Arial"/>
          <w:color w:val="000000"/>
          <w:sz w:val="24"/>
          <w:szCs w:val="24"/>
          <w:lang w:eastAsia="en-NZ"/>
        </w:rPr>
        <w:t xml:space="preserve">  A public memorial may be appropriate in some cases.  Amongst other matters, the State </w:t>
      </w:r>
      <w:r w:rsidR="00933270" w:rsidRPr="003112B5">
        <w:rPr>
          <w:rFonts w:ascii="Arial" w:eastAsia="Times New Roman" w:hAnsi="Arial" w:cs="Arial"/>
          <w:color w:val="000000"/>
          <w:sz w:val="24"/>
          <w:szCs w:val="24"/>
          <w:lang w:eastAsia="en-NZ"/>
        </w:rPr>
        <w:t xml:space="preserve">may </w:t>
      </w:r>
      <w:r w:rsidRPr="003112B5">
        <w:rPr>
          <w:rFonts w:ascii="Arial" w:eastAsia="Times New Roman" w:hAnsi="Arial" w:cs="Arial"/>
          <w:color w:val="000000"/>
          <w:sz w:val="24"/>
          <w:szCs w:val="24"/>
          <w:lang w:eastAsia="en-NZ"/>
        </w:rPr>
        <w:t xml:space="preserve">also need to </w:t>
      </w:r>
      <w:r w:rsidR="00933270" w:rsidRPr="003112B5">
        <w:rPr>
          <w:rFonts w:ascii="Arial" w:eastAsia="Times New Roman" w:hAnsi="Arial" w:cs="Arial"/>
          <w:color w:val="000000"/>
          <w:sz w:val="24"/>
          <w:szCs w:val="24"/>
          <w:lang w:eastAsia="en-NZ"/>
        </w:rPr>
        <w:t xml:space="preserve">carry out investigations into allegations of human rights violations and prosecutions of </w:t>
      </w:r>
      <w:r w:rsidR="009B255C" w:rsidRPr="003112B5">
        <w:rPr>
          <w:rFonts w:ascii="Arial" w:eastAsia="Times New Roman" w:hAnsi="Arial" w:cs="Arial"/>
          <w:color w:val="000000"/>
          <w:sz w:val="24"/>
          <w:szCs w:val="24"/>
          <w:lang w:eastAsia="en-NZ"/>
        </w:rPr>
        <w:t xml:space="preserve">alleged </w:t>
      </w:r>
      <w:r w:rsidR="00D675D1" w:rsidRPr="003112B5">
        <w:rPr>
          <w:rFonts w:ascii="Arial" w:eastAsia="Times New Roman" w:hAnsi="Arial" w:cs="Arial"/>
          <w:color w:val="000000"/>
          <w:sz w:val="24"/>
          <w:szCs w:val="24"/>
          <w:lang w:eastAsia="en-NZ"/>
        </w:rPr>
        <w:t>perpetrators</w:t>
      </w:r>
      <w:r w:rsidRPr="003112B5">
        <w:rPr>
          <w:rFonts w:ascii="Arial" w:eastAsia="Times New Roman" w:hAnsi="Arial" w:cs="Arial"/>
          <w:color w:val="000000"/>
          <w:sz w:val="24"/>
          <w:szCs w:val="24"/>
          <w:lang w:eastAsia="en-NZ"/>
        </w:rPr>
        <w:t>,</w:t>
      </w:r>
      <w:r w:rsidR="00933270" w:rsidRPr="003112B5">
        <w:rPr>
          <w:rStyle w:val="FootnoteReference"/>
          <w:rFonts w:ascii="Arial" w:eastAsia="Times New Roman" w:hAnsi="Arial" w:cs="Arial"/>
          <w:color w:val="000000"/>
          <w:sz w:val="24"/>
          <w:szCs w:val="24"/>
          <w:lang w:eastAsia="en-NZ"/>
        </w:rPr>
        <w:footnoteReference w:id="69"/>
      </w:r>
      <w:r w:rsidR="00933270" w:rsidRPr="003112B5">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and make</w:t>
      </w:r>
      <w:r w:rsidR="00933270" w:rsidRPr="003112B5">
        <w:rPr>
          <w:rFonts w:ascii="Arial" w:eastAsia="Times New Roman" w:hAnsi="Arial" w:cs="Arial"/>
          <w:color w:val="000000"/>
          <w:sz w:val="24"/>
          <w:szCs w:val="24"/>
          <w:lang w:eastAsia="en-NZ"/>
        </w:rPr>
        <w:t xml:space="preserve"> changes in laws and practices.</w:t>
      </w:r>
      <w:r w:rsidR="00933270" w:rsidRPr="003112B5">
        <w:rPr>
          <w:rStyle w:val="FootnoteReference"/>
          <w:rFonts w:ascii="Arial" w:eastAsia="Times New Roman" w:hAnsi="Arial" w:cs="Arial"/>
          <w:color w:val="000000"/>
          <w:sz w:val="24"/>
          <w:szCs w:val="24"/>
          <w:lang w:eastAsia="en-NZ"/>
        </w:rPr>
        <w:footnoteReference w:id="70"/>
      </w:r>
      <w:r w:rsidR="00933270" w:rsidRPr="003112B5">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 xml:space="preserve">Such investigations, prosecutions and </w:t>
      </w:r>
      <w:r w:rsidR="00CB295B" w:rsidRPr="003112B5">
        <w:rPr>
          <w:rFonts w:ascii="Arial" w:eastAsia="Times New Roman" w:hAnsi="Arial" w:cs="Arial"/>
          <w:color w:val="000000"/>
          <w:sz w:val="24"/>
          <w:szCs w:val="24"/>
          <w:lang w:eastAsia="en-NZ"/>
        </w:rPr>
        <w:t xml:space="preserve">changes can also be considered as part of offering appropriate guarantees of non-repetition.  </w:t>
      </w:r>
    </w:p>
    <w:p w14:paraId="6E12C0CF" w14:textId="77777777" w:rsidR="00E67360" w:rsidRDefault="00E67360">
      <w:pPr>
        <w:rPr>
          <w:rFonts w:ascii="Arial" w:eastAsia="Times New Roman" w:hAnsi="Arial" w:cs="Arial"/>
          <w:i/>
          <w:iCs/>
          <w:color w:val="000000"/>
          <w:sz w:val="24"/>
          <w:szCs w:val="24"/>
          <w:lang w:eastAsia="en-NZ"/>
        </w:rPr>
      </w:pPr>
      <w:r>
        <w:rPr>
          <w:rFonts w:ascii="Arial" w:eastAsia="Times New Roman" w:hAnsi="Arial" w:cs="Arial"/>
          <w:i/>
          <w:iCs/>
          <w:color w:val="000000"/>
          <w:sz w:val="24"/>
          <w:szCs w:val="24"/>
          <w:lang w:eastAsia="en-NZ"/>
        </w:rPr>
        <w:br w:type="page"/>
      </w:r>
    </w:p>
    <w:p w14:paraId="23F8070C" w14:textId="08598A13" w:rsidR="00933270" w:rsidRPr="003112B5" w:rsidRDefault="00933270" w:rsidP="00E74AFF">
      <w:pPr>
        <w:spacing w:after="0" w:line="240" w:lineRule="auto"/>
        <w:rPr>
          <w:rFonts w:ascii="Arial" w:eastAsia="Times New Roman" w:hAnsi="Arial" w:cs="Arial"/>
          <w:i/>
          <w:iCs/>
          <w:color w:val="000000"/>
          <w:sz w:val="24"/>
          <w:szCs w:val="24"/>
          <w:lang w:eastAsia="en-NZ"/>
        </w:rPr>
      </w:pPr>
      <w:r w:rsidRPr="003112B5">
        <w:rPr>
          <w:rFonts w:ascii="Arial" w:eastAsia="Times New Roman" w:hAnsi="Arial" w:cs="Arial"/>
          <w:i/>
          <w:iCs/>
          <w:color w:val="000000"/>
          <w:sz w:val="24"/>
          <w:szCs w:val="24"/>
          <w:lang w:eastAsia="en-NZ"/>
        </w:rPr>
        <w:lastRenderedPageBreak/>
        <w:t>Declarations</w:t>
      </w:r>
    </w:p>
    <w:p w14:paraId="4C2D1583" w14:textId="77777777" w:rsidR="00933270" w:rsidRPr="003112B5" w:rsidRDefault="00933270" w:rsidP="00A94474">
      <w:pPr>
        <w:pStyle w:val="ListParagraph"/>
        <w:spacing w:after="0" w:line="240" w:lineRule="auto"/>
        <w:ind w:left="1134"/>
        <w:rPr>
          <w:rFonts w:ascii="Arial" w:eastAsia="Times New Roman" w:hAnsi="Arial" w:cs="Arial"/>
          <w:color w:val="000000"/>
          <w:sz w:val="24"/>
          <w:szCs w:val="24"/>
          <w:lang w:eastAsia="en-NZ"/>
        </w:rPr>
      </w:pPr>
    </w:p>
    <w:p w14:paraId="0D674670" w14:textId="72A25FFD"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A declaration that a State has violated a human right, whether by a court or other appropriate body (e.g. an international committee, such as the </w:t>
      </w:r>
      <w:r w:rsidR="001833F7" w:rsidRPr="003112B5">
        <w:rPr>
          <w:rFonts w:ascii="Arial" w:eastAsia="Times New Roman" w:hAnsi="Arial" w:cs="Arial"/>
          <w:color w:val="000000"/>
          <w:sz w:val="24"/>
          <w:szCs w:val="24"/>
          <w:lang w:eastAsia="en-NZ"/>
        </w:rPr>
        <w:t xml:space="preserve">UN </w:t>
      </w:r>
      <w:r w:rsidRPr="003112B5">
        <w:rPr>
          <w:rFonts w:ascii="Arial" w:eastAsia="Times New Roman" w:hAnsi="Arial" w:cs="Arial"/>
          <w:color w:val="000000"/>
          <w:sz w:val="24"/>
          <w:szCs w:val="24"/>
          <w:lang w:eastAsia="en-NZ"/>
        </w:rPr>
        <w:t xml:space="preserve">Human Rights Committee), may be a form of satisfaction.  </w:t>
      </w:r>
    </w:p>
    <w:p w14:paraId="78FDBD0D" w14:textId="4C56C859"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 European Court of Human Rights has often found in cases before it that a finding of violation is sufficient to provide satisfaction and therefore no award of compensation is required (although costs may be obtained).</w:t>
      </w:r>
      <w:r w:rsidRPr="003112B5">
        <w:rPr>
          <w:rStyle w:val="FootnoteReference"/>
          <w:rFonts w:ascii="Arial" w:eastAsia="Times New Roman" w:hAnsi="Arial" w:cs="Arial"/>
          <w:color w:val="000000"/>
          <w:sz w:val="24"/>
          <w:szCs w:val="24"/>
          <w:lang w:eastAsia="en-NZ"/>
        </w:rPr>
        <w:footnoteReference w:id="71"/>
      </w:r>
      <w:r w:rsidRPr="003112B5">
        <w:rPr>
          <w:rFonts w:ascii="Arial" w:eastAsia="Times New Roman" w:hAnsi="Arial" w:cs="Arial"/>
          <w:color w:val="000000"/>
          <w:sz w:val="24"/>
          <w:szCs w:val="24"/>
          <w:lang w:eastAsia="en-NZ"/>
        </w:rPr>
        <w:t xml:space="preserve">  Also, the European Court’s practice until recently has been to limit relief to a finding of violation and, in some cases, an award of compensation.  That practice does however appear to be changing.</w:t>
      </w:r>
      <w:r w:rsidRPr="003112B5">
        <w:rPr>
          <w:rStyle w:val="FootnoteReference"/>
          <w:rFonts w:ascii="Arial" w:eastAsia="Times New Roman" w:hAnsi="Arial" w:cs="Arial"/>
          <w:color w:val="000000"/>
          <w:sz w:val="24"/>
          <w:szCs w:val="24"/>
          <w:lang w:eastAsia="en-NZ"/>
        </w:rPr>
        <w:footnoteReference w:id="72"/>
      </w:r>
    </w:p>
    <w:p w14:paraId="3EBD9E58" w14:textId="6761103C"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United Nations </w:t>
      </w:r>
      <w:r w:rsidR="00F631A0" w:rsidRPr="003112B5">
        <w:rPr>
          <w:rFonts w:ascii="Arial" w:eastAsia="Times New Roman" w:hAnsi="Arial" w:cs="Arial"/>
          <w:color w:val="000000"/>
          <w:sz w:val="24"/>
          <w:szCs w:val="24"/>
          <w:lang w:eastAsia="en-NZ"/>
        </w:rPr>
        <w:t xml:space="preserve">treaty committees </w:t>
      </w:r>
      <w:r w:rsidRPr="003112B5">
        <w:rPr>
          <w:rFonts w:ascii="Arial" w:eastAsia="Times New Roman" w:hAnsi="Arial" w:cs="Arial"/>
          <w:color w:val="000000"/>
          <w:sz w:val="24"/>
          <w:szCs w:val="24"/>
          <w:lang w:eastAsia="en-NZ"/>
        </w:rPr>
        <w:t>have also found in certain cases that no remedy is required beyond the finding of a violation, although they mostly also recommend other remedies.</w:t>
      </w:r>
      <w:r w:rsidRPr="003112B5">
        <w:rPr>
          <w:rStyle w:val="FootnoteReference"/>
          <w:rFonts w:ascii="Arial" w:eastAsia="Times New Roman" w:hAnsi="Arial" w:cs="Arial"/>
          <w:color w:val="000000"/>
          <w:sz w:val="24"/>
          <w:szCs w:val="24"/>
          <w:lang w:eastAsia="en-NZ"/>
        </w:rPr>
        <w:footnoteReference w:id="73"/>
      </w:r>
      <w:r w:rsidRPr="003112B5">
        <w:rPr>
          <w:rFonts w:ascii="Arial" w:eastAsia="Times New Roman" w:hAnsi="Arial" w:cs="Arial"/>
          <w:color w:val="000000"/>
          <w:sz w:val="24"/>
          <w:szCs w:val="24"/>
          <w:lang w:eastAsia="en-NZ"/>
        </w:rPr>
        <w:t xml:space="preserve">  According to Shelton, the Inter-American Court of Human Rights has not limited relief to a declaration in any case before it.  This may be because the cases before the </w:t>
      </w:r>
      <w:r w:rsidR="002B65DD" w:rsidRPr="003112B5">
        <w:rPr>
          <w:rFonts w:ascii="Arial" w:eastAsia="Times New Roman" w:hAnsi="Arial" w:cs="Arial"/>
          <w:color w:val="000000"/>
          <w:sz w:val="24"/>
          <w:szCs w:val="24"/>
          <w:lang w:eastAsia="en-NZ"/>
        </w:rPr>
        <w:t xml:space="preserve">Inter-American </w:t>
      </w:r>
      <w:r w:rsidRPr="003112B5">
        <w:rPr>
          <w:rFonts w:ascii="Arial" w:eastAsia="Times New Roman" w:hAnsi="Arial" w:cs="Arial"/>
          <w:color w:val="000000"/>
          <w:sz w:val="24"/>
          <w:szCs w:val="24"/>
          <w:lang w:eastAsia="en-NZ"/>
        </w:rPr>
        <w:t>Court have generally involved serious violations.</w:t>
      </w:r>
      <w:r w:rsidRPr="003112B5">
        <w:rPr>
          <w:rStyle w:val="FootnoteReference"/>
          <w:rFonts w:ascii="Arial" w:eastAsia="Times New Roman" w:hAnsi="Arial" w:cs="Arial"/>
          <w:color w:val="000000"/>
          <w:sz w:val="24"/>
          <w:szCs w:val="24"/>
          <w:lang w:eastAsia="en-NZ"/>
        </w:rPr>
        <w:footnoteReference w:id="74"/>
      </w:r>
      <w:r w:rsidRPr="003112B5">
        <w:rPr>
          <w:rFonts w:ascii="Arial" w:eastAsia="Times New Roman" w:hAnsi="Arial" w:cs="Arial"/>
          <w:color w:val="000000"/>
          <w:sz w:val="24"/>
          <w:szCs w:val="24"/>
          <w:lang w:eastAsia="en-NZ"/>
        </w:rPr>
        <w:t xml:space="preserve">  </w:t>
      </w:r>
    </w:p>
    <w:p w14:paraId="7F87EE72" w14:textId="72B7667F" w:rsidR="00933270" w:rsidRPr="003112B5" w:rsidRDefault="000532E2" w:rsidP="00993042">
      <w:pPr>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br w:type="page"/>
      </w:r>
      <w:r w:rsidR="00933270" w:rsidRPr="003112B5">
        <w:rPr>
          <w:rFonts w:ascii="Arial" w:eastAsia="Times New Roman" w:hAnsi="Arial" w:cs="Arial"/>
          <w:b/>
          <w:bCs/>
          <w:color w:val="000000"/>
          <w:sz w:val="24"/>
          <w:szCs w:val="24"/>
          <w:lang w:eastAsia="en-NZ"/>
        </w:rPr>
        <w:lastRenderedPageBreak/>
        <w:t xml:space="preserve">PART </w:t>
      </w:r>
      <w:r w:rsidR="009B691C" w:rsidRPr="003112B5">
        <w:rPr>
          <w:rFonts w:ascii="Arial" w:eastAsia="Times New Roman" w:hAnsi="Arial" w:cs="Arial"/>
          <w:b/>
          <w:bCs/>
          <w:color w:val="000000"/>
          <w:sz w:val="24"/>
          <w:szCs w:val="24"/>
          <w:lang w:eastAsia="en-NZ"/>
        </w:rPr>
        <w:t>C</w:t>
      </w:r>
      <w:r w:rsidR="00933270" w:rsidRPr="003112B5">
        <w:rPr>
          <w:rFonts w:ascii="Arial" w:eastAsia="Times New Roman" w:hAnsi="Arial" w:cs="Arial"/>
          <w:b/>
          <w:bCs/>
          <w:color w:val="000000"/>
          <w:sz w:val="24"/>
          <w:szCs w:val="24"/>
          <w:lang w:eastAsia="en-NZ"/>
        </w:rPr>
        <w:t>: HUMAN RIGHTS LAW IN NEW ZEALAND</w:t>
      </w:r>
    </w:p>
    <w:p w14:paraId="49A9E773" w14:textId="7B6F9B7D" w:rsidR="00933270" w:rsidRPr="003112B5" w:rsidRDefault="00933270" w:rsidP="00697941">
      <w:pPr>
        <w:spacing w:after="0" w:line="240" w:lineRule="auto"/>
        <w:ind w:left="567"/>
        <w:rPr>
          <w:rFonts w:ascii="Arial" w:eastAsia="Times New Roman" w:hAnsi="Arial" w:cs="Arial"/>
          <w:color w:val="000000"/>
          <w:sz w:val="24"/>
          <w:szCs w:val="24"/>
          <w:lang w:eastAsia="en-NZ"/>
        </w:rPr>
      </w:pPr>
    </w:p>
    <w:p w14:paraId="6270883B" w14:textId="77777777" w:rsidR="00E7474C" w:rsidRPr="003112B5" w:rsidRDefault="00693521"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This Part first refers to the legal status </w:t>
      </w:r>
      <w:r w:rsidR="00E7474C" w:rsidRPr="003112B5">
        <w:rPr>
          <w:rFonts w:ascii="Arial" w:eastAsia="Times New Roman" w:hAnsi="Arial" w:cs="Arial"/>
          <w:color w:val="000000"/>
          <w:sz w:val="24"/>
          <w:szCs w:val="24"/>
          <w:lang w:eastAsia="en-NZ"/>
        </w:rPr>
        <w:t xml:space="preserve">of </w:t>
      </w:r>
      <w:r w:rsidRPr="003112B5">
        <w:rPr>
          <w:rFonts w:ascii="Arial" w:eastAsia="Times New Roman" w:hAnsi="Arial" w:cs="Arial"/>
          <w:color w:val="000000"/>
          <w:sz w:val="24"/>
          <w:szCs w:val="24"/>
          <w:lang w:eastAsia="en-NZ"/>
        </w:rPr>
        <w:t xml:space="preserve">international human rights and obligations in New Zealand law.  </w:t>
      </w:r>
      <w:r w:rsidR="00E7474C" w:rsidRPr="003112B5">
        <w:rPr>
          <w:rFonts w:ascii="Arial" w:eastAsia="Times New Roman" w:hAnsi="Arial" w:cs="Arial"/>
          <w:color w:val="000000"/>
          <w:sz w:val="24"/>
          <w:szCs w:val="24"/>
          <w:lang w:eastAsia="en-NZ"/>
        </w:rPr>
        <w:t>Following that, a</w:t>
      </w:r>
      <w:r w:rsidRPr="003112B5">
        <w:rPr>
          <w:rFonts w:ascii="Arial" w:eastAsia="Times New Roman" w:hAnsi="Arial" w:cs="Arial"/>
          <w:color w:val="000000"/>
          <w:sz w:val="24"/>
          <w:szCs w:val="24"/>
          <w:lang w:eastAsia="en-NZ"/>
        </w:rPr>
        <w:t xml:space="preserve"> summary </w:t>
      </w:r>
      <w:r w:rsidR="00E7474C" w:rsidRPr="003112B5">
        <w:rPr>
          <w:rFonts w:ascii="Arial" w:eastAsia="Times New Roman" w:hAnsi="Arial" w:cs="Arial"/>
          <w:color w:val="000000"/>
          <w:sz w:val="24"/>
          <w:szCs w:val="24"/>
          <w:lang w:eastAsia="en-NZ"/>
        </w:rPr>
        <w:t>is provided of:</w:t>
      </w:r>
    </w:p>
    <w:p w14:paraId="72BF37ED" w14:textId="381959FA" w:rsidR="00E7474C" w:rsidRPr="003112B5" w:rsidRDefault="00693521" w:rsidP="00EC031D">
      <w:pPr>
        <w:pStyle w:val="ListParagraph"/>
        <w:numPr>
          <w:ilvl w:val="0"/>
          <w:numId w:val="12"/>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human rights protections and their sources (</w:t>
      </w:r>
      <w:r w:rsidR="00E7474C" w:rsidRPr="003112B5">
        <w:rPr>
          <w:rFonts w:ascii="Arial" w:eastAsia="Times New Roman" w:hAnsi="Arial" w:cs="Arial"/>
          <w:color w:val="000000"/>
          <w:sz w:val="24"/>
          <w:szCs w:val="24"/>
          <w:lang w:eastAsia="en-NZ"/>
        </w:rPr>
        <w:t xml:space="preserve">e.g. </w:t>
      </w:r>
      <w:r w:rsidRPr="003112B5">
        <w:rPr>
          <w:rFonts w:ascii="Arial" w:eastAsia="Times New Roman" w:hAnsi="Arial" w:cs="Arial"/>
          <w:color w:val="000000"/>
          <w:sz w:val="24"/>
          <w:szCs w:val="24"/>
          <w:lang w:eastAsia="en-NZ"/>
        </w:rPr>
        <w:t>statute and common law) in New Zealand</w:t>
      </w:r>
      <w:r w:rsidR="00E7474C" w:rsidRPr="003112B5">
        <w:rPr>
          <w:rFonts w:ascii="Arial" w:eastAsia="Times New Roman" w:hAnsi="Arial" w:cs="Arial"/>
          <w:color w:val="000000"/>
          <w:sz w:val="24"/>
          <w:szCs w:val="24"/>
          <w:lang w:eastAsia="en-NZ"/>
        </w:rPr>
        <w:t xml:space="preserve">; </w:t>
      </w:r>
    </w:p>
    <w:p w14:paraId="3F9D9EC4" w14:textId="77777777" w:rsidR="009B255C" w:rsidRPr="003112B5" w:rsidRDefault="009B255C" w:rsidP="00EC031D">
      <w:pPr>
        <w:pStyle w:val="ListParagraph"/>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p>
    <w:p w14:paraId="7AED6738" w14:textId="63F2C1B9" w:rsidR="00E7474C" w:rsidRPr="003112B5" w:rsidRDefault="00693521" w:rsidP="00EC031D">
      <w:pPr>
        <w:pStyle w:val="ListParagraph"/>
        <w:numPr>
          <w:ilvl w:val="0"/>
          <w:numId w:val="12"/>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redress that may be provided under the </w:t>
      </w:r>
      <w:r w:rsidR="00E7474C" w:rsidRPr="003112B5">
        <w:rPr>
          <w:rFonts w:ascii="Arial" w:eastAsia="Times New Roman" w:hAnsi="Arial" w:cs="Arial"/>
          <w:color w:val="000000"/>
          <w:sz w:val="24"/>
          <w:szCs w:val="24"/>
          <w:lang w:eastAsia="en-NZ"/>
        </w:rPr>
        <w:t xml:space="preserve">New </w:t>
      </w:r>
      <w:r w:rsidRPr="003112B5">
        <w:rPr>
          <w:rFonts w:ascii="Arial" w:eastAsia="Times New Roman" w:hAnsi="Arial" w:cs="Arial"/>
          <w:color w:val="000000"/>
          <w:sz w:val="24"/>
          <w:szCs w:val="24"/>
          <w:lang w:eastAsia="en-NZ"/>
        </w:rPr>
        <w:t>Zealand Bill of Rights Act 1990 (</w:t>
      </w:r>
      <w:r w:rsidRPr="003112B5">
        <w:rPr>
          <w:rFonts w:ascii="Arial" w:eastAsia="Times New Roman" w:hAnsi="Arial" w:cs="Arial"/>
          <w:b/>
          <w:bCs/>
          <w:color w:val="000000"/>
          <w:sz w:val="24"/>
          <w:szCs w:val="24"/>
          <w:lang w:eastAsia="en-NZ"/>
        </w:rPr>
        <w:t>NZBORA</w:t>
      </w:r>
      <w:r w:rsidRPr="003112B5">
        <w:rPr>
          <w:rFonts w:ascii="Arial" w:eastAsia="Times New Roman" w:hAnsi="Arial" w:cs="Arial"/>
          <w:color w:val="000000"/>
          <w:sz w:val="24"/>
          <w:szCs w:val="24"/>
          <w:lang w:eastAsia="en-NZ"/>
        </w:rPr>
        <w:t>)</w:t>
      </w:r>
      <w:r w:rsidR="00E7474C" w:rsidRPr="003112B5">
        <w:rPr>
          <w:rFonts w:ascii="Arial" w:eastAsia="Times New Roman" w:hAnsi="Arial" w:cs="Arial"/>
          <w:color w:val="000000"/>
          <w:sz w:val="24"/>
          <w:szCs w:val="24"/>
          <w:lang w:eastAsia="en-NZ"/>
        </w:rPr>
        <w:t>,</w:t>
      </w:r>
      <w:r w:rsidRPr="003112B5">
        <w:rPr>
          <w:rFonts w:ascii="Arial" w:eastAsia="Times New Roman" w:hAnsi="Arial" w:cs="Arial"/>
          <w:color w:val="000000"/>
          <w:sz w:val="24"/>
          <w:szCs w:val="24"/>
          <w:lang w:eastAsia="en-NZ"/>
        </w:rPr>
        <w:t xml:space="preserve"> and by the Human Rights Review Tribunal (</w:t>
      </w:r>
      <w:r w:rsidRPr="003112B5">
        <w:rPr>
          <w:rFonts w:ascii="Arial" w:eastAsia="Times New Roman" w:hAnsi="Arial" w:cs="Arial"/>
          <w:b/>
          <w:bCs/>
          <w:color w:val="000000"/>
          <w:sz w:val="24"/>
          <w:szCs w:val="24"/>
          <w:lang w:eastAsia="en-NZ"/>
        </w:rPr>
        <w:t>HRRT</w:t>
      </w:r>
      <w:r w:rsidRPr="003112B5">
        <w:rPr>
          <w:rFonts w:ascii="Arial" w:eastAsia="Times New Roman" w:hAnsi="Arial" w:cs="Arial"/>
          <w:color w:val="000000"/>
          <w:sz w:val="24"/>
          <w:szCs w:val="24"/>
          <w:lang w:eastAsia="en-NZ"/>
        </w:rPr>
        <w:t xml:space="preserve">). </w:t>
      </w:r>
      <w:r w:rsidR="00DC1652" w:rsidRPr="003112B5">
        <w:rPr>
          <w:rFonts w:ascii="Arial" w:eastAsia="Times New Roman" w:hAnsi="Arial" w:cs="Arial"/>
          <w:color w:val="000000"/>
          <w:sz w:val="24"/>
          <w:szCs w:val="24"/>
          <w:lang w:eastAsia="en-NZ"/>
        </w:rPr>
        <w:t xml:space="preserve"> </w:t>
      </w:r>
    </w:p>
    <w:p w14:paraId="0484E1A9" w14:textId="375658FC" w:rsidR="00677344" w:rsidRPr="003112B5" w:rsidRDefault="00DC1652"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A brief reference to limitation periods is</w:t>
      </w:r>
      <w:r w:rsidR="009444B0" w:rsidRPr="003112B5">
        <w:rPr>
          <w:rFonts w:ascii="Arial" w:eastAsia="Times New Roman" w:hAnsi="Arial" w:cs="Arial"/>
          <w:color w:val="000000"/>
          <w:sz w:val="24"/>
          <w:szCs w:val="24"/>
          <w:lang w:eastAsia="en-NZ"/>
        </w:rPr>
        <w:t xml:space="preserve"> also</w:t>
      </w:r>
      <w:r w:rsidRPr="003112B5">
        <w:rPr>
          <w:rFonts w:ascii="Arial" w:eastAsia="Times New Roman" w:hAnsi="Arial" w:cs="Arial"/>
          <w:color w:val="000000"/>
          <w:sz w:val="24"/>
          <w:szCs w:val="24"/>
          <w:lang w:eastAsia="en-NZ"/>
        </w:rPr>
        <w:t xml:space="preserve"> made.  </w:t>
      </w:r>
      <w:r w:rsidR="00F349FA">
        <w:rPr>
          <w:rFonts w:ascii="Arial" w:eastAsia="Times New Roman" w:hAnsi="Arial" w:cs="Arial"/>
          <w:color w:val="000000"/>
          <w:sz w:val="24"/>
          <w:szCs w:val="24"/>
          <w:lang w:eastAsia="en-NZ"/>
        </w:rPr>
        <w:t>This should be read in conjunction with the separate Inquiry briefing paper (“</w:t>
      </w:r>
      <w:r w:rsidR="009016D7">
        <w:rPr>
          <w:rFonts w:ascii="Arial" w:eastAsia="Times New Roman" w:hAnsi="Arial" w:cs="Arial"/>
          <w:color w:val="000000"/>
          <w:sz w:val="24"/>
          <w:szCs w:val="24"/>
          <w:lang w:eastAsia="en-NZ"/>
        </w:rPr>
        <w:t>Legal Frameworks Applying to Litigation of Civil Claims of Abuse in Care”), which also briefly outlines issues relating to limitation periods.</w:t>
      </w:r>
    </w:p>
    <w:p w14:paraId="2B7895BD" w14:textId="0E3A3D83" w:rsidR="00DC1652" w:rsidRPr="003112B5" w:rsidRDefault="00677344"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w:t>
      </w:r>
      <w:r w:rsidR="00E7474C" w:rsidRPr="003112B5">
        <w:rPr>
          <w:rFonts w:ascii="Arial" w:eastAsia="Times New Roman" w:hAnsi="Arial" w:cs="Arial"/>
          <w:color w:val="000000"/>
          <w:sz w:val="24"/>
          <w:szCs w:val="24"/>
          <w:lang w:eastAsia="en-NZ"/>
        </w:rPr>
        <w:t>ese</w:t>
      </w:r>
      <w:r w:rsidRPr="003112B5">
        <w:rPr>
          <w:rFonts w:ascii="Arial" w:eastAsia="Times New Roman" w:hAnsi="Arial" w:cs="Arial"/>
          <w:color w:val="000000"/>
          <w:sz w:val="24"/>
          <w:szCs w:val="24"/>
          <w:lang w:eastAsia="en-NZ"/>
        </w:rPr>
        <w:t xml:space="preserve"> summar</w:t>
      </w:r>
      <w:r w:rsidR="00E7474C" w:rsidRPr="003112B5">
        <w:rPr>
          <w:rFonts w:ascii="Arial" w:eastAsia="Times New Roman" w:hAnsi="Arial" w:cs="Arial"/>
          <w:color w:val="000000"/>
          <w:sz w:val="24"/>
          <w:szCs w:val="24"/>
          <w:lang w:eastAsia="en-NZ"/>
        </w:rPr>
        <w:t xml:space="preserve">ies are </w:t>
      </w:r>
      <w:r w:rsidRPr="003112B5">
        <w:rPr>
          <w:rFonts w:ascii="Arial" w:eastAsia="Times New Roman" w:hAnsi="Arial" w:cs="Arial"/>
          <w:color w:val="000000"/>
          <w:sz w:val="24"/>
          <w:szCs w:val="24"/>
          <w:lang w:eastAsia="en-NZ"/>
        </w:rPr>
        <w:t>necessarily incomplete</w:t>
      </w:r>
      <w:r w:rsidR="00E7474C" w:rsidRPr="003112B5">
        <w:rPr>
          <w:rFonts w:ascii="Arial" w:eastAsia="Times New Roman" w:hAnsi="Arial" w:cs="Arial"/>
          <w:color w:val="000000"/>
          <w:sz w:val="24"/>
          <w:szCs w:val="24"/>
          <w:lang w:eastAsia="en-NZ"/>
        </w:rPr>
        <w:t xml:space="preserve">.  </w:t>
      </w:r>
      <w:r w:rsidR="009B255C" w:rsidRPr="003112B5">
        <w:rPr>
          <w:rFonts w:ascii="Arial" w:eastAsia="Times New Roman" w:hAnsi="Arial" w:cs="Arial"/>
          <w:color w:val="000000"/>
          <w:sz w:val="24"/>
          <w:szCs w:val="24"/>
          <w:lang w:eastAsia="en-NZ"/>
        </w:rPr>
        <w:t xml:space="preserve">At the end of this paper there is a reference to </w:t>
      </w:r>
      <w:r w:rsidR="006C2E4A">
        <w:rPr>
          <w:rFonts w:ascii="Arial" w:eastAsia="Times New Roman" w:hAnsi="Arial" w:cs="Arial"/>
          <w:color w:val="000000"/>
          <w:sz w:val="24"/>
          <w:szCs w:val="24"/>
          <w:lang w:eastAsia="en-NZ"/>
        </w:rPr>
        <w:t xml:space="preserve">recommended </w:t>
      </w:r>
      <w:r w:rsidR="009B255C" w:rsidRPr="003112B5">
        <w:rPr>
          <w:rFonts w:ascii="Arial" w:eastAsia="Times New Roman" w:hAnsi="Arial" w:cs="Arial"/>
          <w:color w:val="000000"/>
          <w:sz w:val="24"/>
          <w:szCs w:val="24"/>
          <w:lang w:eastAsia="en-NZ"/>
        </w:rPr>
        <w:t xml:space="preserve">further assessment which </w:t>
      </w:r>
      <w:r w:rsidR="006C2E4A">
        <w:rPr>
          <w:rFonts w:ascii="Arial" w:eastAsia="Times New Roman" w:hAnsi="Arial" w:cs="Arial"/>
          <w:color w:val="000000"/>
          <w:sz w:val="24"/>
          <w:szCs w:val="24"/>
          <w:lang w:eastAsia="en-NZ"/>
        </w:rPr>
        <w:t>would assist the Inquiry</w:t>
      </w:r>
      <w:r w:rsidRPr="003112B5">
        <w:rPr>
          <w:rFonts w:ascii="Arial" w:eastAsia="Times New Roman" w:hAnsi="Arial" w:cs="Arial"/>
          <w:color w:val="000000"/>
          <w:sz w:val="24"/>
          <w:szCs w:val="24"/>
          <w:lang w:eastAsia="en-NZ"/>
        </w:rPr>
        <w:t xml:space="preserve">.  </w:t>
      </w:r>
    </w:p>
    <w:p w14:paraId="5017CEE9" w14:textId="496C430D" w:rsidR="00933270" w:rsidRPr="003112B5" w:rsidRDefault="00933270" w:rsidP="009B691C">
      <w:pPr>
        <w:spacing w:after="0" w:line="240" w:lineRule="auto"/>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 xml:space="preserve">Status of international </w:t>
      </w:r>
      <w:r w:rsidR="00693521" w:rsidRPr="003112B5">
        <w:rPr>
          <w:rFonts w:ascii="Arial" w:eastAsia="Times New Roman" w:hAnsi="Arial" w:cs="Arial"/>
          <w:b/>
          <w:bCs/>
          <w:color w:val="000000"/>
          <w:sz w:val="24"/>
          <w:szCs w:val="24"/>
          <w:lang w:eastAsia="en-NZ"/>
        </w:rPr>
        <w:t xml:space="preserve">human </w:t>
      </w:r>
      <w:r w:rsidRPr="003112B5">
        <w:rPr>
          <w:rFonts w:ascii="Arial" w:eastAsia="Times New Roman" w:hAnsi="Arial" w:cs="Arial"/>
          <w:b/>
          <w:bCs/>
          <w:color w:val="000000"/>
          <w:sz w:val="24"/>
          <w:szCs w:val="24"/>
          <w:lang w:eastAsia="en-NZ"/>
        </w:rPr>
        <w:t>rights and obligations in domestic law</w:t>
      </w:r>
    </w:p>
    <w:p w14:paraId="3D4F3694" w14:textId="77777777" w:rsidR="00933270" w:rsidRPr="003112B5" w:rsidRDefault="00933270" w:rsidP="009B691C">
      <w:pPr>
        <w:spacing w:after="0" w:line="240" w:lineRule="auto"/>
        <w:rPr>
          <w:rFonts w:ascii="Arial" w:eastAsia="Times New Roman" w:hAnsi="Arial" w:cs="Arial"/>
          <w:color w:val="000000"/>
          <w:sz w:val="24"/>
          <w:szCs w:val="24"/>
          <w:lang w:eastAsia="en-NZ"/>
        </w:rPr>
      </w:pPr>
    </w:p>
    <w:p w14:paraId="138AF078" w14:textId="72DA47CC"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w:t>
      </w:r>
      <w:r w:rsidRPr="003112B5">
        <w:rPr>
          <w:rFonts w:ascii="Arial" w:hAnsi="Arial" w:cs="Arial"/>
          <w:sz w:val="24"/>
          <w:szCs w:val="24"/>
        </w:rPr>
        <w:t xml:space="preserve"> New Zealand’s legal system, </w:t>
      </w:r>
      <w:r w:rsidR="000E6853" w:rsidRPr="003112B5">
        <w:rPr>
          <w:rFonts w:ascii="Arial" w:hAnsi="Arial" w:cs="Arial"/>
          <w:sz w:val="24"/>
          <w:szCs w:val="24"/>
        </w:rPr>
        <w:t>i</w:t>
      </w:r>
      <w:r w:rsidRPr="003112B5">
        <w:rPr>
          <w:rFonts w:ascii="Arial" w:hAnsi="Arial" w:cs="Arial"/>
          <w:sz w:val="24"/>
          <w:szCs w:val="24"/>
        </w:rPr>
        <w:t>nternational rights and obligations can be relevant considerations in administrative decision-making</w:t>
      </w:r>
      <w:r w:rsidR="000C55F0" w:rsidRPr="003112B5">
        <w:rPr>
          <w:rFonts w:ascii="Arial" w:hAnsi="Arial" w:cs="Arial"/>
          <w:sz w:val="24"/>
          <w:szCs w:val="24"/>
        </w:rPr>
        <w:t xml:space="preserve">, and they are taken into account by the Courts in interpreting the NZBORA and other domestic human rights </w:t>
      </w:r>
      <w:r w:rsidR="002C5C1E" w:rsidRPr="003112B5">
        <w:rPr>
          <w:rFonts w:ascii="Arial" w:hAnsi="Arial" w:cs="Arial"/>
          <w:sz w:val="24"/>
          <w:szCs w:val="24"/>
        </w:rPr>
        <w:t>statutes</w:t>
      </w:r>
      <w:r w:rsidRPr="003112B5">
        <w:rPr>
          <w:rFonts w:ascii="Arial" w:hAnsi="Arial" w:cs="Arial"/>
          <w:sz w:val="24"/>
          <w:szCs w:val="24"/>
        </w:rPr>
        <w:t>.  There is also a presumption of statutory interpretation that statutes should be interpreted consistently with New Zealand’s international obligations where possible.</w:t>
      </w:r>
      <w:r w:rsidRPr="003112B5">
        <w:rPr>
          <w:rStyle w:val="FootnoteReference"/>
          <w:rFonts w:ascii="Arial" w:hAnsi="Arial" w:cs="Arial"/>
          <w:sz w:val="24"/>
          <w:szCs w:val="24"/>
        </w:rPr>
        <w:footnoteReference w:id="75"/>
      </w:r>
      <w:r w:rsidRPr="003112B5">
        <w:rPr>
          <w:rFonts w:ascii="Arial" w:hAnsi="Arial" w:cs="Arial"/>
          <w:sz w:val="24"/>
          <w:szCs w:val="24"/>
        </w:rPr>
        <w:t xml:space="preserve">  However, international rights and obligations cannot be directly relied on in New Zealand courts unless they </w:t>
      </w:r>
      <w:r w:rsidR="000E6853" w:rsidRPr="003112B5">
        <w:rPr>
          <w:rFonts w:ascii="Arial" w:hAnsi="Arial" w:cs="Arial"/>
          <w:sz w:val="24"/>
          <w:szCs w:val="24"/>
        </w:rPr>
        <w:t>have been incorporated into a New Zealand statute</w:t>
      </w:r>
      <w:r w:rsidRPr="003112B5">
        <w:rPr>
          <w:rFonts w:ascii="Arial" w:hAnsi="Arial" w:cs="Arial"/>
          <w:sz w:val="24"/>
          <w:szCs w:val="24"/>
        </w:rPr>
        <w:t>.</w:t>
      </w:r>
    </w:p>
    <w:p w14:paraId="0E854C64" w14:textId="1EC68FD5" w:rsidR="00933270" w:rsidRPr="003112B5" w:rsidRDefault="00933270" w:rsidP="009B691C">
      <w:pPr>
        <w:spacing w:after="0" w:line="240" w:lineRule="auto"/>
        <w:rPr>
          <w:rFonts w:ascii="Arial" w:hAnsi="Arial" w:cs="Arial"/>
          <w:b/>
          <w:bCs/>
          <w:sz w:val="24"/>
          <w:szCs w:val="24"/>
        </w:rPr>
      </w:pPr>
      <w:r w:rsidRPr="003112B5">
        <w:rPr>
          <w:rFonts w:ascii="Arial" w:hAnsi="Arial" w:cs="Arial"/>
          <w:b/>
          <w:bCs/>
          <w:sz w:val="24"/>
          <w:szCs w:val="24"/>
        </w:rPr>
        <w:t>Human rights protection in New Zealand</w:t>
      </w:r>
    </w:p>
    <w:p w14:paraId="17152BB0" w14:textId="77777777" w:rsidR="00933270" w:rsidRPr="003112B5" w:rsidRDefault="00933270" w:rsidP="008F2301">
      <w:pPr>
        <w:spacing w:after="0" w:line="240" w:lineRule="auto"/>
        <w:ind w:left="567"/>
        <w:rPr>
          <w:rFonts w:ascii="Arial" w:hAnsi="Arial" w:cs="Arial"/>
          <w:b/>
          <w:bCs/>
          <w:sz w:val="24"/>
          <w:szCs w:val="24"/>
        </w:rPr>
      </w:pPr>
    </w:p>
    <w:p w14:paraId="7B6A56B8" w14:textId="447FBD7A" w:rsidR="002B65DD" w:rsidRPr="003112B5" w:rsidRDefault="002B65DD" w:rsidP="009B691C">
      <w:pPr>
        <w:spacing w:after="0" w:line="240" w:lineRule="auto"/>
        <w:rPr>
          <w:rFonts w:ascii="Arial" w:hAnsi="Arial" w:cs="Arial"/>
          <w:b/>
          <w:bCs/>
          <w:i/>
          <w:iCs/>
          <w:sz w:val="24"/>
          <w:szCs w:val="24"/>
        </w:rPr>
      </w:pPr>
      <w:r w:rsidRPr="003112B5">
        <w:rPr>
          <w:rFonts w:ascii="Arial" w:hAnsi="Arial" w:cs="Arial"/>
          <w:b/>
          <w:bCs/>
          <w:i/>
          <w:iCs/>
          <w:sz w:val="24"/>
          <w:szCs w:val="24"/>
        </w:rPr>
        <w:t>Different forms of protection</w:t>
      </w:r>
    </w:p>
    <w:p w14:paraId="10A22ACC" w14:textId="77777777" w:rsidR="002B65DD" w:rsidRPr="003112B5" w:rsidRDefault="002B65DD" w:rsidP="002B65DD">
      <w:pPr>
        <w:pStyle w:val="ListParagraph"/>
        <w:spacing w:after="0" w:line="240" w:lineRule="auto"/>
        <w:ind w:left="1134"/>
        <w:rPr>
          <w:rFonts w:ascii="Arial" w:hAnsi="Arial" w:cs="Arial"/>
          <w:sz w:val="24"/>
          <w:szCs w:val="24"/>
        </w:rPr>
      </w:pPr>
    </w:p>
    <w:p w14:paraId="6B98FF9D" w14:textId="77777777" w:rsidR="009B691C"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Human rights protections in New Zealand can be characterised as “piecemeal.”</w:t>
      </w:r>
      <w:r w:rsidRPr="003112B5">
        <w:rPr>
          <w:rStyle w:val="FootnoteReference"/>
          <w:rFonts w:ascii="Arial" w:hAnsi="Arial" w:cs="Arial"/>
          <w:sz w:val="24"/>
          <w:szCs w:val="24"/>
        </w:rPr>
        <w:footnoteReference w:id="76"/>
      </w:r>
      <w:r w:rsidRPr="003112B5">
        <w:rPr>
          <w:rFonts w:ascii="Arial" w:hAnsi="Arial" w:cs="Arial"/>
          <w:sz w:val="24"/>
          <w:szCs w:val="24"/>
        </w:rPr>
        <w:t xml:space="preserve">  They have developed and changed incrementally over time, and are set out in a variety of statutes and the common (i.e. judge-made) law.  This means they cannot be found in one place.  </w:t>
      </w:r>
    </w:p>
    <w:p w14:paraId="71A39373" w14:textId="7890F1CB"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t>Policy</w:t>
      </w:r>
      <w:r w:rsidRPr="003112B5">
        <w:rPr>
          <w:rFonts w:ascii="Arial" w:hAnsi="Arial" w:cs="Arial"/>
          <w:sz w:val="24"/>
          <w:szCs w:val="24"/>
        </w:rPr>
        <w:t xml:space="preserve"> and practice (e.g. the way government operates</w:t>
      </w:r>
      <w:r w:rsidR="000E6853" w:rsidRPr="003112B5">
        <w:rPr>
          <w:rFonts w:ascii="Arial" w:hAnsi="Arial" w:cs="Arial"/>
          <w:sz w:val="24"/>
          <w:szCs w:val="24"/>
        </w:rPr>
        <w:t>,</w:t>
      </w:r>
      <w:r w:rsidRPr="003112B5">
        <w:rPr>
          <w:rFonts w:ascii="Arial" w:hAnsi="Arial" w:cs="Arial"/>
          <w:sz w:val="24"/>
          <w:szCs w:val="24"/>
        </w:rPr>
        <w:t xml:space="preserve"> the entitlements it provides or does not provide through policy</w:t>
      </w:r>
      <w:r w:rsidR="000E6853" w:rsidRPr="003112B5">
        <w:rPr>
          <w:rFonts w:ascii="Arial" w:hAnsi="Arial" w:cs="Arial"/>
          <w:sz w:val="24"/>
          <w:szCs w:val="24"/>
        </w:rPr>
        <w:t>, and the institutions it establishes</w:t>
      </w:r>
      <w:r w:rsidRPr="003112B5">
        <w:rPr>
          <w:rFonts w:ascii="Arial" w:hAnsi="Arial" w:cs="Arial"/>
          <w:sz w:val="24"/>
          <w:szCs w:val="24"/>
        </w:rPr>
        <w:t xml:space="preserve">) are also relevant to the extent to which internationally recognised human rights are realised in New Zealand.  </w:t>
      </w:r>
    </w:p>
    <w:p w14:paraId="4D7078FB" w14:textId="77777777" w:rsidR="00E25397" w:rsidRDefault="00E25397">
      <w:pPr>
        <w:rPr>
          <w:rFonts w:ascii="Arial" w:hAnsi="Arial" w:cs="Arial"/>
          <w:b/>
          <w:bCs/>
          <w:i/>
          <w:iCs/>
          <w:sz w:val="24"/>
          <w:szCs w:val="24"/>
        </w:rPr>
      </w:pPr>
      <w:r>
        <w:rPr>
          <w:rFonts w:ascii="Arial" w:hAnsi="Arial" w:cs="Arial"/>
          <w:b/>
          <w:bCs/>
          <w:i/>
          <w:iCs/>
          <w:sz w:val="24"/>
          <w:szCs w:val="24"/>
        </w:rPr>
        <w:br w:type="page"/>
      </w:r>
    </w:p>
    <w:p w14:paraId="5632A28B" w14:textId="142E4096" w:rsidR="002B65DD" w:rsidRPr="003112B5" w:rsidRDefault="002B65DD" w:rsidP="009B691C">
      <w:pPr>
        <w:spacing w:after="0" w:line="240" w:lineRule="auto"/>
        <w:rPr>
          <w:rFonts w:ascii="Arial" w:hAnsi="Arial" w:cs="Arial"/>
          <w:b/>
          <w:bCs/>
          <w:i/>
          <w:iCs/>
          <w:sz w:val="24"/>
          <w:szCs w:val="24"/>
        </w:rPr>
      </w:pPr>
      <w:r w:rsidRPr="003112B5">
        <w:rPr>
          <w:rFonts w:ascii="Arial" w:hAnsi="Arial" w:cs="Arial"/>
          <w:b/>
          <w:bCs/>
          <w:i/>
          <w:iCs/>
          <w:sz w:val="24"/>
          <w:szCs w:val="24"/>
        </w:rPr>
        <w:lastRenderedPageBreak/>
        <w:t>Statute</w:t>
      </w:r>
    </w:p>
    <w:p w14:paraId="1BD129C3" w14:textId="77777777" w:rsidR="00933270" w:rsidRPr="003112B5" w:rsidRDefault="00933270" w:rsidP="00562A25">
      <w:pPr>
        <w:pStyle w:val="ListParagraph"/>
        <w:spacing w:after="0" w:line="240" w:lineRule="auto"/>
        <w:ind w:left="1134"/>
        <w:rPr>
          <w:rFonts w:ascii="Arial" w:hAnsi="Arial" w:cs="Arial"/>
          <w:sz w:val="24"/>
          <w:szCs w:val="24"/>
        </w:rPr>
      </w:pPr>
    </w:p>
    <w:p w14:paraId="700569B8" w14:textId="4474741F" w:rsidR="002B65DD" w:rsidRPr="003112B5" w:rsidRDefault="002B65DD"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The</w:t>
      </w:r>
      <w:r w:rsidR="00933270" w:rsidRPr="003112B5">
        <w:rPr>
          <w:rFonts w:ascii="Arial" w:hAnsi="Arial" w:cs="Arial"/>
          <w:sz w:val="24"/>
          <w:szCs w:val="24"/>
        </w:rPr>
        <w:t xml:space="preserve"> NZBORA and the Human Rights Act 1993 (</w:t>
      </w:r>
      <w:r w:rsidR="00933270" w:rsidRPr="003112B5">
        <w:rPr>
          <w:rFonts w:ascii="Arial" w:hAnsi="Arial" w:cs="Arial"/>
          <w:b/>
          <w:bCs/>
          <w:sz w:val="24"/>
          <w:szCs w:val="24"/>
        </w:rPr>
        <w:t>HRA</w:t>
      </w:r>
      <w:r w:rsidR="00933270" w:rsidRPr="003112B5">
        <w:rPr>
          <w:rFonts w:ascii="Arial" w:hAnsi="Arial" w:cs="Arial"/>
          <w:sz w:val="24"/>
          <w:szCs w:val="24"/>
        </w:rPr>
        <w:t>)</w:t>
      </w:r>
      <w:r w:rsidRPr="003112B5">
        <w:rPr>
          <w:rFonts w:ascii="Arial" w:hAnsi="Arial" w:cs="Arial"/>
          <w:sz w:val="24"/>
          <w:szCs w:val="24"/>
        </w:rPr>
        <w:t xml:space="preserve"> contain important human </w:t>
      </w:r>
      <w:r w:rsidRPr="003112B5">
        <w:rPr>
          <w:rFonts w:ascii="Arial" w:eastAsia="Times New Roman" w:hAnsi="Arial" w:cs="Arial"/>
          <w:color w:val="000000"/>
          <w:sz w:val="24"/>
          <w:szCs w:val="24"/>
          <w:lang w:eastAsia="en-NZ"/>
        </w:rPr>
        <w:t>rights</w:t>
      </w:r>
      <w:r w:rsidRPr="003112B5">
        <w:rPr>
          <w:rFonts w:ascii="Arial" w:hAnsi="Arial" w:cs="Arial"/>
          <w:sz w:val="24"/>
          <w:szCs w:val="24"/>
        </w:rPr>
        <w:t xml:space="preserve"> protections</w:t>
      </w:r>
      <w:r w:rsidR="00933270" w:rsidRPr="003112B5">
        <w:rPr>
          <w:rFonts w:ascii="Arial" w:hAnsi="Arial" w:cs="Arial"/>
          <w:sz w:val="24"/>
          <w:szCs w:val="24"/>
        </w:rPr>
        <w:t xml:space="preserve">.  </w:t>
      </w:r>
    </w:p>
    <w:p w14:paraId="1B9ED70E" w14:textId="27D16F4B"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t>Other</w:t>
      </w:r>
      <w:r w:rsidRPr="003112B5">
        <w:rPr>
          <w:rFonts w:ascii="Arial" w:hAnsi="Arial" w:cs="Arial"/>
          <w:sz w:val="24"/>
          <w:szCs w:val="24"/>
        </w:rPr>
        <w:t xml:space="preserve"> enactments relevant to human rights include the Bill of Rights 1688 (Imp), the Crimes Act 1961, the Ombudsmen Act 1975, the Official Information Act 1982, the Crimes of Torture Act 1989, the Privacy Act 1993, the Oranga Tamariki Act 1989, and the Health and Disability Commissioner Act 1994.</w:t>
      </w:r>
      <w:r w:rsidRPr="003112B5">
        <w:rPr>
          <w:rStyle w:val="FootnoteReference"/>
          <w:rFonts w:ascii="Arial" w:hAnsi="Arial" w:cs="Arial"/>
          <w:sz w:val="24"/>
          <w:szCs w:val="24"/>
        </w:rPr>
        <w:footnoteReference w:id="77"/>
      </w:r>
      <w:r w:rsidRPr="003112B5">
        <w:rPr>
          <w:rFonts w:ascii="Arial" w:hAnsi="Arial" w:cs="Arial"/>
          <w:sz w:val="24"/>
          <w:szCs w:val="24"/>
        </w:rPr>
        <w:t xml:space="preserve">  There are many others to which reference could be made.</w:t>
      </w:r>
      <w:r w:rsidRPr="003112B5">
        <w:rPr>
          <w:rStyle w:val="FootnoteReference"/>
          <w:rFonts w:ascii="Arial" w:hAnsi="Arial" w:cs="Arial"/>
          <w:sz w:val="24"/>
          <w:szCs w:val="24"/>
        </w:rPr>
        <w:footnoteReference w:id="78"/>
      </w:r>
    </w:p>
    <w:p w14:paraId="1755A857" w14:textId="28A760A5"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t>For</w:t>
      </w:r>
      <w:r w:rsidRPr="003112B5">
        <w:rPr>
          <w:rFonts w:ascii="Arial" w:hAnsi="Arial" w:cs="Arial"/>
          <w:sz w:val="24"/>
          <w:szCs w:val="24"/>
        </w:rPr>
        <w:t xml:space="preserve"> this Inquiry, relevant legislation includes the former and current accident compensation legislation.  For example, the Accident Compensation Act </w:t>
      </w:r>
      <w:r w:rsidR="008611A4" w:rsidRPr="003112B5">
        <w:rPr>
          <w:rFonts w:ascii="Arial" w:hAnsi="Arial" w:cs="Arial"/>
          <w:sz w:val="24"/>
          <w:szCs w:val="24"/>
        </w:rPr>
        <w:t xml:space="preserve">2001 </w:t>
      </w:r>
      <w:r w:rsidRPr="003112B5">
        <w:rPr>
          <w:rFonts w:ascii="Arial" w:hAnsi="Arial" w:cs="Arial"/>
          <w:sz w:val="24"/>
          <w:szCs w:val="24"/>
        </w:rPr>
        <w:t>provides cover on the conditions set out in that Act for “mental injury” caused by certain criminal acts, including sexual offences.</w:t>
      </w:r>
      <w:r w:rsidRPr="003112B5">
        <w:rPr>
          <w:rStyle w:val="FootnoteReference"/>
          <w:rFonts w:ascii="Arial" w:hAnsi="Arial" w:cs="Arial"/>
          <w:sz w:val="24"/>
          <w:szCs w:val="24"/>
        </w:rPr>
        <w:footnoteReference w:id="79"/>
      </w:r>
      <w:r w:rsidRPr="003112B5">
        <w:rPr>
          <w:rFonts w:ascii="Arial" w:hAnsi="Arial" w:cs="Arial"/>
          <w:sz w:val="24"/>
          <w:szCs w:val="24"/>
        </w:rPr>
        <w:t xml:space="preserve">  A person who has cover may access entitlements including rehabilitation and compensation, subject to meeting eligibility conditions.</w:t>
      </w:r>
      <w:r w:rsidRPr="003112B5">
        <w:rPr>
          <w:rStyle w:val="FootnoteReference"/>
          <w:rFonts w:ascii="Arial" w:hAnsi="Arial" w:cs="Arial"/>
          <w:sz w:val="24"/>
          <w:szCs w:val="24"/>
        </w:rPr>
        <w:footnoteReference w:id="80"/>
      </w:r>
      <w:r w:rsidR="00F631A0" w:rsidRPr="003112B5">
        <w:rPr>
          <w:rFonts w:ascii="Arial" w:hAnsi="Arial" w:cs="Arial"/>
          <w:sz w:val="24"/>
          <w:szCs w:val="24"/>
        </w:rPr>
        <w:t xml:space="preserve">  </w:t>
      </w:r>
      <w:r w:rsidR="000D193C" w:rsidRPr="003112B5">
        <w:rPr>
          <w:rFonts w:ascii="Arial" w:hAnsi="Arial" w:cs="Arial"/>
          <w:sz w:val="24"/>
          <w:szCs w:val="24"/>
        </w:rPr>
        <w:t xml:space="preserve">If a person has cover, he or she may not take a case seeking </w:t>
      </w:r>
      <w:r w:rsidR="00865ED4">
        <w:rPr>
          <w:rFonts w:ascii="Arial" w:hAnsi="Arial" w:cs="Arial"/>
          <w:sz w:val="24"/>
          <w:szCs w:val="24"/>
        </w:rPr>
        <w:t xml:space="preserve">compensatory damages </w:t>
      </w:r>
      <w:r w:rsidR="000D193C" w:rsidRPr="003112B5">
        <w:rPr>
          <w:rFonts w:ascii="Arial" w:hAnsi="Arial" w:cs="Arial"/>
          <w:sz w:val="24"/>
          <w:szCs w:val="24"/>
        </w:rPr>
        <w:t>for the injury outside of the accident compensation scheme.</w:t>
      </w:r>
      <w:r w:rsidR="000D193C" w:rsidRPr="003112B5">
        <w:rPr>
          <w:rStyle w:val="FootnoteReference"/>
          <w:rFonts w:ascii="Arial" w:hAnsi="Arial" w:cs="Arial"/>
          <w:sz w:val="24"/>
          <w:szCs w:val="24"/>
        </w:rPr>
        <w:footnoteReference w:id="81"/>
      </w:r>
      <w:r w:rsidR="000D193C" w:rsidRPr="003112B5">
        <w:rPr>
          <w:rFonts w:ascii="Arial" w:hAnsi="Arial" w:cs="Arial"/>
          <w:sz w:val="24"/>
          <w:szCs w:val="24"/>
        </w:rPr>
        <w:t xml:space="preserve"> </w:t>
      </w:r>
    </w:p>
    <w:p w14:paraId="09C8B775" w14:textId="7021F579" w:rsidR="001D4619" w:rsidRPr="003112B5" w:rsidRDefault="001D4619" w:rsidP="009B691C">
      <w:pPr>
        <w:spacing w:after="0" w:line="240" w:lineRule="auto"/>
        <w:rPr>
          <w:rFonts w:ascii="Arial" w:hAnsi="Arial" w:cs="Arial"/>
          <w:b/>
          <w:bCs/>
          <w:i/>
          <w:iCs/>
          <w:sz w:val="24"/>
          <w:szCs w:val="24"/>
        </w:rPr>
      </w:pPr>
      <w:r w:rsidRPr="003112B5">
        <w:rPr>
          <w:rFonts w:ascii="Arial" w:hAnsi="Arial" w:cs="Arial"/>
          <w:b/>
          <w:bCs/>
          <w:i/>
          <w:iCs/>
          <w:sz w:val="24"/>
          <w:szCs w:val="24"/>
        </w:rPr>
        <w:t>Common law</w:t>
      </w:r>
    </w:p>
    <w:p w14:paraId="7432B6D4" w14:textId="77777777" w:rsidR="001D4619" w:rsidRPr="003112B5" w:rsidRDefault="001D4619" w:rsidP="009B691C">
      <w:pPr>
        <w:spacing w:after="0" w:line="240" w:lineRule="auto"/>
        <w:rPr>
          <w:rFonts w:ascii="Arial" w:hAnsi="Arial" w:cs="Arial"/>
          <w:sz w:val="24"/>
          <w:szCs w:val="24"/>
        </w:rPr>
      </w:pPr>
    </w:p>
    <w:p w14:paraId="6E140D0F" w14:textId="58C1645F" w:rsidR="00933270" w:rsidRPr="003112B5" w:rsidRDefault="001D4619"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Many of the rights affirmed in the NZBORA “have long been recognised by the common law”.</w:t>
      </w:r>
      <w:r w:rsidRPr="003112B5">
        <w:rPr>
          <w:rStyle w:val="FootnoteReference"/>
          <w:rFonts w:ascii="Arial" w:hAnsi="Arial" w:cs="Arial"/>
          <w:sz w:val="24"/>
          <w:szCs w:val="24"/>
        </w:rPr>
        <w:footnoteReference w:id="82"/>
      </w:r>
      <w:r w:rsidRPr="003112B5">
        <w:rPr>
          <w:rFonts w:ascii="Arial" w:hAnsi="Arial" w:cs="Arial"/>
          <w:sz w:val="24"/>
          <w:szCs w:val="24"/>
        </w:rPr>
        <w:t xml:space="preserve">  This means that before the NZBORA’s enactment, rights now affirmed in it could be upheld by using the common law.  </w:t>
      </w:r>
      <w:r w:rsidR="00863E76" w:rsidRPr="003112B5">
        <w:rPr>
          <w:rFonts w:ascii="Arial" w:hAnsi="Arial" w:cs="Arial"/>
          <w:sz w:val="24"/>
          <w:szCs w:val="24"/>
        </w:rPr>
        <w:t xml:space="preserve">The same applies following the NZBORA’s enactment.  </w:t>
      </w:r>
      <w:r w:rsidRPr="003112B5">
        <w:rPr>
          <w:rFonts w:ascii="Arial" w:hAnsi="Arial" w:cs="Arial"/>
          <w:sz w:val="24"/>
          <w:szCs w:val="24"/>
        </w:rPr>
        <w:t>Further, in many cases where a breach</w:t>
      </w:r>
      <w:r w:rsidR="000C0794" w:rsidRPr="003112B5">
        <w:rPr>
          <w:rFonts w:ascii="Arial" w:hAnsi="Arial" w:cs="Arial"/>
          <w:sz w:val="24"/>
          <w:szCs w:val="24"/>
        </w:rPr>
        <w:t xml:space="preserve"> (i.e. </w:t>
      </w:r>
      <w:r w:rsidR="00C71971" w:rsidRPr="003112B5">
        <w:rPr>
          <w:rFonts w:ascii="Arial" w:hAnsi="Arial" w:cs="Arial"/>
          <w:sz w:val="24"/>
          <w:szCs w:val="24"/>
        </w:rPr>
        <w:t>violation</w:t>
      </w:r>
      <w:r w:rsidR="000C0794" w:rsidRPr="003112B5">
        <w:rPr>
          <w:rFonts w:ascii="Arial" w:hAnsi="Arial" w:cs="Arial"/>
          <w:sz w:val="24"/>
          <w:szCs w:val="24"/>
        </w:rPr>
        <w:t>)</w:t>
      </w:r>
      <w:r w:rsidRPr="003112B5">
        <w:rPr>
          <w:rFonts w:ascii="Arial" w:hAnsi="Arial" w:cs="Arial"/>
          <w:sz w:val="24"/>
          <w:szCs w:val="24"/>
        </w:rPr>
        <w:t xml:space="preserve"> of the NZBORA can be shown, there will also be a claim in part of the common law known as tort law.</w:t>
      </w:r>
      <w:r w:rsidRPr="003112B5">
        <w:rPr>
          <w:rStyle w:val="FootnoteReference"/>
          <w:rFonts w:ascii="Arial" w:hAnsi="Arial" w:cs="Arial"/>
          <w:sz w:val="24"/>
          <w:szCs w:val="24"/>
        </w:rPr>
        <w:footnoteReference w:id="83"/>
      </w:r>
      <w:r w:rsidRPr="003112B5">
        <w:rPr>
          <w:rFonts w:ascii="Arial" w:hAnsi="Arial" w:cs="Arial"/>
          <w:sz w:val="24"/>
          <w:szCs w:val="24"/>
        </w:rPr>
        <w:t xml:space="preserve">  </w:t>
      </w:r>
    </w:p>
    <w:p w14:paraId="32E02730" w14:textId="42C52FE2" w:rsidR="00933270" w:rsidRPr="003112B5" w:rsidRDefault="00A76788" w:rsidP="009B691C">
      <w:pPr>
        <w:spacing w:after="0" w:line="240" w:lineRule="auto"/>
        <w:rPr>
          <w:rFonts w:ascii="Arial" w:hAnsi="Arial" w:cs="Arial"/>
          <w:b/>
          <w:bCs/>
          <w:i/>
          <w:iCs/>
          <w:sz w:val="24"/>
          <w:szCs w:val="24"/>
        </w:rPr>
      </w:pPr>
      <w:r w:rsidRPr="003112B5">
        <w:rPr>
          <w:rFonts w:ascii="Arial" w:hAnsi="Arial" w:cs="Arial"/>
          <w:b/>
          <w:bCs/>
          <w:i/>
          <w:iCs/>
          <w:sz w:val="24"/>
          <w:szCs w:val="24"/>
        </w:rPr>
        <w:t xml:space="preserve">THE </w:t>
      </w:r>
      <w:r w:rsidR="00933270" w:rsidRPr="003112B5">
        <w:rPr>
          <w:rFonts w:ascii="Arial" w:hAnsi="Arial" w:cs="Arial"/>
          <w:b/>
          <w:bCs/>
          <w:i/>
          <w:iCs/>
          <w:sz w:val="24"/>
          <w:szCs w:val="24"/>
        </w:rPr>
        <w:t>NZBORA</w:t>
      </w:r>
    </w:p>
    <w:p w14:paraId="28A59F3A" w14:textId="77777777" w:rsidR="009B691C" w:rsidRPr="003112B5" w:rsidRDefault="009B691C" w:rsidP="009B691C">
      <w:pPr>
        <w:spacing w:after="0" w:line="240" w:lineRule="auto"/>
        <w:rPr>
          <w:rFonts w:ascii="Arial" w:hAnsi="Arial" w:cs="Arial"/>
          <w:b/>
          <w:bCs/>
          <w:i/>
          <w:iCs/>
          <w:sz w:val="24"/>
          <w:szCs w:val="24"/>
        </w:rPr>
      </w:pPr>
    </w:p>
    <w:p w14:paraId="7A4EED0A" w14:textId="029970C5" w:rsidR="00863E76"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The rights affirmed in the NZBORA can broadly be defined as civil and political rights (e.g. the right not to be deprived of life, not to be subjected to torture or cruel treatment, electoral rights, and freedom of expression, association, and from discrimination).  One of </w:t>
      </w:r>
      <w:r w:rsidR="00710350">
        <w:rPr>
          <w:rFonts w:ascii="Arial" w:hAnsi="Arial" w:cs="Arial"/>
          <w:sz w:val="24"/>
          <w:szCs w:val="24"/>
        </w:rPr>
        <w:t xml:space="preserve">the </w:t>
      </w:r>
      <w:r w:rsidRPr="003112B5">
        <w:rPr>
          <w:rFonts w:ascii="Arial" w:hAnsi="Arial" w:cs="Arial"/>
          <w:sz w:val="24"/>
          <w:szCs w:val="24"/>
        </w:rPr>
        <w:t xml:space="preserve">NZBORA’s purposes is to affirm New Zealand’s commitment to the ICCPR.  However, </w:t>
      </w:r>
      <w:r w:rsidR="00497BA5" w:rsidRPr="003112B5">
        <w:rPr>
          <w:rFonts w:ascii="Arial" w:hAnsi="Arial" w:cs="Arial"/>
          <w:sz w:val="24"/>
          <w:szCs w:val="24"/>
        </w:rPr>
        <w:t xml:space="preserve">a number of </w:t>
      </w:r>
      <w:r w:rsidRPr="003112B5">
        <w:rPr>
          <w:rFonts w:ascii="Arial" w:hAnsi="Arial" w:cs="Arial"/>
          <w:sz w:val="24"/>
          <w:szCs w:val="24"/>
        </w:rPr>
        <w:t xml:space="preserve">rights recognised in the ICCPR are </w:t>
      </w:r>
      <w:r w:rsidR="00497BA5" w:rsidRPr="003112B5">
        <w:rPr>
          <w:rFonts w:ascii="Arial" w:hAnsi="Arial" w:cs="Arial"/>
          <w:sz w:val="24"/>
          <w:szCs w:val="24"/>
        </w:rPr>
        <w:t xml:space="preserve">not </w:t>
      </w:r>
      <w:r w:rsidRPr="003112B5">
        <w:rPr>
          <w:rFonts w:ascii="Arial" w:hAnsi="Arial" w:cs="Arial"/>
          <w:sz w:val="24"/>
          <w:szCs w:val="24"/>
        </w:rPr>
        <w:t>in the NZBORA.</w:t>
      </w:r>
      <w:r w:rsidR="00447AB6" w:rsidRPr="003112B5">
        <w:rPr>
          <w:rStyle w:val="FootnoteReference"/>
          <w:rFonts w:ascii="Arial" w:hAnsi="Arial" w:cs="Arial"/>
          <w:sz w:val="24"/>
          <w:szCs w:val="24"/>
        </w:rPr>
        <w:footnoteReference w:id="84"/>
      </w:r>
      <w:r w:rsidR="00497BA5" w:rsidRPr="003112B5">
        <w:rPr>
          <w:rFonts w:ascii="Arial" w:hAnsi="Arial" w:cs="Arial"/>
          <w:sz w:val="24"/>
          <w:szCs w:val="24"/>
        </w:rPr>
        <w:t xml:space="preserve">  </w:t>
      </w:r>
    </w:p>
    <w:p w14:paraId="0FD2A6B9" w14:textId="38336FF6" w:rsidR="00863E76" w:rsidRPr="003112B5" w:rsidRDefault="00863E76"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lastRenderedPageBreak/>
        <w:t>In</w:t>
      </w:r>
      <w:r w:rsidRPr="003112B5">
        <w:rPr>
          <w:rFonts w:ascii="Arial" w:hAnsi="Arial" w:cs="Arial"/>
          <w:sz w:val="24"/>
          <w:szCs w:val="24"/>
        </w:rPr>
        <w:t xml:space="preserve"> a New </w:t>
      </w:r>
      <w:r w:rsidRPr="003112B5">
        <w:rPr>
          <w:rFonts w:ascii="Arial" w:eastAsia="Times New Roman" w:hAnsi="Arial" w:cs="Arial"/>
          <w:color w:val="000000"/>
          <w:sz w:val="24"/>
          <w:szCs w:val="24"/>
          <w:lang w:eastAsia="en-NZ"/>
        </w:rPr>
        <w:t>Zealand</w:t>
      </w:r>
      <w:r w:rsidRPr="003112B5">
        <w:rPr>
          <w:rFonts w:ascii="Arial" w:hAnsi="Arial" w:cs="Arial"/>
          <w:sz w:val="24"/>
          <w:szCs w:val="24"/>
        </w:rPr>
        <w:t xml:space="preserve"> Supreme Court case, </w:t>
      </w:r>
      <w:r w:rsidRPr="003112B5">
        <w:rPr>
          <w:rFonts w:ascii="Arial" w:hAnsi="Arial" w:cs="Arial"/>
          <w:i/>
          <w:iCs/>
          <w:sz w:val="24"/>
          <w:szCs w:val="24"/>
        </w:rPr>
        <w:t>Taunoa v Attorney</w:t>
      </w:r>
      <w:r w:rsidR="00007B7A" w:rsidRPr="003112B5">
        <w:rPr>
          <w:rFonts w:ascii="Arial" w:hAnsi="Arial" w:cs="Arial"/>
          <w:i/>
          <w:iCs/>
          <w:sz w:val="24"/>
          <w:szCs w:val="24"/>
        </w:rPr>
        <w:t>-</w:t>
      </w:r>
      <w:r w:rsidRPr="003112B5">
        <w:rPr>
          <w:rFonts w:ascii="Arial" w:hAnsi="Arial" w:cs="Arial"/>
          <w:i/>
          <w:iCs/>
          <w:sz w:val="24"/>
          <w:szCs w:val="24"/>
        </w:rPr>
        <w:t>General</w:t>
      </w:r>
      <w:r w:rsidRPr="003112B5">
        <w:rPr>
          <w:rFonts w:ascii="Arial" w:hAnsi="Arial" w:cs="Arial"/>
          <w:sz w:val="24"/>
          <w:szCs w:val="24"/>
        </w:rPr>
        <w:t>,</w:t>
      </w:r>
      <w:r w:rsidR="008D02A1">
        <w:rPr>
          <w:rStyle w:val="FootnoteReference"/>
          <w:rFonts w:ascii="Arial" w:hAnsi="Arial" w:cs="Arial"/>
          <w:sz w:val="24"/>
          <w:szCs w:val="24"/>
        </w:rPr>
        <w:footnoteReference w:id="85"/>
      </w:r>
      <w:r w:rsidRPr="003112B5">
        <w:rPr>
          <w:rFonts w:ascii="Arial" w:hAnsi="Arial" w:cs="Arial"/>
          <w:sz w:val="24"/>
          <w:szCs w:val="24"/>
        </w:rPr>
        <w:t xml:space="preserve"> Justice Blanchard stated that in some cases a New Zealand Court “may consider it appropriate to require of New Zealand authorities a higher standard of behaviour than might have been required” under, for example, the ICCPR.  Justice Blanchard considered that in New Zealand “more may be required of persons in authority than adherence to minimum standards that can realistically be applied and enforced internationally.”</w:t>
      </w:r>
      <w:r w:rsidRPr="003112B5">
        <w:rPr>
          <w:rStyle w:val="FootnoteReference"/>
          <w:rFonts w:ascii="Arial" w:hAnsi="Arial" w:cs="Arial"/>
          <w:sz w:val="24"/>
          <w:szCs w:val="24"/>
        </w:rPr>
        <w:footnoteReference w:id="86"/>
      </w:r>
    </w:p>
    <w:p w14:paraId="7EB8DDD9" w14:textId="55D15145"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Although there is no express power to grant remedies in the NZBORA, the Courts have determined that they have this power when a breach has been demonstrated.</w:t>
      </w:r>
      <w:r w:rsidRPr="003112B5">
        <w:rPr>
          <w:rStyle w:val="FootnoteReference"/>
          <w:rFonts w:ascii="Arial" w:hAnsi="Arial" w:cs="Arial"/>
          <w:sz w:val="24"/>
          <w:szCs w:val="24"/>
        </w:rPr>
        <w:footnoteReference w:id="87"/>
      </w:r>
      <w:r w:rsidRPr="003112B5">
        <w:rPr>
          <w:rFonts w:ascii="Arial" w:hAnsi="Arial" w:cs="Arial"/>
          <w:sz w:val="24"/>
          <w:szCs w:val="24"/>
        </w:rPr>
        <w:t xml:space="preserve">  In deciding what remedies to grant in a particular case, relevant considerations include what is required to vindicate (i.e. uphold and defend) the right</w:t>
      </w:r>
      <w:r w:rsidR="004143C8" w:rsidRPr="003112B5">
        <w:rPr>
          <w:rFonts w:ascii="Arial" w:hAnsi="Arial" w:cs="Arial"/>
          <w:sz w:val="24"/>
          <w:szCs w:val="24"/>
        </w:rPr>
        <w:t>, what is a proportionate response to the breach, and what is required to repair or compensate for the resulting harm (i.e. what is an effective remedy)</w:t>
      </w:r>
      <w:r w:rsidR="00521688" w:rsidRPr="003112B5">
        <w:rPr>
          <w:rFonts w:ascii="Arial" w:hAnsi="Arial" w:cs="Arial"/>
          <w:sz w:val="24"/>
          <w:szCs w:val="24"/>
        </w:rPr>
        <w:t>.</w:t>
      </w:r>
      <w:r w:rsidRPr="003112B5">
        <w:rPr>
          <w:rStyle w:val="FootnoteReference"/>
          <w:rFonts w:ascii="Arial" w:hAnsi="Arial" w:cs="Arial"/>
          <w:sz w:val="24"/>
          <w:szCs w:val="24"/>
        </w:rPr>
        <w:footnoteReference w:id="88"/>
      </w:r>
      <w:r w:rsidRPr="003112B5">
        <w:rPr>
          <w:rFonts w:ascii="Arial" w:hAnsi="Arial" w:cs="Arial"/>
          <w:sz w:val="24"/>
          <w:szCs w:val="24"/>
        </w:rPr>
        <w:t xml:space="preserve">  </w:t>
      </w:r>
    </w:p>
    <w:p w14:paraId="52AB3C3B" w14:textId="0BE81AFD"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A brief summary of remedies </w:t>
      </w:r>
      <w:r w:rsidR="000F54EF" w:rsidRPr="003112B5">
        <w:rPr>
          <w:rFonts w:ascii="Arial" w:hAnsi="Arial" w:cs="Arial"/>
          <w:sz w:val="24"/>
          <w:szCs w:val="24"/>
        </w:rPr>
        <w:t xml:space="preserve">that may be awarded </w:t>
      </w:r>
      <w:r w:rsidRPr="003112B5">
        <w:rPr>
          <w:rFonts w:ascii="Arial" w:hAnsi="Arial" w:cs="Arial"/>
          <w:sz w:val="24"/>
          <w:szCs w:val="24"/>
        </w:rPr>
        <w:t xml:space="preserve">follows. </w:t>
      </w:r>
    </w:p>
    <w:p w14:paraId="42A8A26C" w14:textId="1518C725" w:rsidR="00933270" w:rsidRPr="003112B5" w:rsidRDefault="00933270" w:rsidP="009B691C">
      <w:pPr>
        <w:spacing w:after="0" w:line="240" w:lineRule="auto"/>
        <w:rPr>
          <w:rFonts w:ascii="Arial" w:hAnsi="Arial" w:cs="Arial"/>
          <w:i/>
          <w:iCs/>
          <w:sz w:val="24"/>
          <w:szCs w:val="24"/>
        </w:rPr>
      </w:pPr>
      <w:r w:rsidRPr="003112B5">
        <w:rPr>
          <w:rFonts w:ascii="Arial" w:hAnsi="Arial" w:cs="Arial"/>
          <w:i/>
          <w:iCs/>
          <w:sz w:val="24"/>
          <w:szCs w:val="24"/>
        </w:rPr>
        <w:t>Compensation</w:t>
      </w:r>
    </w:p>
    <w:p w14:paraId="4F1C836F" w14:textId="13EB27D9" w:rsidR="00933270" w:rsidRPr="003112B5" w:rsidRDefault="00933270" w:rsidP="002C3966">
      <w:pPr>
        <w:spacing w:after="0" w:line="240" w:lineRule="auto"/>
        <w:ind w:left="567"/>
        <w:rPr>
          <w:rFonts w:ascii="Arial" w:hAnsi="Arial" w:cs="Arial"/>
          <w:sz w:val="24"/>
          <w:szCs w:val="24"/>
        </w:rPr>
      </w:pPr>
    </w:p>
    <w:p w14:paraId="2A9325CD" w14:textId="5A279DFB" w:rsidR="00965B93"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t>Compensation</w:t>
      </w:r>
      <w:r w:rsidRPr="003112B5">
        <w:rPr>
          <w:rFonts w:ascii="Arial" w:hAnsi="Arial" w:cs="Arial"/>
          <w:sz w:val="24"/>
          <w:szCs w:val="24"/>
        </w:rPr>
        <w:t xml:space="preserve"> may be awarded for breach</w:t>
      </w:r>
      <w:r w:rsidR="000F54EF" w:rsidRPr="003112B5">
        <w:rPr>
          <w:rFonts w:ascii="Arial" w:hAnsi="Arial" w:cs="Arial"/>
          <w:sz w:val="24"/>
          <w:szCs w:val="24"/>
        </w:rPr>
        <w:t xml:space="preserve"> of the NZBORA</w:t>
      </w:r>
      <w:r w:rsidRPr="003112B5">
        <w:rPr>
          <w:rFonts w:ascii="Arial" w:hAnsi="Arial" w:cs="Arial"/>
          <w:sz w:val="24"/>
          <w:szCs w:val="24"/>
        </w:rPr>
        <w:t>, at the Court’s discretion (i.e. it is not available as of right).</w:t>
      </w:r>
      <w:r w:rsidRPr="003112B5">
        <w:rPr>
          <w:rStyle w:val="FootnoteReference"/>
          <w:rFonts w:ascii="Arial" w:hAnsi="Arial" w:cs="Arial"/>
          <w:sz w:val="24"/>
          <w:szCs w:val="24"/>
        </w:rPr>
        <w:footnoteReference w:id="89"/>
      </w:r>
      <w:r w:rsidRPr="003112B5">
        <w:rPr>
          <w:rFonts w:ascii="Arial" w:hAnsi="Arial" w:cs="Arial"/>
          <w:sz w:val="24"/>
          <w:szCs w:val="24"/>
        </w:rPr>
        <w:t xml:space="preserve">  </w:t>
      </w:r>
    </w:p>
    <w:p w14:paraId="6B8FACD6" w14:textId="5AF9DE61" w:rsidR="00861685" w:rsidRPr="003112B5" w:rsidRDefault="00861685"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t>Whether</w:t>
      </w:r>
      <w:r w:rsidRPr="003112B5">
        <w:rPr>
          <w:rFonts w:ascii="Arial" w:hAnsi="Arial" w:cs="Arial"/>
          <w:sz w:val="24"/>
          <w:szCs w:val="24"/>
        </w:rPr>
        <w:t xml:space="preserve"> compensation is granted and how much will depend to a large extent on the facts of the case.</w:t>
      </w:r>
      <w:r w:rsidRPr="003112B5">
        <w:rPr>
          <w:rStyle w:val="FootnoteReference"/>
          <w:rFonts w:ascii="Arial" w:hAnsi="Arial" w:cs="Arial"/>
          <w:sz w:val="24"/>
          <w:szCs w:val="24"/>
        </w:rPr>
        <w:footnoteReference w:id="90"/>
      </w:r>
      <w:r w:rsidRPr="003112B5">
        <w:rPr>
          <w:rFonts w:ascii="Arial" w:hAnsi="Arial" w:cs="Arial"/>
          <w:sz w:val="24"/>
          <w:szCs w:val="24"/>
        </w:rPr>
        <w:t xml:space="preserve">  </w:t>
      </w:r>
      <w:r w:rsidR="00965B93" w:rsidRPr="003112B5">
        <w:rPr>
          <w:rFonts w:ascii="Arial" w:hAnsi="Arial" w:cs="Arial"/>
          <w:sz w:val="24"/>
          <w:szCs w:val="24"/>
        </w:rPr>
        <w:t>The Court will not award compensation if it considers that non-monetary remedies, such as a declaration or exclusion of evidence, provide sufficient vindication in all the circumstances.</w:t>
      </w:r>
      <w:r w:rsidR="00965B93" w:rsidRPr="003112B5">
        <w:rPr>
          <w:rStyle w:val="FootnoteReference"/>
          <w:rFonts w:ascii="Arial" w:hAnsi="Arial" w:cs="Arial"/>
          <w:sz w:val="24"/>
          <w:szCs w:val="24"/>
        </w:rPr>
        <w:footnoteReference w:id="91"/>
      </w:r>
      <w:r w:rsidR="00965B93" w:rsidRPr="003112B5">
        <w:rPr>
          <w:rFonts w:ascii="Arial" w:hAnsi="Arial" w:cs="Arial"/>
          <w:sz w:val="24"/>
          <w:szCs w:val="24"/>
        </w:rPr>
        <w:t xml:space="preserve">  If compensation is awarded, it is generally likely to be “moderate.”</w:t>
      </w:r>
      <w:r w:rsidR="00965B93" w:rsidRPr="003112B5">
        <w:rPr>
          <w:rStyle w:val="FootnoteReference"/>
          <w:rFonts w:ascii="Arial" w:hAnsi="Arial" w:cs="Arial"/>
          <w:sz w:val="24"/>
          <w:szCs w:val="24"/>
        </w:rPr>
        <w:footnoteReference w:id="92"/>
      </w:r>
      <w:r w:rsidR="00965B93" w:rsidRPr="003112B5">
        <w:rPr>
          <w:rFonts w:ascii="Arial" w:hAnsi="Arial" w:cs="Arial"/>
          <w:sz w:val="24"/>
          <w:szCs w:val="24"/>
        </w:rPr>
        <w:t xml:space="preserve">  </w:t>
      </w:r>
    </w:p>
    <w:p w14:paraId="6EE41608" w14:textId="0024B94F" w:rsidR="007752A8"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t>Matters</w:t>
      </w:r>
      <w:r w:rsidRPr="003112B5">
        <w:rPr>
          <w:rFonts w:ascii="Arial" w:hAnsi="Arial" w:cs="Arial"/>
          <w:sz w:val="24"/>
          <w:szCs w:val="24"/>
        </w:rPr>
        <w:t xml:space="preserve"> relevant to whether compensation is awarded once a breach is shown, and how much, include which right has been breached, the seriousness of the breach, the harm caused by it, and any other remedies </w:t>
      </w:r>
      <w:r w:rsidRPr="008D02A1">
        <w:rPr>
          <w:rFonts w:ascii="Arial" w:hAnsi="Arial" w:cs="Arial"/>
          <w:sz w:val="24"/>
          <w:szCs w:val="24"/>
        </w:rPr>
        <w:t>the</w:t>
      </w:r>
      <w:r w:rsidR="00E274BE">
        <w:rPr>
          <w:rFonts w:ascii="Arial" w:hAnsi="Arial" w:cs="Arial"/>
          <w:sz w:val="24"/>
          <w:szCs w:val="24"/>
        </w:rPr>
        <w:t xml:space="preserve"> victim</w:t>
      </w:r>
      <w:r w:rsidR="00E93107">
        <w:rPr>
          <w:rFonts w:ascii="Arial" w:hAnsi="Arial" w:cs="Arial"/>
          <w:sz w:val="24"/>
          <w:szCs w:val="24"/>
        </w:rPr>
        <w:t>/survivor</w:t>
      </w:r>
      <w:r w:rsidRPr="008D02A1">
        <w:rPr>
          <w:rFonts w:ascii="Arial" w:hAnsi="Arial" w:cs="Arial"/>
          <w:sz w:val="24"/>
          <w:szCs w:val="24"/>
        </w:rPr>
        <w:t xml:space="preserve"> has</w:t>
      </w:r>
      <w:r w:rsidRPr="003112B5">
        <w:rPr>
          <w:rFonts w:ascii="Arial" w:hAnsi="Arial" w:cs="Arial"/>
          <w:sz w:val="24"/>
          <w:szCs w:val="24"/>
        </w:rPr>
        <w:t xml:space="preserve"> been awarded.</w:t>
      </w:r>
      <w:r w:rsidRPr="003112B5">
        <w:rPr>
          <w:rStyle w:val="FootnoteReference"/>
          <w:rFonts w:ascii="Arial" w:hAnsi="Arial" w:cs="Arial"/>
          <w:sz w:val="24"/>
          <w:szCs w:val="24"/>
        </w:rPr>
        <w:footnoteReference w:id="93"/>
      </w:r>
      <w:r w:rsidRPr="003112B5">
        <w:rPr>
          <w:rFonts w:ascii="Arial" w:hAnsi="Arial" w:cs="Arial"/>
          <w:sz w:val="24"/>
          <w:szCs w:val="24"/>
        </w:rPr>
        <w:t xml:space="preserve">  </w:t>
      </w:r>
    </w:p>
    <w:p w14:paraId="79B431FE" w14:textId="798A5703" w:rsidR="007752A8" w:rsidRPr="003112B5" w:rsidRDefault="000F54EF"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The way the defendant has responded may also be relevant.  </w:t>
      </w:r>
      <w:r w:rsidR="00863E76" w:rsidRPr="003112B5">
        <w:rPr>
          <w:rFonts w:ascii="Arial" w:hAnsi="Arial" w:cs="Arial"/>
          <w:sz w:val="24"/>
          <w:szCs w:val="24"/>
        </w:rPr>
        <w:t xml:space="preserve">In </w:t>
      </w:r>
      <w:r w:rsidR="00863E76" w:rsidRPr="003112B5">
        <w:rPr>
          <w:rFonts w:ascii="Arial" w:hAnsi="Arial" w:cs="Arial"/>
          <w:i/>
          <w:iCs/>
          <w:sz w:val="24"/>
          <w:szCs w:val="24"/>
        </w:rPr>
        <w:t>Taunoa</w:t>
      </w:r>
      <w:r w:rsidR="00863E76" w:rsidRPr="003112B5">
        <w:rPr>
          <w:rFonts w:ascii="Arial" w:hAnsi="Arial" w:cs="Arial"/>
          <w:sz w:val="24"/>
          <w:szCs w:val="24"/>
        </w:rPr>
        <w:t xml:space="preserve">, </w:t>
      </w:r>
      <w:r w:rsidRPr="003112B5">
        <w:rPr>
          <w:rFonts w:ascii="Arial" w:hAnsi="Arial" w:cs="Arial"/>
          <w:sz w:val="24"/>
          <w:szCs w:val="24"/>
        </w:rPr>
        <w:t xml:space="preserve">Justice Blanchard considered </w:t>
      </w:r>
      <w:r w:rsidR="00113EA5" w:rsidRPr="003112B5">
        <w:rPr>
          <w:rFonts w:ascii="Arial" w:hAnsi="Arial" w:cs="Arial"/>
          <w:sz w:val="24"/>
          <w:szCs w:val="24"/>
        </w:rPr>
        <w:t xml:space="preserve">the following factors may impact on how much should be awarded as compensation: </w:t>
      </w:r>
      <w:r w:rsidRPr="003112B5">
        <w:rPr>
          <w:rFonts w:ascii="Arial" w:hAnsi="Arial" w:cs="Arial"/>
          <w:sz w:val="24"/>
          <w:szCs w:val="24"/>
        </w:rPr>
        <w:t xml:space="preserve">whether </w:t>
      </w:r>
      <w:r w:rsidR="007752A8" w:rsidRPr="003112B5">
        <w:rPr>
          <w:rFonts w:ascii="Arial" w:hAnsi="Arial" w:cs="Arial"/>
          <w:sz w:val="24"/>
          <w:szCs w:val="24"/>
        </w:rPr>
        <w:t xml:space="preserve">the State had acknowledged the breach, whether and how quickly it had ended the breach and implemented measures to </w:t>
      </w:r>
      <w:r w:rsidR="007752A8" w:rsidRPr="003112B5">
        <w:rPr>
          <w:rFonts w:ascii="Arial" w:hAnsi="Arial" w:cs="Arial"/>
          <w:sz w:val="24"/>
          <w:szCs w:val="24"/>
        </w:rPr>
        <w:lastRenderedPageBreak/>
        <w:t xml:space="preserve">avoid repetition, and whether it had apologised appropriately </w:t>
      </w:r>
      <w:r w:rsidR="00863E76" w:rsidRPr="003112B5">
        <w:rPr>
          <w:rFonts w:ascii="Arial" w:hAnsi="Arial" w:cs="Arial"/>
          <w:sz w:val="24"/>
          <w:szCs w:val="24"/>
        </w:rPr>
        <w:t xml:space="preserve">and publicly </w:t>
      </w:r>
      <w:r w:rsidR="007752A8" w:rsidRPr="003112B5">
        <w:rPr>
          <w:rFonts w:ascii="Arial" w:hAnsi="Arial" w:cs="Arial"/>
          <w:sz w:val="24"/>
          <w:szCs w:val="24"/>
        </w:rPr>
        <w:t xml:space="preserve">to the </w:t>
      </w:r>
      <w:r w:rsidR="00E274BE">
        <w:rPr>
          <w:rFonts w:ascii="Arial" w:hAnsi="Arial" w:cs="Arial"/>
          <w:sz w:val="24"/>
          <w:szCs w:val="24"/>
        </w:rPr>
        <w:t>victim</w:t>
      </w:r>
      <w:r w:rsidR="007752A8" w:rsidRPr="008D02A1">
        <w:rPr>
          <w:rFonts w:ascii="Arial" w:hAnsi="Arial" w:cs="Arial"/>
          <w:sz w:val="24"/>
          <w:szCs w:val="24"/>
        </w:rPr>
        <w:t>.</w:t>
      </w:r>
      <w:r w:rsidR="007752A8" w:rsidRPr="003112B5">
        <w:rPr>
          <w:rStyle w:val="FootnoteReference"/>
          <w:rFonts w:ascii="Arial" w:hAnsi="Arial" w:cs="Arial"/>
          <w:sz w:val="24"/>
          <w:szCs w:val="24"/>
        </w:rPr>
        <w:footnoteReference w:id="94"/>
      </w:r>
    </w:p>
    <w:p w14:paraId="77BAF05E" w14:textId="081DECD0" w:rsidR="007752A8"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t>No</w:t>
      </w:r>
      <w:r w:rsidRPr="003112B5">
        <w:rPr>
          <w:rFonts w:ascii="Arial" w:hAnsi="Arial" w:cs="Arial"/>
          <w:sz w:val="24"/>
          <w:szCs w:val="24"/>
        </w:rPr>
        <w:t xml:space="preserve"> compensation may be awarded for harm which is covered by the accident compensation legislation.</w:t>
      </w:r>
      <w:r w:rsidRPr="003112B5">
        <w:rPr>
          <w:rStyle w:val="FootnoteReference"/>
          <w:rFonts w:ascii="Arial" w:hAnsi="Arial" w:cs="Arial"/>
          <w:sz w:val="24"/>
          <w:szCs w:val="24"/>
        </w:rPr>
        <w:footnoteReference w:id="95"/>
      </w:r>
      <w:r w:rsidRPr="003112B5">
        <w:rPr>
          <w:rFonts w:ascii="Arial" w:hAnsi="Arial" w:cs="Arial"/>
          <w:sz w:val="24"/>
          <w:szCs w:val="24"/>
        </w:rPr>
        <w:t xml:space="preserve">  Where a breach of the NZBORA has resulted in covered personal injury, compensation may only be awarded for “the affront” to the right, not for the breach’s physical consequences</w:t>
      </w:r>
      <w:r w:rsidR="008D02A1">
        <w:rPr>
          <w:rFonts w:ascii="Arial" w:hAnsi="Arial" w:cs="Arial"/>
          <w:sz w:val="24"/>
          <w:szCs w:val="24"/>
        </w:rPr>
        <w:t xml:space="preserve"> (or for any other covered consequence including </w:t>
      </w:r>
      <w:r w:rsidR="003C4794">
        <w:rPr>
          <w:rFonts w:ascii="Arial" w:hAnsi="Arial" w:cs="Arial"/>
          <w:sz w:val="24"/>
          <w:szCs w:val="24"/>
        </w:rPr>
        <w:t>“</w:t>
      </w:r>
      <w:r w:rsidR="008D02A1">
        <w:rPr>
          <w:rFonts w:ascii="Arial" w:hAnsi="Arial" w:cs="Arial"/>
          <w:sz w:val="24"/>
          <w:szCs w:val="24"/>
        </w:rPr>
        <w:t>mental injury</w:t>
      </w:r>
      <w:r w:rsidR="003C4794">
        <w:rPr>
          <w:rFonts w:ascii="Arial" w:hAnsi="Arial" w:cs="Arial"/>
          <w:sz w:val="24"/>
          <w:szCs w:val="24"/>
        </w:rPr>
        <w:t>”</w:t>
      </w:r>
      <w:r w:rsidR="008D02A1">
        <w:rPr>
          <w:rFonts w:ascii="Arial" w:hAnsi="Arial" w:cs="Arial"/>
          <w:sz w:val="24"/>
          <w:szCs w:val="24"/>
        </w:rPr>
        <w:t xml:space="preserve"> as defined in the accident compensation legislation)</w:t>
      </w:r>
      <w:r w:rsidRPr="003112B5">
        <w:rPr>
          <w:rFonts w:ascii="Arial" w:hAnsi="Arial" w:cs="Arial"/>
          <w:sz w:val="24"/>
          <w:szCs w:val="24"/>
        </w:rPr>
        <w:t>.</w:t>
      </w:r>
      <w:r w:rsidRPr="003112B5">
        <w:rPr>
          <w:rStyle w:val="FootnoteReference"/>
          <w:rFonts w:ascii="Arial" w:hAnsi="Arial" w:cs="Arial"/>
          <w:sz w:val="24"/>
          <w:szCs w:val="24"/>
        </w:rPr>
        <w:footnoteReference w:id="96"/>
      </w:r>
      <w:r w:rsidRPr="003112B5">
        <w:rPr>
          <w:rFonts w:ascii="Arial" w:hAnsi="Arial" w:cs="Arial"/>
          <w:sz w:val="24"/>
          <w:szCs w:val="24"/>
        </w:rPr>
        <w:t xml:space="preserve"> </w:t>
      </w:r>
    </w:p>
    <w:p w14:paraId="5CDA0E78" w14:textId="14C24011"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t>NZBORA</w:t>
      </w:r>
      <w:r w:rsidRPr="003112B5">
        <w:rPr>
          <w:rFonts w:ascii="Arial" w:hAnsi="Arial" w:cs="Arial"/>
          <w:sz w:val="24"/>
          <w:szCs w:val="24"/>
        </w:rPr>
        <w:t xml:space="preserve"> compensation may be awarded for “all the usual heads of loss recognised by the civil law”.</w:t>
      </w:r>
      <w:r w:rsidRPr="003112B5">
        <w:rPr>
          <w:rStyle w:val="FootnoteReference"/>
          <w:rFonts w:ascii="Arial" w:hAnsi="Arial" w:cs="Arial"/>
          <w:sz w:val="24"/>
          <w:szCs w:val="24"/>
        </w:rPr>
        <w:footnoteReference w:id="97"/>
      </w:r>
      <w:r w:rsidRPr="003112B5">
        <w:rPr>
          <w:rFonts w:ascii="Arial" w:hAnsi="Arial" w:cs="Arial"/>
          <w:sz w:val="24"/>
          <w:szCs w:val="24"/>
        </w:rPr>
        <w:t xml:space="preserve">  </w:t>
      </w:r>
      <w:r w:rsidR="005E1EFC" w:rsidRPr="003112B5">
        <w:rPr>
          <w:rFonts w:ascii="Arial" w:hAnsi="Arial" w:cs="Arial"/>
          <w:sz w:val="24"/>
          <w:szCs w:val="24"/>
        </w:rPr>
        <w:t>F</w:t>
      </w:r>
      <w:r w:rsidRPr="003112B5">
        <w:rPr>
          <w:rFonts w:ascii="Arial" w:hAnsi="Arial" w:cs="Arial"/>
          <w:sz w:val="24"/>
          <w:szCs w:val="24"/>
        </w:rPr>
        <w:t>inancial and non-financial loss</w:t>
      </w:r>
      <w:r w:rsidR="005E1EFC" w:rsidRPr="003112B5">
        <w:rPr>
          <w:rFonts w:ascii="Arial" w:hAnsi="Arial" w:cs="Arial"/>
          <w:sz w:val="24"/>
          <w:szCs w:val="24"/>
        </w:rPr>
        <w:t xml:space="preserve"> may be compensated for</w:t>
      </w:r>
      <w:r w:rsidRPr="003112B5">
        <w:rPr>
          <w:rFonts w:ascii="Arial" w:hAnsi="Arial" w:cs="Arial"/>
          <w:sz w:val="24"/>
          <w:szCs w:val="24"/>
        </w:rPr>
        <w:t>, including impact on future earning capacity.</w:t>
      </w:r>
      <w:r w:rsidRPr="003112B5">
        <w:rPr>
          <w:rStyle w:val="FootnoteReference"/>
          <w:rFonts w:ascii="Arial" w:hAnsi="Arial" w:cs="Arial"/>
          <w:sz w:val="24"/>
          <w:szCs w:val="24"/>
        </w:rPr>
        <w:footnoteReference w:id="98"/>
      </w:r>
      <w:r w:rsidRPr="003112B5">
        <w:rPr>
          <w:rFonts w:ascii="Arial" w:hAnsi="Arial" w:cs="Arial"/>
          <w:sz w:val="24"/>
          <w:szCs w:val="24"/>
        </w:rPr>
        <w:t xml:space="preserve"> </w:t>
      </w:r>
    </w:p>
    <w:p w14:paraId="26CAB9AF" w14:textId="5F36C705" w:rsidR="00933270" w:rsidRPr="003112B5" w:rsidRDefault="00933270" w:rsidP="009B691C">
      <w:pPr>
        <w:autoSpaceDE w:val="0"/>
        <w:autoSpaceDN w:val="0"/>
        <w:adjustRightInd w:val="0"/>
        <w:spacing w:after="240" w:line="240" w:lineRule="auto"/>
        <w:jc w:val="both"/>
        <w:rPr>
          <w:rFonts w:ascii="Arial" w:hAnsi="Arial" w:cs="Arial"/>
          <w:i/>
          <w:iCs/>
          <w:sz w:val="24"/>
          <w:szCs w:val="24"/>
        </w:rPr>
      </w:pPr>
      <w:r w:rsidRPr="003112B5">
        <w:rPr>
          <w:rFonts w:ascii="Arial" w:hAnsi="Arial" w:cs="Arial"/>
          <w:i/>
          <w:iCs/>
          <w:sz w:val="24"/>
          <w:szCs w:val="24"/>
        </w:rPr>
        <w:t>Other remedies</w:t>
      </w:r>
    </w:p>
    <w:p w14:paraId="5C81AEA3" w14:textId="0D911C9F"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t>The</w:t>
      </w:r>
      <w:r w:rsidRPr="003112B5">
        <w:rPr>
          <w:rFonts w:ascii="Arial" w:hAnsi="Arial" w:cs="Arial"/>
          <w:sz w:val="24"/>
          <w:szCs w:val="24"/>
        </w:rPr>
        <w:t xml:space="preserve"> other remedies the Court may grant include:</w:t>
      </w:r>
      <w:r w:rsidRPr="003112B5">
        <w:rPr>
          <w:rStyle w:val="FootnoteReference"/>
          <w:rFonts w:ascii="Arial" w:hAnsi="Arial" w:cs="Arial"/>
          <w:sz w:val="24"/>
          <w:szCs w:val="24"/>
        </w:rPr>
        <w:footnoteReference w:id="99"/>
      </w:r>
    </w:p>
    <w:p w14:paraId="13942DA4" w14:textId="4108E1F8" w:rsidR="009B691C" w:rsidRPr="003112B5" w:rsidRDefault="00933270" w:rsidP="00B136DF">
      <w:pPr>
        <w:pStyle w:val="ListParagraph"/>
        <w:numPr>
          <w:ilvl w:val="0"/>
          <w:numId w:val="9"/>
        </w:numPr>
        <w:spacing w:after="0" w:line="240" w:lineRule="auto"/>
        <w:ind w:left="1134" w:hanging="634"/>
        <w:rPr>
          <w:rFonts w:ascii="Arial" w:hAnsi="Arial" w:cs="Arial"/>
          <w:sz w:val="24"/>
          <w:szCs w:val="24"/>
        </w:rPr>
      </w:pPr>
      <w:r w:rsidRPr="003112B5">
        <w:rPr>
          <w:rFonts w:ascii="Arial" w:hAnsi="Arial" w:cs="Arial"/>
          <w:sz w:val="24"/>
          <w:szCs w:val="24"/>
        </w:rPr>
        <w:t>A declaration that an act</w:t>
      </w:r>
      <w:r w:rsidR="000D4C64" w:rsidRPr="003112B5">
        <w:rPr>
          <w:rFonts w:ascii="Arial" w:hAnsi="Arial" w:cs="Arial"/>
          <w:sz w:val="24"/>
          <w:szCs w:val="24"/>
        </w:rPr>
        <w:t xml:space="preserve">ion </w:t>
      </w:r>
      <w:r w:rsidRPr="003112B5">
        <w:rPr>
          <w:rFonts w:ascii="Arial" w:hAnsi="Arial" w:cs="Arial"/>
          <w:sz w:val="24"/>
          <w:szCs w:val="24"/>
        </w:rPr>
        <w:t xml:space="preserve">is in breach of the NZBORA.  While the Crown is not legally required to comply with </w:t>
      </w:r>
      <w:r w:rsidR="00661DCE">
        <w:rPr>
          <w:rFonts w:ascii="Arial" w:hAnsi="Arial" w:cs="Arial"/>
          <w:sz w:val="24"/>
          <w:szCs w:val="24"/>
        </w:rPr>
        <w:t xml:space="preserve">such </w:t>
      </w:r>
      <w:r w:rsidRPr="003112B5">
        <w:rPr>
          <w:rFonts w:ascii="Arial" w:hAnsi="Arial" w:cs="Arial"/>
          <w:sz w:val="24"/>
          <w:szCs w:val="24"/>
        </w:rPr>
        <w:t>a declaration, compliance “is expected and occurs”;</w:t>
      </w:r>
      <w:r w:rsidRPr="003112B5">
        <w:rPr>
          <w:rStyle w:val="FootnoteReference"/>
          <w:rFonts w:ascii="Arial" w:hAnsi="Arial" w:cs="Arial"/>
          <w:sz w:val="24"/>
          <w:szCs w:val="24"/>
        </w:rPr>
        <w:footnoteReference w:id="100"/>
      </w:r>
    </w:p>
    <w:p w14:paraId="1B35971C" w14:textId="77777777" w:rsidR="009B691C" w:rsidRPr="003112B5" w:rsidRDefault="009B691C" w:rsidP="00B136DF">
      <w:pPr>
        <w:pStyle w:val="ListParagraph"/>
        <w:spacing w:after="0" w:line="240" w:lineRule="auto"/>
        <w:ind w:left="1134" w:hanging="634"/>
        <w:rPr>
          <w:rFonts w:ascii="Arial" w:hAnsi="Arial" w:cs="Arial"/>
          <w:sz w:val="24"/>
          <w:szCs w:val="24"/>
        </w:rPr>
      </w:pPr>
    </w:p>
    <w:p w14:paraId="04919162" w14:textId="669E8D1D" w:rsidR="00933270" w:rsidRPr="003112B5" w:rsidRDefault="00933270" w:rsidP="00B136DF">
      <w:pPr>
        <w:pStyle w:val="ListParagraph"/>
        <w:numPr>
          <w:ilvl w:val="0"/>
          <w:numId w:val="9"/>
        </w:numPr>
        <w:spacing w:after="0" w:line="240" w:lineRule="auto"/>
        <w:ind w:left="1134" w:hanging="634"/>
        <w:rPr>
          <w:rFonts w:ascii="Arial" w:hAnsi="Arial" w:cs="Arial"/>
          <w:sz w:val="24"/>
          <w:szCs w:val="24"/>
        </w:rPr>
      </w:pPr>
      <w:r w:rsidRPr="003112B5">
        <w:rPr>
          <w:rFonts w:ascii="Arial" w:hAnsi="Arial" w:cs="Arial"/>
          <w:sz w:val="24"/>
          <w:szCs w:val="24"/>
        </w:rPr>
        <w:t>A declaration that legislation is inconsistent with the NZBORA.</w:t>
      </w:r>
      <w:r w:rsidRPr="003112B5">
        <w:rPr>
          <w:rStyle w:val="FootnoteReference"/>
          <w:rFonts w:ascii="Arial" w:hAnsi="Arial" w:cs="Arial"/>
          <w:sz w:val="24"/>
          <w:szCs w:val="24"/>
        </w:rPr>
        <w:footnoteReference w:id="101"/>
      </w:r>
    </w:p>
    <w:p w14:paraId="09E8CBB7" w14:textId="77777777" w:rsidR="00661C48" w:rsidRPr="003112B5" w:rsidRDefault="00661C48" w:rsidP="009B691C">
      <w:pPr>
        <w:spacing w:after="0" w:line="240" w:lineRule="auto"/>
        <w:rPr>
          <w:rFonts w:ascii="Arial" w:hAnsi="Arial" w:cs="Arial"/>
          <w:sz w:val="24"/>
          <w:szCs w:val="24"/>
          <w:u w:val="single"/>
        </w:rPr>
      </w:pPr>
    </w:p>
    <w:p w14:paraId="1632C6AD" w14:textId="35AEB1D3" w:rsidR="00351E8C" w:rsidRPr="003112B5" w:rsidRDefault="00351E8C" w:rsidP="009B691C">
      <w:pPr>
        <w:spacing w:after="0" w:line="240" w:lineRule="auto"/>
        <w:rPr>
          <w:rFonts w:ascii="Arial" w:hAnsi="Arial" w:cs="Arial"/>
          <w:i/>
          <w:iCs/>
          <w:sz w:val="24"/>
          <w:szCs w:val="24"/>
        </w:rPr>
      </w:pPr>
      <w:r w:rsidRPr="003112B5">
        <w:rPr>
          <w:rFonts w:ascii="Arial" w:hAnsi="Arial" w:cs="Arial"/>
          <w:i/>
          <w:iCs/>
          <w:sz w:val="24"/>
          <w:szCs w:val="24"/>
        </w:rPr>
        <w:t>Developing remedies</w:t>
      </w:r>
    </w:p>
    <w:p w14:paraId="79082FAD" w14:textId="77777777" w:rsidR="009B691C" w:rsidRPr="003112B5" w:rsidRDefault="009B691C" w:rsidP="009B691C">
      <w:pPr>
        <w:spacing w:after="0" w:line="240" w:lineRule="auto"/>
        <w:rPr>
          <w:rFonts w:ascii="Arial" w:hAnsi="Arial" w:cs="Arial"/>
          <w:sz w:val="24"/>
          <w:szCs w:val="24"/>
          <w:u w:val="single"/>
        </w:rPr>
      </w:pPr>
    </w:p>
    <w:p w14:paraId="43F92AD0" w14:textId="088DF312" w:rsidR="00863E76" w:rsidRPr="003112B5" w:rsidRDefault="00863E76"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t xml:space="preserve">The extent of the Court’s power to grant remedies under the NZBORA, including non-monetary remedies, is not clear.  </w:t>
      </w:r>
      <w:r w:rsidRPr="003112B5">
        <w:rPr>
          <w:rFonts w:ascii="Arial" w:hAnsi="Arial" w:cs="Arial"/>
          <w:sz w:val="24"/>
          <w:szCs w:val="24"/>
        </w:rPr>
        <w:t>In</w:t>
      </w:r>
      <w:r w:rsidRPr="003112B5">
        <w:rPr>
          <w:rFonts w:ascii="Arial" w:hAnsi="Arial" w:cs="Arial"/>
          <w:i/>
          <w:iCs/>
          <w:sz w:val="24"/>
          <w:szCs w:val="24"/>
        </w:rPr>
        <w:t xml:space="preserve"> Taunoa</w:t>
      </w:r>
      <w:r w:rsidRPr="003112B5">
        <w:rPr>
          <w:rFonts w:ascii="Arial" w:hAnsi="Arial" w:cs="Arial"/>
          <w:sz w:val="24"/>
          <w:szCs w:val="24"/>
        </w:rPr>
        <w:t>, for example, the appellants sought an order from the Court that there be an inquiry into a programme operated in Auckland Prison by the Department of Corrections.  The order was not granted on the basis that it had not been sought in a timely manner, and the Court left open the issue of whether it could make such an order.</w:t>
      </w:r>
      <w:r w:rsidRPr="003112B5">
        <w:rPr>
          <w:rStyle w:val="FootnoteReference"/>
          <w:rFonts w:ascii="Arial" w:hAnsi="Arial" w:cs="Arial"/>
          <w:sz w:val="24"/>
          <w:szCs w:val="24"/>
        </w:rPr>
        <w:footnoteReference w:id="102"/>
      </w:r>
    </w:p>
    <w:p w14:paraId="253F44F7" w14:textId="26F3ADBE" w:rsidR="00DC1652" w:rsidRPr="003112B5" w:rsidRDefault="008611A4"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In</w:t>
      </w:r>
      <w:r w:rsidR="00933270" w:rsidRPr="003112B5">
        <w:rPr>
          <w:rFonts w:ascii="Arial" w:hAnsi="Arial" w:cs="Arial"/>
          <w:sz w:val="24"/>
          <w:szCs w:val="24"/>
        </w:rPr>
        <w:t xml:space="preserve"> </w:t>
      </w:r>
      <w:r w:rsidR="00DC1652" w:rsidRPr="003112B5">
        <w:rPr>
          <w:rFonts w:ascii="Arial" w:hAnsi="Arial" w:cs="Arial"/>
          <w:sz w:val="24"/>
          <w:szCs w:val="24"/>
        </w:rPr>
        <w:t xml:space="preserve">a judgment of the New Zealand Court of Appeal, </w:t>
      </w:r>
      <w:r w:rsidR="00933270" w:rsidRPr="003112B5">
        <w:rPr>
          <w:rFonts w:ascii="Arial" w:hAnsi="Arial" w:cs="Arial"/>
          <w:i/>
          <w:iCs/>
          <w:sz w:val="24"/>
          <w:szCs w:val="24"/>
        </w:rPr>
        <w:t>Baigent’s Case</w:t>
      </w:r>
      <w:r w:rsidR="00933270" w:rsidRPr="003112B5">
        <w:rPr>
          <w:rFonts w:ascii="Arial" w:hAnsi="Arial" w:cs="Arial"/>
          <w:sz w:val="24"/>
          <w:szCs w:val="24"/>
        </w:rPr>
        <w:t xml:space="preserve">, </w:t>
      </w:r>
      <w:r w:rsidR="00DC1652" w:rsidRPr="003112B5">
        <w:rPr>
          <w:rFonts w:ascii="Arial" w:hAnsi="Arial" w:cs="Arial"/>
          <w:sz w:val="24"/>
          <w:szCs w:val="24"/>
        </w:rPr>
        <w:t xml:space="preserve">Justice </w:t>
      </w:r>
      <w:r w:rsidR="00933270" w:rsidRPr="003112B5">
        <w:rPr>
          <w:rFonts w:ascii="Arial" w:hAnsi="Arial" w:cs="Arial"/>
          <w:sz w:val="24"/>
          <w:szCs w:val="24"/>
        </w:rPr>
        <w:t xml:space="preserve">Casey considered that there had to be “an adequate public law remedy for infringement </w:t>
      </w:r>
      <w:r w:rsidR="00DC1652" w:rsidRPr="003112B5">
        <w:rPr>
          <w:rFonts w:ascii="Arial" w:hAnsi="Arial" w:cs="Arial"/>
          <w:sz w:val="24"/>
          <w:szCs w:val="24"/>
        </w:rPr>
        <w:t xml:space="preserve">[of the NZBORA] </w:t>
      </w:r>
      <w:r w:rsidR="00933270" w:rsidRPr="003112B5">
        <w:rPr>
          <w:rFonts w:ascii="Arial" w:hAnsi="Arial" w:cs="Arial"/>
          <w:sz w:val="24"/>
          <w:szCs w:val="24"/>
        </w:rPr>
        <w:t xml:space="preserve">obtainable through the </w:t>
      </w:r>
      <w:r w:rsidR="00251767" w:rsidRPr="003112B5">
        <w:rPr>
          <w:rFonts w:ascii="Arial" w:hAnsi="Arial" w:cs="Arial"/>
          <w:sz w:val="24"/>
          <w:szCs w:val="24"/>
        </w:rPr>
        <w:t>C</w:t>
      </w:r>
      <w:r w:rsidR="00933270" w:rsidRPr="003112B5">
        <w:rPr>
          <w:rFonts w:ascii="Arial" w:hAnsi="Arial" w:cs="Arial"/>
          <w:sz w:val="24"/>
          <w:szCs w:val="24"/>
        </w:rPr>
        <w:t>ourts</w:t>
      </w:r>
      <w:r w:rsidR="00251767" w:rsidRPr="003112B5">
        <w:rPr>
          <w:rFonts w:ascii="Arial" w:hAnsi="Arial" w:cs="Arial"/>
          <w:sz w:val="24"/>
          <w:szCs w:val="24"/>
        </w:rPr>
        <w:t xml:space="preserve"> […]</w:t>
      </w:r>
      <w:r w:rsidR="00933270" w:rsidRPr="003112B5">
        <w:rPr>
          <w:rFonts w:ascii="Arial" w:hAnsi="Arial" w:cs="Arial"/>
          <w:sz w:val="24"/>
          <w:szCs w:val="24"/>
        </w:rPr>
        <w:t>”.</w:t>
      </w:r>
      <w:r w:rsidR="00933270" w:rsidRPr="003112B5">
        <w:rPr>
          <w:rStyle w:val="FootnoteReference"/>
          <w:rFonts w:ascii="Arial" w:hAnsi="Arial" w:cs="Arial"/>
          <w:sz w:val="24"/>
          <w:szCs w:val="24"/>
        </w:rPr>
        <w:footnoteReference w:id="103"/>
      </w:r>
      <w:r w:rsidR="00933270" w:rsidRPr="003112B5">
        <w:rPr>
          <w:rFonts w:ascii="Arial" w:hAnsi="Arial" w:cs="Arial"/>
          <w:sz w:val="24"/>
          <w:szCs w:val="24"/>
        </w:rPr>
        <w:t xml:space="preserve">  What was adequate had to be determined on a case-by-case basis, and in some cases such</w:t>
      </w:r>
      <w:r w:rsidR="00B420CF" w:rsidRPr="003112B5">
        <w:rPr>
          <w:rFonts w:ascii="Arial" w:hAnsi="Arial" w:cs="Arial"/>
          <w:sz w:val="24"/>
          <w:szCs w:val="24"/>
        </w:rPr>
        <w:t xml:space="preserve"> a</w:t>
      </w:r>
      <w:r w:rsidR="00933270" w:rsidRPr="003112B5">
        <w:rPr>
          <w:rFonts w:ascii="Arial" w:hAnsi="Arial" w:cs="Arial"/>
          <w:sz w:val="24"/>
          <w:szCs w:val="24"/>
        </w:rPr>
        <w:t xml:space="preserve"> remedy may be obtainable through existing legislation or the common law.  Where that was not the case, however, </w:t>
      </w:r>
      <w:r w:rsidR="00863E76" w:rsidRPr="003112B5">
        <w:rPr>
          <w:rFonts w:ascii="Arial" w:hAnsi="Arial" w:cs="Arial"/>
          <w:sz w:val="24"/>
          <w:szCs w:val="24"/>
        </w:rPr>
        <w:t xml:space="preserve">Justice </w:t>
      </w:r>
      <w:r w:rsidR="00933270" w:rsidRPr="003112B5">
        <w:rPr>
          <w:rFonts w:ascii="Arial" w:hAnsi="Arial" w:cs="Arial"/>
          <w:sz w:val="24"/>
          <w:szCs w:val="24"/>
        </w:rPr>
        <w:t xml:space="preserve">Casey considered that the Court could award </w:t>
      </w:r>
      <w:r w:rsidR="00933270" w:rsidRPr="003112B5">
        <w:rPr>
          <w:rFonts w:ascii="Arial" w:hAnsi="Arial" w:cs="Arial"/>
          <w:sz w:val="24"/>
          <w:szCs w:val="24"/>
        </w:rPr>
        <w:lastRenderedPageBreak/>
        <w:t>compensation “or settle on some non-monetary option as appropriate”.</w:t>
      </w:r>
      <w:r w:rsidR="00057F7C" w:rsidRPr="003112B5">
        <w:rPr>
          <w:rStyle w:val="FootnoteReference"/>
          <w:rFonts w:ascii="Arial" w:hAnsi="Arial" w:cs="Arial"/>
          <w:sz w:val="24"/>
          <w:szCs w:val="24"/>
        </w:rPr>
        <w:footnoteReference w:id="104"/>
      </w:r>
      <w:r w:rsidR="00933270" w:rsidRPr="003112B5">
        <w:rPr>
          <w:rFonts w:ascii="Arial" w:hAnsi="Arial" w:cs="Arial"/>
          <w:sz w:val="24"/>
          <w:szCs w:val="24"/>
        </w:rPr>
        <w:t xml:space="preserve">  It would be for the Court to select the remedy “which will best vindicate the right infringed.”</w:t>
      </w:r>
      <w:r w:rsidR="00933270" w:rsidRPr="003112B5">
        <w:rPr>
          <w:rStyle w:val="FootnoteReference"/>
          <w:rFonts w:ascii="Arial" w:hAnsi="Arial" w:cs="Arial"/>
          <w:sz w:val="24"/>
          <w:szCs w:val="24"/>
        </w:rPr>
        <w:footnoteReference w:id="105"/>
      </w:r>
      <w:r w:rsidR="00DC1652" w:rsidRPr="003112B5">
        <w:rPr>
          <w:rFonts w:ascii="Arial" w:hAnsi="Arial" w:cs="Arial"/>
          <w:sz w:val="24"/>
          <w:szCs w:val="24"/>
        </w:rPr>
        <w:t xml:space="preserve">  </w:t>
      </w:r>
    </w:p>
    <w:p w14:paraId="555E22D2" w14:textId="550BF455" w:rsidR="00863E76" w:rsidRPr="003112B5" w:rsidRDefault="00DC1652"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The then President, Justice Cooke, referred to New Zealand’s international obligations under the ICCPR to ensure an effective remedy for rights breaches, and to “develop the possibilities of judicial remedy”.</w:t>
      </w:r>
      <w:r w:rsidRPr="003112B5">
        <w:rPr>
          <w:rStyle w:val="FootnoteReference"/>
          <w:rFonts w:ascii="Arial" w:hAnsi="Arial" w:cs="Arial"/>
          <w:sz w:val="24"/>
          <w:szCs w:val="24"/>
        </w:rPr>
        <w:footnoteReference w:id="106"/>
      </w:r>
      <w:r w:rsidRPr="003112B5">
        <w:rPr>
          <w:rFonts w:ascii="Arial" w:hAnsi="Arial" w:cs="Arial"/>
          <w:sz w:val="24"/>
          <w:szCs w:val="24"/>
        </w:rPr>
        <w:t xml:space="preserve">  He went on to state that the NZBORA was binding on the judiciary, and that the judiciary would fail in its duty “if we did not give an effective remedy to a person whose legislatively affirmed rights have been infringed.”</w:t>
      </w:r>
      <w:r w:rsidRPr="003112B5">
        <w:rPr>
          <w:rStyle w:val="FootnoteReference"/>
          <w:rFonts w:ascii="Arial" w:hAnsi="Arial" w:cs="Arial"/>
          <w:sz w:val="24"/>
          <w:szCs w:val="24"/>
        </w:rPr>
        <w:footnoteReference w:id="107"/>
      </w:r>
    </w:p>
    <w:p w14:paraId="0AF444B5" w14:textId="4ECD988A" w:rsidR="00933270" w:rsidRPr="003112B5" w:rsidRDefault="00933270" w:rsidP="009B691C">
      <w:pPr>
        <w:rPr>
          <w:rFonts w:ascii="Arial" w:hAnsi="Arial" w:cs="Arial"/>
          <w:i/>
          <w:iCs/>
          <w:sz w:val="24"/>
          <w:szCs w:val="24"/>
        </w:rPr>
      </w:pPr>
      <w:r w:rsidRPr="003112B5">
        <w:rPr>
          <w:rFonts w:ascii="Arial" w:hAnsi="Arial" w:cs="Arial"/>
          <w:i/>
          <w:iCs/>
          <w:sz w:val="24"/>
          <w:szCs w:val="24"/>
        </w:rPr>
        <w:t>Costs</w:t>
      </w:r>
    </w:p>
    <w:p w14:paraId="57FC953D" w14:textId="7A8042C2"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A costs award may be made in favour of a successful party in a civil</w:t>
      </w:r>
      <w:r w:rsidRPr="003112B5">
        <w:rPr>
          <w:rStyle w:val="FootnoteReference"/>
          <w:rFonts w:ascii="Arial" w:hAnsi="Arial" w:cs="Arial"/>
          <w:sz w:val="24"/>
          <w:szCs w:val="24"/>
        </w:rPr>
        <w:footnoteReference w:id="108"/>
      </w:r>
      <w:r w:rsidRPr="003112B5">
        <w:rPr>
          <w:rFonts w:ascii="Arial" w:hAnsi="Arial" w:cs="Arial"/>
          <w:sz w:val="24"/>
          <w:szCs w:val="24"/>
        </w:rPr>
        <w:t xml:space="preserve"> NZBORA action.</w:t>
      </w:r>
      <w:r w:rsidRPr="003112B5">
        <w:rPr>
          <w:rStyle w:val="FootnoteReference"/>
          <w:rFonts w:ascii="Arial" w:hAnsi="Arial" w:cs="Arial"/>
          <w:sz w:val="24"/>
          <w:szCs w:val="24"/>
        </w:rPr>
        <w:footnoteReference w:id="109"/>
      </w:r>
      <w:r w:rsidRPr="003112B5">
        <w:rPr>
          <w:rFonts w:ascii="Arial" w:hAnsi="Arial" w:cs="Arial"/>
          <w:sz w:val="24"/>
          <w:szCs w:val="24"/>
        </w:rPr>
        <w:t xml:space="preserve">  In </w:t>
      </w:r>
      <w:r w:rsidRPr="003112B5">
        <w:rPr>
          <w:rFonts w:ascii="Arial" w:hAnsi="Arial" w:cs="Arial"/>
          <w:i/>
          <w:iCs/>
          <w:sz w:val="24"/>
          <w:szCs w:val="24"/>
        </w:rPr>
        <w:t>Taunoa</w:t>
      </w:r>
      <w:r w:rsidRPr="003112B5">
        <w:rPr>
          <w:rFonts w:ascii="Arial" w:hAnsi="Arial" w:cs="Arial"/>
          <w:sz w:val="24"/>
          <w:szCs w:val="24"/>
        </w:rPr>
        <w:t>, one of the judges</w:t>
      </w:r>
      <w:r w:rsidR="00B420CF" w:rsidRPr="003112B5">
        <w:rPr>
          <w:rFonts w:ascii="Arial" w:hAnsi="Arial" w:cs="Arial"/>
          <w:sz w:val="24"/>
          <w:szCs w:val="24"/>
        </w:rPr>
        <w:t>,</w:t>
      </w:r>
      <w:r w:rsidRPr="003112B5">
        <w:rPr>
          <w:rFonts w:ascii="Arial" w:hAnsi="Arial" w:cs="Arial"/>
          <w:sz w:val="24"/>
          <w:szCs w:val="24"/>
        </w:rPr>
        <w:t xml:space="preserve"> </w:t>
      </w:r>
      <w:r w:rsidR="00863E76" w:rsidRPr="003112B5">
        <w:rPr>
          <w:rFonts w:ascii="Arial" w:hAnsi="Arial" w:cs="Arial"/>
          <w:sz w:val="24"/>
          <w:szCs w:val="24"/>
        </w:rPr>
        <w:t xml:space="preserve">Justice </w:t>
      </w:r>
      <w:r w:rsidRPr="003112B5">
        <w:rPr>
          <w:rFonts w:ascii="Arial" w:hAnsi="Arial" w:cs="Arial"/>
          <w:sz w:val="24"/>
          <w:szCs w:val="24"/>
        </w:rPr>
        <w:t>Tipping</w:t>
      </w:r>
      <w:r w:rsidR="00B420CF" w:rsidRPr="003112B5">
        <w:rPr>
          <w:rFonts w:ascii="Arial" w:hAnsi="Arial" w:cs="Arial"/>
          <w:sz w:val="24"/>
          <w:szCs w:val="24"/>
        </w:rPr>
        <w:t>,</w:t>
      </w:r>
      <w:r w:rsidRPr="003112B5">
        <w:rPr>
          <w:rFonts w:ascii="Arial" w:hAnsi="Arial" w:cs="Arial"/>
          <w:sz w:val="24"/>
          <w:szCs w:val="24"/>
        </w:rPr>
        <w:t xml:space="preserve"> stated that a successful plaintiff may be awarded </w:t>
      </w:r>
      <w:r w:rsidR="00DC1652" w:rsidRPr="003112B5">
        <w:rPr>
          <w:rFonts w:ascii="Arial" w:hAnsi="Arial" w:cs="Arial"/>
          <w:sz w:val="24"/>
          <w:szCs w:val="24"/>
        </w:rPr>
        <w:t xml:space="preserve">all of the legal costs he or she has incurred </w:t>
      </w:r>
      <w:r w:rsidR="00B420CF" w:rsidRPr="003112B5">
        <w:rPr>
          <w:rFonts w:ascii="Arial" w:hAnsi="Arial" w:cs="Arial"/>
          <w:sz w:val="24"/>
          <w:szCs w:val="24"/>
        </w:rPr>
        <w:t>in bringing the case</w:t>
      </w:r>
      <w:r w:rsidRPr="003112B5">
        <w:rPr>
          <w:rFonts w:ascii="Arial" w:hAnsi="Arial" w:cs="Arial"/>
          <w:sz w:val="24"/>
          <w:szCs w:val="24"/>
        </w:rPr>
        <w:t>.</w:t>
      </w:r>
      <w:r w:rsidRPr="003112B5">
        <w:rPr>
          <w:rStyle w:val="FootnoteReference"/>
          <w:rFonts w:ascii="Arial" w:hAnsi="Arial" w:cs="Arial"/>
          <w:sz w:val="24"/>
          <w:szCs w:val="24"/>
        </w:rPr>
        <w:footnoteReference w:id="110"/>
      </w:r>
    </w:p>
    <w:p w14:paraId="2B62E211" w14:textId="412B2D61" w:rsidR="00933270" w:rsidRPr="003112B5" w:rsidRDefault="00933270" w:rsidP="009B691C">
      <w:pPr>
        <w:spacing w:after="0" w:line="240" w:lineRule="auto"/>
        <w:rPr>
          <w:rFonts w:ascii="Arial" w:hAnsi="Arial" w:cs="Arial"/>
          <w:b/>
          <w:bCs/>
          <w:i/>
          <w:iCs/>
          <w:sz w:val="24"/>
          <w:szCs w:val="24"/>
        </w:rPr>
      </w:pPr>
      <w:r w:rsidRPr="003112B5">
        <w:rPr>
          <w:rFonts w:ascii="Arial" w:hAnsi="Arial" w:cs="Arial"/>
          <w:b/>
          <w:bCs/>
          <w:i/>
          <w:iCs/>
          <w:sz w:val="24"/>
          <w:szCs w:val="24"/>
        </w:rPr>
        <w:t>Human Rights Act 1993</w:t>
      </w:r>
      <w:r w:rsidR="00921FB9">
        <w:rPr>
          <w:rFonts w:ascii="Arial" w:hAnsi="Arial" w:cs="Arial"/>
          <w:b/>
          <w:bCs/>
          <w:i/>
          <w:iCs/>
          <w:sz w:val="24"/>
          <w:szCs w:val="24"/>
        </w:rPr>
        <w:t xml:space="preserve"> (HRA)</w:t>
      </w:r>
      <w:r w:rsidRPr="003112B5">
        <w:rPr>
          <w:rFonts w:ascii="Arial" w:hAnsi="Arial" w:cs="Arial"/>
          <w:b/>
          <w:bCs/>
          <w:i/>
          <w:iCs/>
          <w:sz w:val="24"/>
          <w:szCs w:val="24"/>
        </w:rPr>
        <w:t>, Privacy Act 1993</w:t>
      </w:r>
      <w:r w:rsidR="00AC2D82" w:rsidRPr="003112B5">
        <w:rPr>
          <w:rFonts w:ascii="Arial" w:hAnsi="Arial" w:cs="Arial"/>
          <w:b/>
          <w:bCs/>
          <w:i/>
          <w:iCs/>
          <w:sz w:val="24"/>
          <w:szCs w:val="24"/>
        </w:rPr>
        <w:t>,</w:t>
      </w:r>
      <w:r w:rsidRPr="003112B5">
        <w:rPr>
          <w:rFonts w:ascii="Arial" w:hAnsi="Arial" w:cs="Arial"/>
          <w:b/>
          <w:bCs/>
          <w:i/>
          <w:iCs/>
          <w:sz w:val="24"/>
          <w:szCs w:val="24"/>
        </w:rPr>
        <w:t xml:space="preserve"> Health and Disability Commissioner Act 1994, and the HRRT</w:t>
      </w:r>
    </w:p>
    <w:p w14:paraId="2EFEA941" w14:textId="7AAFFC60" w:rsidR="00933270" w:rsidRPr="003112B5" w:rsidRDefault="00933270" w:rsidP="00BD1F1A">
      <w:pPr>
        <w:spacing w:after="0" w:line="240" w:lineRule="auto"/>
        <w:rPr>
          <w:rFonts w:ascii="Arial" w:hAnsi="Arial" w:cs="Arial"/>
          <w:b/>
          <w:bCs/>
          <w:sz w:val="24"/>
          <w:szCs w:val="24"/>
        </w:rPr>
      </w:pPr>
    </w:p>
    <w:p w14:paraId="56E7F80B" w14:textId="2CBE79D4" w:rsidR="00B420CF"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The HRA is principally concerned with discrimination.  It replaced the Race Relations Act 1971 and the Human Rights Commission Act 1977</w:t>
      </w:r>
      <w:r w:rsidR="00B420CF" w:rsidRPr="003112B5">
        <w:rPr>
          <w:rFonts w:ascii="Arial" w:hAnsi="Arial" w:cs="Arial"/>
          <w:sz w:val="24"/>
          <w:szCs w:val="24"/>
        </w:rPr>
        <w:t xml:space="preserve">.  Both of these enactments </w:t>
      </w:r>
      <w:r w:rsidRPr="003112B5">
        <w:rPr>
          <w:rFonts w:ascii="Arial" w:hAnsi="Arial" w:cs="Arial"/>
          <w:sz w:val="24"/>
          <w:szCs w:val="24"/>
        </w:rPr>
        <w:t xml:space="preserve">provided statutory protections and processes relating to freedom from discrimination.  </w:t>
      </w:r>
    </w:p>
    <w:p w14:paraId="64B529FC" w14:textId="63025C91" w:rsidR="00B420CF"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The HRA continued the H</w:t>
      </w:r>
      <w:r w:rsidR="00B420CF" w:rsidRPr="003112B5">
        <w:rPr>
          <w:rFonts w:ascii="Arial" w:hAnsi="Arial" w:cs="Arial"/>
          <w:sz w:val="24"/>
          <w:szCs w:val="24"/>
        </w:rPr>
        <w:t>uman Rights Review Tribunal</w:t>
      </w:r>
      <w:r w:rsidR="00007B7A" w:rsidRPr="003112B5">
        <w:rPr>
          <w:rFonts w:ascii="Arial" w:hAnsi="Arial" w:cs="Arial"/>
          <w:sz w:val="24"/>
          <w:szCs w:val="24"/>
        </w:rPr>
        <w:t xml:space="preserve"> (</w:t>
      </w:r>
      <w:r w:rsidR="00007B7A" w:rsidRPr="003112B5">
        <w:rPr>
          <w:rFonts w:ascii="Arial" w:hAnsi="Arial" w:cs="Arial"/>
          <w:b/>
          <w:bCs/>
          <w:sz w:val="24"/>
          <w:szCs w:val="24"/>
        </w:rPr>
        <w:t>HRRT</w:t>
      </w:r>
      <w:r w:rsidR="00007B7A" w:rsidRPr="003112B5">
        <w:rPr>
          <w:rFonts w:ascii="Arial" w:hAnsi="Arial" w:cs="Arial"/>
          <w:sz w:val="24"/>
          <w:szCs w:val="24"/>
        </w:rPr>
        <w:t>)</w:t>
      </w:r>
      <w:r w:rsidRPr="003112B5">
        <w:rPr>
          <w:rFonts w:ascii="Arial" w:hAnsi="Arial" w:cs="Arial"/>
          <w:sz w:val="24"/>
          <w:szCs w:val="24"/>
        </w:rPr>
        <w:t xml:space="preserve">.  The HRRT’s functions include </w:t>
      </w:r>
      <w:r w:rsidR="00DC1652" w:rsidRPr="003112B5">
        <w:rPr>
          <w:rFonts w:ascii="Arial" w:hAnsi="Arial" w:cs="Arial"/>
          <w:sz w:val="24"/>
          <w:szCs w:val="24"/>
        </w:rPr>
        <w:t xml:space="preserve">deciding cases </w:t>
      </w:r>
      <w:r w:rsidRPr="003112B5">
        <w:rPr>
          <w:rFonts w:ascii="Arial" w:hAnsi="Arial" w:cs="Arial"/>
          <w:sz w:val="24"/>
          <w:szCs w:val="24"/>
        </w:rPr>
        <w:t xml:space="preserve">concerning alleged breaches of the HRA.  </w:t>
      </w:r>
      <w:r w:rsidR="00B420CF" w:rsidRPr="003112B5">
        <w:rPr>
          <w:rFonts w:ascii="Arial" w:hAnsi="Arial" w:cs="Arial"/>
          <w:sz w:val="24"/>
          <w:szCs w:val="24"/>
        </w:rPr>
        <w:t xml:space="preserve">It also </w:t>
      </w:r>
      <w:r w:rsidRPr="003112B5">
        <w:rPr>
          <w:rFonts w:ascii="Arial" w:hAnsi="Arial" w:cs="Arial"/>
          <w:sz w:val="24"/>
          <w:szCs w:val="24"/>
        </w:rPr>
        <w:t>has powers under</w:t>
      </w:r>
      <w:r w:rsidR="00B420CF" w:rsidRPr="003112B5">
        <w:rPr>
          <w:rFonts w:ascii="Arial" w:hAnsi="Arial" w:cs="Arial"/>
          <w:sz w:val="24"/>
          <w:szCs w:val="24"/>
        </w:rPr>
        <w:t>:</w:t>
      </w:r>
    </w:p>
    <w:p w14:paraId="1798F3A7" w14:textId="6D442641" w:rsidR="009B691C" w:rsidRPr="003112B5" w:rsidRDefault="00933270" w:rsidP="0053251F">
      <w:pPr>
        <w:pStyle w:val="ListParagraph"/>
        <w:numPr>
          <w:ilvl w:val="0"/>
          <w:numId w:val="10"/>
        </w:numPr>
        <w:spacing w:after="0" w:line="240" w:lineRule="auto"/>
        <w:ind w:left="1134" w:hanging="634"/>
        <w:rPr>
          <w:rFonts w:ascii="Arial" w:hAnsi="Arial" w:cs="Arial"/>
          <w:sz w:val="24"/>
          <w:szCs w:val="24"/>
        </w:rPr>
      </w:pPr>
      <w:r w:rsidRPr="003112B5">
        <w:rPr>
          <w:rFonts w:ascii="Arial" w:hAnsi="Arial" w:cs="Arial"/>
          <w:sz w:val="24"/>
          <w:szCs w:val="24"/>
        </w:rPr>
        <w:t>the Privacy Act 1993</w:t>
      </w:r>
      <w:r w:rsidR="00DC1652" w:rsidRPr="003112B5">
        <w:rPr>
          <w:rFonts w:ascii="Arial" w:hAnsi="Arial" w:cs="Arial"/>
          <w:sz w:val="24"/>
          <w:szCs w:val="24"/>
        </w:rPr>
        <w:t>,</w:t>
      </w:r>
      <w:r w:rsidRPr="003112B5">
        <w:rPr>
          <w:rFonts w:ascii="Arial" w:hAnsi="Arial" w:cs="Arial"/>
          <w:sz w:val="24"/>
          <w:szCs w:val="24"/>
        </w:rPr>
        <w:t xml:space="preserve"> to determine </w:t>
      </w:r>
      <w:r w:rsidR="00DC1652" w:rsidRPr="003112B5">
        <w:rPr>
          <w:rFonts w:ascii="Arial" w:hAnsi="Arial" w:cs="Arial"/>
          <w:sz w:val="24"/>
          <w:szCs w:val="24"/>
        </w:rPr>
        <w:t xml:space="preserve">cases </w:t>
      </w:r>
      <w:r w:rsidR="00AC2D82" w:rsidRPr="003112B5">
        <w:rPr>
          <w:rFonts w:ascii="Arial" w:hAnsi="Arial" w:cs="Arial"/>
          <w:sz w:val="24"/>
          <w:szCs w:val="24"/>
        </w:rPr>
        <w:t xml:space="preserve">alleging </w:t>
      </w:r>
      <w:r w:rsidRPr="003112B5">
        <w:rPr>
          <w:rFonts w:ascii="Arial" w:hAnsi="Arial" w:cs="Arial"/>
          <w:sz w:val="24"/>
          <w:szCs w:val="24"/>
        </w:rPr>
        <w:t>that an action is an interference with an individual’s privacy</w:t>
      </w:r>
      <w:r w:rsidR="00B420CF" w:rsidRPr="003112B5">
        <w:rPr>
          <w:rFonts w:ascii="Arial" w:hAnsi="Arial" w:cs="Arial"/>
          <w:sz w:val="24"/>
          <w:szCs w:val="24"/>
        </w:rPr>
        <w:t>;</w:t>
      </w:r>
    </w:p>
    <w:p w14:paraId="543673B4" w14:textId="77777777" w:rsidR="009B691C" w:rsidRPr="003112B5" w:rsidRDefault="009B691C" w:rsidP="0053251F">
      <w:pPr>
        <w:pStyle w:val="ListParagraph"/>
        <w:spacing w:after="0" w:line="240" w:lineRule="auto"/>
        <w:ind w:left="1134" w:hanging="634"/>
        <w:rPr>
          <w:rFonts w:ascii="Arial" w:hAnsi="Arial" w:cs="Arial"/>
          <w:sz w:val="24"/>
          <w:szCs w:val="24"/>
        </w:rPr>
      </w:pPr>
    </w:p>
    <w:p w14:paraId="3946318E" w14:textId="34CF811D" w:rsidR="00933270" w:rsidRPr="003112B5" w:rsidRDefault="00933270" w:rsidP="0053251F">
      <w:pPr>
        <w:pStyle w:val="ListParagraph"/>
        <w:numPr>
          <w:ilvl w:val="0"/>
          <w:numId w:val="10"/>
        </w:numPr>
        <w:spacing w:after="0" w:line="240" w:lineRule="auto"/>
        <w:ind w:left="1134" w:hanging="634"/>
        <w:rPr>
          <w:rFonts w:ascii="Arial" w:hAnsi="Arial" w:cs="Arial"/>
          <w:sz w:val="24"/>
          <w:szCs w:val="24"/>
        </w:rPr>
      </w:pPr>
      <w:r w:rsidRPr="003112B5">
        <w:rPr>
          <w:rFonts w:ascii="Arial" w:hAnsi="Arial" w:cs="Arial"/>
          <w:sz w:val="24"/>
          <w:szCs w:val="24"/>
        </w:rPr>
        <w:t>the Health and Disability Commissioner Act 1994 (</w:t>
      </w:r>
      <w:r w:rsidRPr="003112B5">
        <w:rPr>
          <w:rFonts w:ascii="Arial" w:hAnsi="Arial" w:cs="Arial"/>
          <w:b/>
          <w:bCs/>
          <w:sz w:val="24"/>
          <w:szCs w:val="24"/>
        </w:rPr>
        <w:t>HDCA</w:t>
      </w:r>
      <w:r w:rsidRPr="003112B5">
        <w:rPr>
          <w:rFonts w:ascii="Arial" w:hAnsi="Arial" w:cs="Arial"/>
          <w:sz w:val="24"/>
          <w:szCs w:val="24"/>
        </w:rPr>
        <w:t>)</w:t>
      </w:r>
      <w:r w:rsidR="00B420CF" w:rsidRPr="003112B5">
        <w:rPr>
          <w:rFonts w:ascii="Arial" w:hAnsi="Arial" w:cs="Arial"/>
          <w:sz w:val="24"/>
          <w:szCs w:val="24"/>
        </w:rPr>
        <w:t>,</w:t>
      </w:r>
      <w:r w:rsidRPr="003112B5">
        <w:rPr>
          <w:rFonts w:ascii="Arial" w:hAnsi="Arial" w:cs="Arial"/>
          <w:sz w:val="24"/>
          <w:szCs w:val="24"/>
        </w:rPr>
        <w:t xml:space="preserve"> to determine </w:t>
      </w:r>
      <w:r w:rsidR="00DC1652" w:rsidRPr="003112B5">
        <w:rPr>
          <w:rFonts w:ascii="Arial" w:hAnsi="Arial" w:cs="Arial"/>
          <w:sz w:val="24"/>
          <w:szCs w:val="24"/>
        </w:rPr>
        <w:t>cases</w:t>
      </w:r>
      <w:r w:rsidRPr="003112B5">
        <w:rPr>
          <w:rFonts w:ascii="Arial" w:hAnsi="Arial" w:cs="Arial"/>
          <w:sz w:val="24"/>
          <w:szCs w:val="24"/>
        </w:rPr>
        <w:t xml:space="preserve"> alleging that the Code of Health and Disability Services Consumers’ Rights has been breached.  </w:t>
      </w:r>
    </w:p>
    <w:p w14:paraId="65075746" w14:textId="77777777" w:rsidR="00933270" w:rsidRPr="003112B5" w:rsidRDefault="00933270" w:rsidP="009B691C">
      <w:pPr>
        <w:spacing w:after="0" w:line="240" w:lineRule="auto"/>
        <w:rPr>
          <w:rFonts w:ascii="Arial" w:hAnsi="Arial" w:cs="Arial"/>
          <w:b/>
          <w:bCs/>
          <w:i/>
          <w:iCs/>
          <w:sz w:val="24"/>
          <w:szCs w:val="24"/>
        </w:rPr>
      </w:pPr>
    </w:p>
    <w:p w14:paraId="16CE6A67" w14:textId="77777777" w:rsidR="009B691C" w:rsidRPr="003112B5" w:rsidRDefault="00933270" w:rsidP="00B76DA0">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The remedies the HRRT may award where it finds a breach or an interference include:</w:t>
      </w:r>
    </w:p>
    <w:p w14:paraId="733B995A" w14:textId="77777777" w:rsidR="009B691C" w:rsidRPr="003112B5" w:rsidRDefault="00933270" w:rsidP="00CA1754">
      <w:pPr>
        <w:pStyle w:val="ListParagraph"/>
        <w:numPr>
          <w:ilvl w:val="0"/>
          <w:numId w:val="11"/>
        </w:numPr>
        <w:autoSpaceDE w:val="0"/>
        <w:autoSpaceDN w:val="0"/>
        <w:adjustRightInd w:val="0"/>
        <w:spacing w:after="240" w:line="240" w:lineRule="auto"/>
        <w:ind w:left="1134" w:hanging="634"/>
        <w:jc w:val="both"/>
        <w:rPr>
          <w:rFonts w:ascii="Arial" w:hAnsi="Arial" w:cs="Arial"/>
          <w:sz w:val="24"/>
          <w:szCs w:val="24"/>
        </w:rPr>
      </w:pPr>
      <w:r w:rsidRPr="003112B5">
        <w:rPr>
          <w:rFonts w:ascii="Arial" w:hAnsi="Arial" w:cs="Arial"/>
          <w:sz w:val="24"/>
          <w:szCs w:val="24"/>
        </w:rPr>
        <w:t>a declaration of the breach</w:t>
      </w:r>
      <w:r w:rsidRPr="003112B5">
        <w:rPr>
          <w:rStyle w:val="FootnoteReference"/>
          <w:rFonts w:ascii="Arial" w:hAnsi="Arial" w:cs="Arial"/>
          <w:sz w:val="24"/>
          <w:szCs w:val="24"/>
        </w:rPr>
        <w:footnoteReference w:id="111"/>
      </w:r>
      <w:r w:rsidRPr="003112B5">
        <w:rPr>
          <w:rFonts w:ascii="Arial" w:hAnsi="Arial" w:cs="Arial"/>
          <w:sz w:val="24"/>
          <w:szCs w:val="24"/>
        </w:rPr>
        <w:t xml:space="preserve"> or interference;</w:t>
      </w:r>
      <w:r w:rsidRPr="003112B5">
        <w:rPr>
          <w:rStyle w:val="FootnoteReference"/>
          <w:rFonts w:ascii="Arial" w:hAnsi="Arial" w:cs="Arial"/>
          <w:sz w:val="24"/>
          <w:szCs w:val="24"/>
        </w:rPr>
        <w:footnoteReference w:id="112"/>
      </w:r>
    </w:p>
    <w:p w14:paraId="0138EA47" w14:textId="77777777" w:rsidR="009B691C" w:rsidRPr="003112B5" w:rsidRDefault="009B691C" w:rsidP="00CA1754">
      <w:pPr>
        <w:pStyle w:val="ListParagraph"/>
        <w:autoSpaceDE w:val="0"/>
        <w:autoSpaceDN w:val="0"/>
        <w:adjustRightInd w:val="0"/>
        <w:spacing w:after="240" w:line="240" w:lineRule="auto"/>
        <w:ind w:left="1134" w:hanging="634"/>
        <w:jc w:val="both"/>
        <w:rPr>
          <w:rFonts w:ascii="Arial" w:hAnsi="Arial" w:cs="Arial"/>
          <w:sz w:val="24"/>
          <w:szCs w:val="24"/>
        </w:rPr>
      </w:pPr>
    </w:p>
    <w:p w14:paraId="7B570E81" w14:textId="6FDC622F" w:rsidR="009B691C" w:rsidRPr="003112B5" w:rsidRDefault="00933270" w:rsidP="00CA1754">
      <w:pPr>
        <w:pStyle w:val="ListParagraph"/>
        <w:numPr>
          <w:ilvl w:val="0"/>
          <w:numId w:val="11"/>
        </w:numPr>
        <w:autoSpaceDE w:val="0"/>
        <w:autoSpaceDN w:val="0"/>
        <w:adjustRightInd w:val="0"/>
        <w:spacing w:after="240" w:line="240" w:lineRule="auto"/>
        <w:ind w:left="1134" w:hanging="634"/>
        <w:jc w:val="both"/>
        <w:rPr>
          <w:rFonts w:ascii="Arial" w:hAnsi="Arial" w:cs="Arial"/>
          <w:sz w:val="24"/>
          <w:szCs w:val="24"/>
        </w:rPr>
      </w:pPr>
      <w:r w:rsidRPr="003112B5">
        <w:rPr>
          <w:rFonts w:ascii="Arial" w:hAnsi="Arial" w:cs="Arial"/>
          <w:sz w:val="24"/>
          <w:szCs w:val="24"/>
        </w:rPr>
        <w:t xml:space="preserve">an order requiring the defendant not to continue or repeat the breach, and/or to carry out other </w:t>
      </w:r>
      <w:r w:rsidR="00007B7A" w:rsidRPr="003112B5">
        <w:rPr>
          <w:rFonts w:ascii="Arial" w:hAnsi="Arial" w:cs="Arial"/>
          <w:sz w:val="24"/>
          <w:szCs w:val="24"/>
        </w:rPr>
        <w:t xml:space="preserve">remedial </w:t>
      </w:r>
      <w:r w:rsidRPr="003112B5">
        <w:rPr>
          <w:rFonts w:ascii="Arial" w:hAnsi="Arial" w:cs="Arial"/>
          <w:sz w:val="24"/>
          <w:szCs w:val="24"/>
        </w:rPr>
        <w:t>acts;</w:t>
      </w:r>
      <w:r w:rsidRPr="003112B5">
        <w:rPr>
          <w:rStyle w:val="FootnoteReference"/>
          <w:rFonts w:ascii="Arial" w:hAnsi="Arial" w:cs="Arial"/>
          <w:sz w:val="24"/>
          <w:szCs w:val="24"/>
        </w:rPr>
        <w:footnoteReference w:id="113"/>
      </w:r>
    </w:p>
    <w:p w14:paraId="55D45ACE" w14:textId="77777777" w:rsidR="009B691C" w:rsidRPr="003112B5" w:rsidRDefault="009B691C" w:rsidP="009B691C">
      <w:pPr>
        <w:pStyle w:val="ListParagraph"/>
        <w:rPr>
          <w:rFonts w:ascii="Arial" w:hAnsi="Arial" w:cs="Arial"/>
          <w:sz w:val="24"/>
          <w:szCs w:val="24"/>
        </w:rPr>
      </w:pPr>
    </w:p>
    <w:p w14:paraId="39A7A3B6" w14:textId="3BAB335F" w:rsidR="009B691C" w:rsidRPr="003112B5" w:rsidRDefault="00B420CF" w:rsidP="00CA1754">
      <w:pPr>
        <w:pStyle w:val="ListParagraph"/>
        <w:numPr>
          <w:ilvl w:val="0"/>
          <w:numId w:val="11"/>
        </w:numPr>
        <w:autoSpaceDE w:val="0"/>
        <w:autoSpaceDN w:val="0"/>
        <w:adjustRightInd w:val="0"/>
        <w:spacing w:after="240" w:line="240" w:lineRule="auto"/>
        <w:ind w:left="1134" w:hanging="634"/>
        <w:jc w:val="both"/>
        <w:rPr>
          <w:rFonts w:ascii="Arial" w:hAnsi="Arial" w:cs="Arial"/>
          <w:sz w:val="24"/>
          <w:szCs w:val="24"/>
        </w:rPr>
      </w:pPr>
      <w:r w:rsidRPr="003112B5">
        <w:rPr>
          <w:rFonts w:ascii="Arial" w:hAnsi="Arial" w:cs="Arial"/>
          <w:sz w:val="24"/>
          <w:szCs w:val="24"/>
        </w:rPr>
        <w:t>compensation (i.e. damages)</w:t>
      </w:r>
      <w:r w:rsidR="00933270" w:rsidRPr="003112B5">
        <w:rPr>
          <w:rFonts w:ascii="Arial" w:hAnsi="Arial" w:cs="Arial"/>
          <w:sz w:val="24"/>
          <w:szCs w:val="24"/>
        </w:rPr>
        <w:t>.  These can be awarded for financial and non-financial loss resulting from the breach</w:t>
      </w:r>
      <w:r w:rsidR="00007B7A" w:rsidRPr="003112B5">
        <w:rPr>
          <w:rFonts w:ascii="Arial" w:hAnsi="Arial" w:cs="Arial"/>
          <w:sz w:val="24"/>
          <w:szCs w:val="24"/>
        </w:rPr>
        <w:t xml:space="preserve"> or interference</w:t>
      </w:r>
      <w:r w:rsidR="00933270" w:rsidRPr="003112B5">
        <w:rPr>
          <w:rFonts w:ascii="Arial" w:hAnsi="Arial" w:cs="Arial"/>
          <w:sz w:val="24"/>
          <w:szCs w:val="24"/>
        </w:rPr>
        <w:t>, including “humiliation, loss of dignity, and injury to feelings […]”;</w:t>
      </w:r>
      <w:r w:rsidR="00933270" w:rsidRPr="003112B5">
        <w:rPr>
          <w:rStyle w:val="FootnoteReference"/>
          <w:rFonts w:ascii="Arial" w:hAnsi="Arial" w:cs="Arial"/>
          <w:sz w:val="24"/>
          <w:szCs w:val="24"/>
        </w:rPr>
        <w:footnoteReference w:id="114"/>
      </w:r>
    </w:p>
    <w:p w14:paraId="6F40535B" w14:textId="77777777" w:rsidR="009B691C" w:rsidRPr="003112B5" w:rsidRDefault="009B691C" w:rsidP="00CA1754">
      <w:pPr>
        <w:pStyle w:val="ListParagraph"/>
        <w:ind w:left="1134" w:hanging="634"/>
        <w:rPr>
          <w:rFonts w:ascii="Arial" w:hAnsi="Arial" w:cs="Arial"/>
          <w:sz w:val="24"/>
          <w:szCs w:val="24"/>
        </w:rPr>
      </w:pPr>
    </w:p>
    <w:p w14:paraId="00535A03" w14:textId="05661E5E" w:rsidR="00933270" w:rsidRPr="003112B5" w:rsidRDefault="00933270" w:rsidP="00CA1754">
      <w:pPr>
        <w:pStyle w:val="ListParagraph"/>
        <w:numPr>
          <w:ilvl w:val="0"/>
          <w:numId w:val="11"/>
        </w:numPr>
        <w:autoSpaceDE w:val="0"/>
        <w:autoSpaceDN w:val="0"/>
        <w:adjustRightInd w:val="0"/>
        <w:spacing w:after="240" w:line="240" w:lineRule="auto"/>
        <w:ind w:left="1134" w:hanging="634"/>
        <w:jc w:val="both"/>
        <w:rPr>
          <w:rFonts w:ascii="Arial" w:hAnsi="Arial" w:cs="Arial"/>
          <w:sz w:val="24"/>
          <w:szCs w:val="24"/>
        </w:rPr>
      </w:pPr>
      <w:r w:rsidRPr="003112B5">
        <w:rPr>
          <w:rFonts w:ascii="Arial" w:hAnsi="Arial" w:cs="Arial"/>
          <w:sz w:val="24"/>
          <w:szCs w:val="24"/>
        </w:rPr>
        <w:t>any other remedy the HRRT thinks fit.</w:t>
      </w:r>
      <w:r w:rsidRPr="003112B5">
        <w:rPr>
          <w:rStyle w:val="FootnoteReference"/>
          <w:rFonts w:ascii="Arial" w:hAnsi="Arial" w:cs="Arial"/>
          <w:sz w:val="24"/>
          <w:szCs w:val="24"/>
        </w:rPr>
        <w:footnoteReference w:id="115"/>
      </w:r>
    </w:p>
    <w:p w14:paraId="77A7BB80" w14:textId="77777777" w:rsidR="00933270" w:rsidRPr="003112B5" w:rsidRDefault="00933270" w:rsidP="009B691C">
      <w:pPr>
        <w:spacing w:after="0" w:line="240" w:lineRule="auto"/>
        <w:rPr>
          <w:rFonts w:ascii="Arial" w:hAnsi="Arial" w:cs="Arial"/>
          <w:i/>
          <w:iCs/>
          <w:sz w:val="24"/>
          <w:szCs w:val="24"/>
        </w:rPr>
      </w:pPr>
      <w:r w:rsidRPr="003112B5">
        <w:rPr>
          <w:rFonts w:ascii="Arial" w:hAnsi="Arial" w:cs="Arial"/>
          <w:i/>
          <w:iCs/>
          <w:sz w:val="24"/>
          <w:szCs w:val="24"/>
        </w:rPr>
        <w:t>Declaration of inconsistency</w:t>
      </w:r>
    </w:p>
    <w:p w14:paraId="78D10DF7" w14:textId="77777777" w:rsidR="00933270" w:rsidRPr="003112B5" w:rsidRDefault="00933270" w:rsidP="000C1EE0">
      <w:pPr>
        <w:pStyle w:val="ListParagraph"/>
        <w:spacing w:after="0" w:line="240" w:lineRule="auto"/>
        <w:ind w:left="927"/>
        <w:rPr>
          <w:rFonts w:ascii="Arial" w:hAnsi="Arial" w:cs="Arial"/>
          <w:sz w:val="24"/>
          <w:szCs w:val="24"/>
        </w:rPr>
      </w:pPr>
    </w:p>
    <w:p w14:paraId="4A3617F8" w14:textId="56771915"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The HRRT has the power under the HRA to find that an enactment is inconsistent with the right to freedom from discrimination affirmed by the NZBORA.</w:t>
      </w:r>
      <w:r w:rsidR="0088649B" w:rsidRPr="003112B5">
        <w:rPr>
          <w:rStyle w:val="FootnoteReference"/>
          <w:rFonts w:ascii="Arial" w:hAnsi="Arial" w:cs="Arial"/>
          <w:sz w:val="24"/>
          <w:szCs w:val="24"/>
        </w:rPr>
        <w:footnoteReference w:id="116"/>
      </w:r>
      <w:r w:rsidRPr="003112B5">
        <w:rPr>
          <w:rStyle w:val="FootnoteReference"/>
          <w:rFonts w:ascii="Arial" w:hAnsi="Arial" w:cs="Arial"/>
          <w:sz w:val="24"/>
          <w:szCs w:val="24"/>
        </w:rPr>
        <w:t xml:space="preserve"> </w:t>
      </w:r>
      <w:r w:rsidRPr="003112B5">
        <w:rPr>
          <w:rFonts w:ascii="Arial" w:hAnsi="Arial" w:cs="Arial"/>
          <w:sz w:val="24"/>
          <w:szCs w:val="24"/>
        </w:rPr>
        <w:t xml:space="preserve"> In that case, however, the only remedy it may grant is a declaration.</w:t>
      </w:r>
    </w:p>
    <w:p w14:paraId="0C9E3B49" w14:textId="326AB376" w:rsidR="00933270" w:rsidRPr="003112B5" w:rsidRDefault="00933270" w:rsidP="009B691C">
      <w:pPr>
        <w:spacing w:after="0" w:line="240" w:lineRule="auto"/>
        <w:rPr>
          <w:rFonts w:ascii="Arial" w:hAnsi="Arial" w:cs="Arial"/>
          <w:i/>
          <w:iCs/>
          <w:sz w:val="24"/>
          <w:szCs w:val="24"/>
        </w:rPr>
      </w:pPr>
      <w:r w:rsidRPr="003112B5">
        <w:rPr>
          <w:rFonts w:ascii="Arial" w:hAnsi="Arial" w:cs="Arial"/>
          <w:i/>
          <w:iCs/>
          <w:sz w:val="24"/>
          <w:szCs w:val="24"/>
        </w:rPr>
        <w:t xml:space="preserve">Remedies awarded by the HRRT </w:t>
      </w:r>
    </w:p>
    <w:p w14:paraId="70BBE619" w14:textId="77777777" w:rsidR="009817AE" w:rsidRPr="003112B5" w:rsidRDefault="009817AE" w:rsidP="009B691C">
      <w:pPr>
        <w:spacing w:after="0" w:line="240" w:lineRule="auto"/>
        <w:rPr>
          <w:rFonts w:ascii="Arial" w:hAnsi="Arial" w:cs="Arial"/>
          <w:i/>
          <w:iCs/>
          <w:sz w:val="24"/>
          <w:szCs w:val="24"/>
        </w:rPr>
      </w:pPr>
    </w:p>
    <w:p w14:paraId="7B205717" w14:textId="661FE7CA" w:rsidR="000945D2"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The HRRT has awarded compensation in many cases brought before it, including </w:t>
      </w:r>
      <w:r w:rsidR="009B691C" w:rsidRPr="003112B5">
        <w:rPr>
          <w:rFonts w:ascii="Arial" w:hAnsi="Arial" w:cs="Arial"/>
          <w:sz w:val="24"/>
          <w:szCs w:val="24"/>
        </w:rPr>
        <w:t xml:space="preserve">relatively </w:t>
      </w:r>
      <w:r w:rsidRPr="003112B5">
        <w:rPr>
          <w:rFonts w:ascii="Arial" w:hAnsi="Arial" w:cs="Arial"/>
          <w:sz w:val="24"/>
          <w:szCs w:val="24"/>
        </w:rPr>
        <w:t xml:space="preserve">substantial compensation for </w:t>
      </w:r>
      <w:r w:rsidR="009F4704" w:rsidRPr="003112B5">
        <w:rPr>
          <w:rFonts w:ascii="Arial" w:hAnsi="Arial" w:cs="Arial"/>
          <w:sz w:val="24"/>
          <w:szCs w:val="24"/>
        </w:rPr>
        <w:t xml:space="preserve">emotional harm </w:t>
      </w:r>
      <w:r w:rsidRPr="003112B5">
        <w:rPr>
          <w:rFonts w:ascii="Arial" w:hAnsi="Arial" w:cs="Arial"/>
          <w:sz w:val="24"/>
          <w:szCs w:val="24"/>
        </w:rPr>
        <w:t>and lost earnings.</w:t>
      </w:r>
      <w:r w:rsidRPr="003112B5">
        <w:rPr>
          <w:rStyle w:val="FootnoteReference"/>
          <w:rFonts w:ascii="Arial" w:hAnsi="Arial" w:cs="Arial"/>
          <w:sz w:val="24"/>
          <w:szCs w:val="24"/>
        </w:rPr>
        <w:footnoteReference w:id="117"/>
      </w:r>
      <w:r w:rsidRPr="003112B5">
        <w:rPr>
          <w:rStyle w:val="FootnoteReference"/>
          <w:rFonts w:ascii="Arial" w:hAnsi="Arial" w:cs="Arial"/>
          <w:sz w:val="24"/>
          <w:szCs w:val="24"/>
        </w:rPr>
        <w:t xml:space="preserve"> </w:t>
      </w:r>
      <w:r w:rsidRPr="003112B5">
        <w:rPr>
          <w:rFonts w:ascii="Arial" w:hAnsi="Arial" w:cs="Arial"/>
          <w:sz w:val="24"/>
          <w:szCs w:val="24"/>
        </w:rPr>
        <w:t xml:space="preserve"> </w:t>
      </w:r>
      <w:r w:rsidR="00B420CF" w:rsidRPr="003112B5">
        <w:rPr>
          <w:rFonts w:ascii="Arial" w:hAnsi="Arial" w:cs="Arial"/>
          <w:sz w:val="24"/>
          <w:szCs w:val="24"/>
        </w:rPr>
        <w:t xml:space="preserve"> </w:t>
      </w:r>
      <w:r w:rsidRPr="003112B5">
        <w:rPr>
          <w:rFonts w:ascii="Arial" w:hAnsi="Arial" w:cs="Arial"/>
          <w:sz w:val="24"/>
          <w:szCs w:val="24"/>
        </w:rPr>
        <w:t>It has also order</w:t>
      </w:r>
      <w:r w:rsidR="00B420CF" w:rsidRPr="003112B5">
        <w:rPr>
          <w:rFonts w:ascii="Arial" w:hAnsi="Arial" w:cs="Arial"/>
          <w:sz w:val="24"/>
          <w:szCs w:val="24"/>
        </w:rPr>
        <w:t>ed</w:t>
      </w:r>
      <w:r w:rsidRPr="003112B5">
        <w:rPr>
          <w:rFonts w:ascii="Arial" w:hAnsi="Arial" w:cs="Arial"/>
          <w:sz w:val="24"/>
          <w:szCs w:val="24"/>
        </w:rPr>
        <w:t xml:space="preserve"> non-monetary remedies</w:t>
      </w:r>
      <w:r w:rsidR="003A4022" w:rsidRPr="003112B5">
        <w:rPr>
          <w:rFonts w:ascii="Arial" w:hAnsi="Arial" w:cs="Arial"/>
          <w:sz w:val="24"/>
          <w:szCs w:val="24"/>
        </w:rPr>
        <w:t xml:space="preserve">.  These have included requiring that a defendant make an apology, and </w:t>
      </w:r>
      <w:r w:rsidRPr="003112B5">
        <w:rPr>
          <w:rFonts w:ascii="Arial" w:hAnsi="Arial" w:cs="Arial"/>
          <w:sz w:val="24"/>
          <w:szCs w:val="24"/>
        </w:rPr>
        <w:t xml:space="preserve">restraining and training orders.  </w:t>
      </w:r>
    </w:p>
    <w:p w14:paraId="7344BF79" w14:textId="154F0167" w:rsidR="000945D2"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In assessing how much to award as compensation for </w:t>
      </w:r>
      <w:r w:rsidR="009F4704" w:rsidRPr="003112B5">
        <w:rPr>
          <w:rFonts w:ascii="Arial" w:hAnsi="Arial" w:cs="Arial"/>
          <w:sz w:val="24"/>
          <w:szCs w:val="24"/>
        </w:rPr>
        <w:t>emotional harm</w:t>
      </w:r>
      <w:r w:rsidRPr="003112B5">
        <w:rPr>
          <w:rFonts w:ascii="Arial" w:hAnsi="Arial" w:cs="Arial"/>
          <w:sz w:val="24"/>
          <w:szCs w:val="24"/>
        </w:rPr>
        <w:t xml:space="preserve">, factors </w:t>
      </w:r>
      <w:r w:rsidR="009F4704" w:rsidRPr="003112B5">
        <w:rPr>
          <w:rFonts w:ascii="Arial" w:hAnsi="Arial" w:cs="Arial"/>
          <w:sz w:val="24"/>
          <w:szCs w:val="24"/>
        </w:rPr>
        <w:t xml:space="preserve">considered relevant by </w:t>
      </w:r>
      <w:r w:rsidRPr="003112B5">
        <w:rPr>
          <w:rFonts w:ascii="Arial" w:hAnsi="Arial" w:cs="Arial"/>
          <w:sz w:val="24"/>
          <w:szCs w:val="24"/>
        </w:rPr>
        <w:t xml:space="preserve">the HRRT include the need for the amount to be adequate to provide an effective remedy, as well as the need to take into account the facts of the specific case and the personality of the </w:t>
      </w:r>
      <w:r w:rsidR="00D37044">
        <w:rPr>
          <w:rFonts w:ascii="Arial" w:hAnsi="Arial" w:cs="Arial"/>
          <w:sz w:val="24"/>
          <w:szCs w:val="24"/>
        </w:rPr>
        <w:t xml:space="preserve">claimant </w:t>
      </w:r>
      <w:r w:rsidRPr="003112B5">
        <w:rPr>
          <w:rFonts w:ascii="Arial" w:hAnsi="Arial" w:cs="Arial"/>
          <w:sz w:val="24"/>
          <w:szCs w:val="24"/>
        </w:rPr>
        <w:t>.</w:t>
      </w:r>
      <w:r w:rsidRPr="003112B5">
        <w:rPr>
          <w:rStyle w:val="FootnoteReference"/>
          <w:rFonts w:ascii="Arial" w:hAnsi="Arial" w:cs="Arial"/>
          <w:sz w:val="24"/>
          <w:szCs w:val="24"/>
        </w:rPr>
        <w:footnoteReference w:id="118"/>
      </w:r>
      <w:r w:rsidRPr="003112B5">
        <w:rPr>
          <w:rFonts w:ascii="Arial" w:hAnsi="Arial" w:cs="Arial"/>
          <w:sz w:val="24"/>
          <w:szCs w:val="24"/>
        </w:rPr>
        <w:t xml:space="preserve">  </w:t>
      </w:r>
    </w:p>
    <w:p w14:paraId="683C4BA3" w14:textId="4A8B9499" w:rsidR="00933270" w:rsidRPr="003112B5" w:rsidRDefault="002E027B"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eastAsia="Times New Roman" w:hAnsi="Arial" w:cs="Arial"/>
          <w:color w:val="000000"/>
          <w:sz w:val="24"/>
          <w:szCs w:val="24"/>
          <w:lang w:eastAsia="en-NZ"/>
        </w:rPr>
        <w:t>T</w:t>
      </w:r>
      <w:r w:rsidR="00933270" w:rsidRPr="003112B5">
        <w:rPr>
          <w:rFonts w:ascii="Arial" w:eastAsia="Times New Roman" w:hAnsi="Arial" w:cs="Arial"/>
          <w:color w:val="000000"/>
          <w:sz w:val="24"/>
          <w:szCs w:val="24"/>
          <w:lang w:eastAsia="en-NZ"/>
        </w:rPr>
        <w:t>he</w:t>
      </w:r>
      <w:r w:rsidR="00933270" w:rsidRPr="003112B5">
        <w:rPr>
          <w:rFonts w:ascii="Arial" w:hAnsi="Arial" w:cs="Arial"/>
          <w:sz w:val="24"/>
          <w:szCs w:val="24"/>
        </w:rPr>
        <w:t xml:space="preserve"> HRRT has adopted a banding approach as a "rough guide" for assessing compensation for</w:t>
      </w:r>
      <w:r w:rsidR="00DC1652" w:rsidRPr="003112B5">
        <w:rPr>
          <w:rFonts w:ascii="Arial" w:hAnsi="Arial" w:cs="Arial"/>
          <w:sz w:val="24"/>
          <w:szCs w:val="24"/>
        </w:rPr>
        <w:t xml:space="preserve"> emotional harm</w:t>
      </w:r>
      <w:r w:rsidR="00933270" w:rsidRPr="003112B5">
        <w:rPr>
          <w:rFonts w:ascii="Arial" w:hAnsi="Arial" w:cs="Arial"/>
          <w:sz w:val="24"/>
          <w:szCs w:val="24"/>
        </w:rPr>
        <w:t xml:space="preserve">.  </w:t>
      </w:r>
      <w:r w:rsidRPr="003112B5">
        <w:rPr>
          <w:rFonts w:ascii="Arial" w:hAnsi="Arial" w:cs="Arial"/>
          <w:sz w:val="24"/>
          <w:szCs w:val="24"/>
        </w:rPr>
        <w:t>T</w:t>
      </w:r>
      <w:r w:rsidR="00933270" w:rsidRPr="003112B5">
        <w:rPr>
          <w:rFonts w:ascii="Arial" w:hAnsi="Arial" w:cs="Arial"/>
          <w:sz w:val="24"/>
          <w:szCs w:val="24"/>
        </w:rPr>
        <w:t>he appropriate amount must be determined on the facts of each case</w:t>
      </w:r>
      <w:r w:rsidRPr="003112B5">
        <w:rPr>
          <w:rFonts w:ascii="Arial" w:hAnsi="Arial" w:cs="Arial"/>
          <w:sz w:val="24"/>
          <w:szCs w:val="24"/>
        </w:rPr>
        <w:t xml:space="preserve">.  However, as a guide, </w:t>
      </w:r>
      <w:r w:rsidR="00933270" w:rsidRPr="003112B5">
        <w:rPr>
          <w:rFonts w:ascii="Arial" w:hAnsi="Arial" w:cs="Arial"/>
          <w:sz w:val="24"/>
          <w:szCs w:val="24"/>
        </w:rPr>
        <w:t>less serious cases may</w:t>
      </w:r>
      <w:r w:rsidRPr="003112B5">
        <w:rPr>
          <w:rFonts w:ascii="Arial" w:hAnsi="Arial" w:cs="Arial"/>
          <w:sz w:val="24"/>
          <w:szCs w:val="24"/>
        </w:rPr>
        <w:t xml:space="preserve"> </w:t>
      </w:r>
      <w:r w:rsidR="00933270" w:rsidRPr="003112B5">
        <w:rPr>
          <w:rFonts w:ascii="Arial" w:hAnsi="Arial" w:cs="Arial"/>
          <w:sz w:val="24"/>
          <w:szCs w:val="24"/>
        </w:rPr>
        <w:t xml:space="preserve">attract an award of up to $10,000, more serious cases between $10,000 </w:t>
      </w:r>
      <w:r w:rsidRPr="003112B5">
        <w:rPr>
          <w:rFonts w:ascii="Arial" w:hAnsi="Arial" w:cs="Arial"/>
          <w:sz w:val="24"/>
          <w:szCs w:val="24"/>
        </w:rPr>
        <w:t xml:space="preserve">and </w:t>
      </w:r>
      <w:r w:rsidR="00933270" w:rsidRPr="003112B5">
        <w:rPr>
          <w:rFonts w:ascii="Arial" w:hAnsi="Arial" w:cs="Arial"/>
          <w:sz w:val="24"/>
          <w:szCs w:val="24"/>
        </w:rPr>
        <w:t>$50,000, and the most serious cases over $50,000.</w:t>
      </w:r>
      <w:r w:rsidR="00933270" w:rsidRPr="003112B5">
        <w:rPr>
          <w:rStyle w:val="FootnoteReference"/>
          <w:rFonts w:ascii="Arial" w:hAnsi="Arial" w:cs="Arial"/>
          <w:sz w:val="24"/>
          <w:szCs w:val="24"/>
        </w:rPr>
        <w:footnoteReference w:id="119"/>
      </w:r>
    </w:p>
    <w:p w14:paraId="00787734" w14:textId="7D28D39A" w:rsidR="00933270" w:rsidRPr="003112B5" w:rsidRDefault="00933270" w:rsidP="009B691C">
      <w:pPr>
        <w:rPr>
          <w:rFonts w:ascii="Arial" w:hAnsi="Arial" w:cs="Arial"/>
          <w:i/>
          <w:iCs/>
          <w:sz w:val="24"/>
          <w:szCs w:val="24"/>
        </w:rPr>
      </w:pPr>
      <w:r w:rsidRPr="003112B5">
        <w:rPr>
          <w:rFonts w:ascii="Arial" w:hAnsi="Arial" w:cs="Arial"/>
          <w:i/>
          <w:iCs/>
          <w:sz w:val="24"/>
          <w:szCs w:val="24"/>
        </w:rPr>
        <w:t>Costs</w:t>
      </w:r>
    </w:p>
    <w:p w14:paraId="5ED6BA03" w14:textId="58DB5C4F" w:rsidR="00933270" w:rsidRPr="003112B5" w:rsidRDefault="0093327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The HRRT may award costs</w:t>
      </w:r>
      <w:r w:rsidR="00ED0A50" w:rsidRPr="003112B5">
        <w:rPr>
          <w:rFonts w:ascii="Arial" w:hAnsi="Arial" w:cs="Arial"/>
          <w:sz w:val="24"/>
          <w:szCs w:val="24"/>
        </w:rPr>
        <w:t>,</w:t>
      </w:r>
      <w:r w:rsidRPr="003112B5">
        <w:rPr>
          <w:rStyle w:val="FootnoteReference"/>
          <w:rFonts w:ascii="Arial" w:hAnsi="Arial" w:cs="Arial"/>
          <w:sz w:val="24"/>
          <w:szCs w:val="24"/>
        </w:rPr>
        <w:footnoteReference w:id="120"/>
      </w:r>
      <w:r w:rsidRPr="003112B5">
        <w:rPr>
          <w:rFonts w:ascii="Arial" w:hAnsi="Arial" w:cs="Arial"/>
          <w:sz w:val="24"/>
          <w:szCs w:val="24"/>
        </w:rPr>
        <w:t xml:space="preserve"> </w:t>
      </w:r>
      <w:r w:rsidR="00ED0A50" w:rsidRPr="003112B5">
        <w:rPr>
          <w:rFonts w:ascii="Arial" w:hAnsi="Arial" w:cs="Arial"/>
          <w:sz w:val="24"/>
          <w:szCs w:val="24"/>
        </w:rPr>
        <w:t xml:space="preserve">and </w:t>
      </w:r>
      <w:r w:rsidRPr="003112B5">
        <w:rPr>
          <w:rFonts w:ascii="Arial" w:hAnsi="Arial" w:cs="Arial"/>
          <w:sz w:val="24"/>
          <w:szCs w:val="24"/>
        </w:rPr>
        <w:t xml:space="preserve">costs are regularly awarded </w:t>
      </w:r>
      <w:r w:rsidR="00995D14" w:rsidRPr="003112B5">
        <w:rPr>
          <w:rFonts w:ascii="Arial" w:hAnsi="Arial" w:cs="Arial"/>
          <w:sz w:val="24"/>
          <w:szCs w:val="24"/>
        </w:rPr>
        <w:t xml:space="preserve">to </w:t>
      </w:r>
      <w:r w:rsidRPr="003112B5">
        <w:rPr>
          <w:rFonts w:ascii="Arial" w:hAnsi="Arial" w:cs="Arial"/>
          <w:sz w:val="24"/>
          <w:szCs w:val="24"/>
        </w:rPr>
        <w:t>successful plaintiffs</w:t>
      </w:r>
      <w:r w:rsidR="00ED0A50" w:rsidRPr="003112B5">
        <w:rPr>
          <w:rFonts w:ascii="Arial" w:hAnsi="Arial" w:cs="Arial"/>
          <w:sz w:val="24"/>
          <w:szCs w:val="24"/>
        </w:rPr>
        <w:t xml:space="preserve">.  On the other hand, </w:t>
      </w:r>
      <w:r w:rsidRPr="003112B5">
        <w:rPr>
          <w:rFonts w:ascii="Arial" w:hAnsi="Arial" w:cs="Arial"/>
          <w:sz w:val="24"/>
          <w:szCs w:val="24"/>
        </w:rPr>
        <w:t xml:space="preserve">HRRT has decided </w:t>
      </w:r>
      <w:r w:rsidR="00ED0A50" w:rsidRPr="003112B5">
        <w:rPr>
          <w:rFonts w:ascii="Arial" w:hAnsi="Arial" w:cs="Arial"/>
          <w:sz w:val="24"/>
          <w:szCs w:val="24"/>
        </w:rPr>
        <w:t xml:space="preserve">in a number of cases </w:t>
      </w:r>
      <w:r w:rsidRPr="003112B5">
        <w:rPr>
          <w:rFonts w:ascii="Arial" w:hAnsi="Arial" w:cs="Arial"/>
          <w:sz w:val="24"/>
          <w:szCs w:val="24"/>
        </w:rPr>
        <w:t>not to award costs against unsuccessful plaintiffs.</w:t>
      </w:r>
      <w:r w:rsidRPr="003112B5">
        <w:rPr>
          <w:rStyle w:val="FootnoteReference"/>
          <w:rFonts w:ascii="Arial" w:hAnsi="Arial" w:cs="Arial"/>
          <w:sz w:val="24"/>
          <w:szCs w:val="24"/>
        </w:rPr>
        <w:footnoteReference w:id="121"/>
      </w:r>
      <w:r w:rsidRPr="003112B5">
        <w:rPr>
          <w:rStyle w:val="FootnoteReference"/>
          <w:rFonts w:ascii="Arial" w:hAnsi="Arial" w:cs="Arial"/>
          <w:sz w:val="24"/>
          <w:szCs w:val="24"/>
        </w:rPr>
        <w:t xml:space="preserve"> </w:t>
      </w:r>
      <w:r w:rsidRPr="003112B5">
        <w:rPr>
          <w:rFonts w:ascii="Arial" w:hAnsi="Arial" w:cs="Arial"/>
          <w:sz w:val="24"/>
          <w:szCs w:val="24"/>
        </w:rPr>
        <w:t xml:space="preserve"> </w:t>
      </w:r>
      <w:r w:rsidR="00ED0A50" w:rsidRPr="003112B5">
        <w:rPr>
          <w:rFonts w:ascii="Arial" w:hAnsi="Arial" w:cs="Arial"/>
          <w:sz w:val="24"/>
          <w:szCs w:val="24"/>
        </w:rPr>
        <w:t xml:space="preserve"> </w:t>
      </w:r>
      <w:r w:rsidRPr="003112B5">
        <w:rPr>
          <w:rFonts w:ascii="Arial" w:hAnsi="Arial" w:cs="Arial"/>
          <w:sz w:val="24"/>
          <w:szCs w:val="24"/>
        </w:rPr>
        <w:t xml:space="preserve">The reasons for this include not </w:t>
      </w:r>
      <w:r w:rsidRPr="003112B5">
        <w:rPr>
          <w:rFonts w:ascii="Arial" w:hAnsi="Arial" w:cs="Arial"/>
          <w:sz w:val="24"/>
          <w:szCs w:val="24"/>
        </w:rPr>
        <w:lastRenderedPageBreak/>
        <w:t>deterring individuals from bringing a case to the HRRT, and promoting human rights protection in New Zealand.</w:t>
      </w:r>
      <w:r w:rsidRPr="003112B5">
        <w:rPr>
          <w:rStyle w:val="FootnoteReference"/>
          <w:rFonts w:ascii="Arial" w:hAnsi="Arial" w:cs="Arial"/>
          <w:sz w:val="24"/>
          <w:szCs w:val="24"/>
        </w:rPr>
        <w:footnoteReference w:id="122"/>
      </w:r>
    </w:p>
    <w:p w14:paraId="19EA8D28" w14:textId="5EE9DF9A" w:rsidR="00A943DC" w:rsidRPr="003112B5" w:rsidRDefault="00A943DC" w:rsidP="009B691C">
      <w:pPr>
        <w:spacing w:after="0" w:line="240" w:lineRule="auto"/>
        <w:rPr>
          <w:rFonts w:ascii="Arial" w:hAnsi="Arial" w:cs="Arial"/>
          <w:b/>
          <w:bCs/>
          <w:i/>
          <w:iCs/>
          <w:sz w:val="24"/>
          <w:szCs w:val="24"/>
        </w:rPr>
      </w:pPr>
      <w:r w:rsidRPr="003112B5">
        <w:rPr>
          <w:rFonts w:ascii="Arial" w:hAnsi="Arial" w:cs="Arial"/>
          <w:b/>
          <w:bCs/>
          <w:i/>
          <w:iCs/>
          <w:sz w:val="24"/>
          <w:szCs w:val="24"/>
        </w:rPr>
        <w:t>Limitation periods</w:t>
      </w:r>
    </w:p>
    <w:p w14:paraId="44389B88" w14:textId="77777777" w:rsidR="009B691C" w:rsidRPr="003112B5" w:rsidRDefault="009B691C" w:rsidP="009B691C">
      <w:pPr>
        <w:spacing w:after="0" w:line="240" w:lineRule="auto"/>
        <w:rPr>
          <w:rFonts w:ascii="Arial" w:hAnsi="Arial" w:cs="Arial"/>
          <w:sz w:val="24"/>
          <w:szCs w:val="24"/>
        </w:rPr>
      </w:pPr>
    </w:p>
    <w:p w14:paraId="13C50EC1" w14:textId="1898051A" w:rsidR="00ED0A50" w:rsidRPr="003112B5" w:rsidRDefault="009472FD"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The issue of limitation periods for human rights </w:t>
      </w:r>
      <w:r w:rsidR="001D644F" w:rsidRPr="003112B5">
        <w:rPr>
          <w:rFonts w:ascii="Arial" w:hAnsi="Arial" w:cs="Arial"/>
          <w:sz w:val="24"/>
          <w:szCs w:val="24"/>
        </w:rPr>
        <w:t xml:space="preserve">and other </w:t>
      </w:r>
      <w:r w:rsidR="00ED0A50" w:rsidRPr="003112B5">
        <w:rPr>
          <w:rFonts w:ascii="Arial" w:hAnsi="Arial" w:cs="Arial"/>
          <w:sz w:val="24"/>
          <w:szCs w:val="24"/>
        </w:rPr>
        <w:t xml:space="preserve">cases in New Zealand </w:t>
      </w:r>
      <w:r w:rsidRPr="003112B5">
        <w:rPr>
          <w:rFonts w:ascii="Arial" w:hAnsi="Arial" w:cs="Arial"/>
          <w:sz w:val="24"/>
          <w:szCs w:val="24"/>
        </w:rPr>
        <w:t xml:space="preserve">is complex.  </w:t>
      </w:r>
    </w:p>
    <w:p w14:paraId="22A5E0BF" w14:textId="471895F3" w:rsidR="008D35DE" w:rsidRPr="003112B5" w:rsidRDefault="009472FD"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For example, where NZBORA compensation is sought, </w:t>
      </w:r>
      <w:r w:rsidR="00ED0A50" w:rsidRPr="003112B5">
        <w:rPr>
          <w:rFonts w:ascii="Arial" w:hAnsi="Arial" w:cs="Arial"/>
          <w:sz w:val="24"/>
          <w:szCs w:val="24"/>
        </w:rPr>
        <w:t xml:space="preserve">different </w:t>
      </w:r>
      <w:r w:rsidR="008D35DE" w:rsidRPr="003112B5">
        <w:rPr>
          <w:rFonts w:ascii="Arial" w:hAnsi="Arial" w:cs="Arial"/>
          <w:sz w:val="24"/>
          <w:szCs w:val="24"/>
        </w:rPr>
        <w:t xml:space="preserve">rules may apply depending on whether the relevant act or omission for which compensation is </w:t>
      </w:r>
      <w:r w:rsidR="009F4704" w:rsidRPr="003112B5">
        <w:rPr>
          <w:rFonts w:ascii="Arial" w:hAnsi="Arial" w:cs="Arial"/>
          <w:sz w:val="24"/>
          <w:szCs w:val="24"/>
        </w:rPr>
        <w:t xml:space="preserve">claimed </w:t>
      </w:r>
      <w:r w:rsidR="008D35DE" w:rsidRPr="003112B5">
        <w:rPr>
          <w:rFonts w:ascii="Arial" w:hAnsi="Arial" w:cs="Arial"/>
          <w:sz w:val="24"/>
          <w:szCs w:val="24"/>
        </w:rPr>
        <w:t>occurred before or after 1 January 2011, and what the claimed harm is.</w:t>
      </w:r>
      <w:r w:rsidR="008D35DE" w:rsidRPr="003112B5">
        <w:rPr>
          <w:rStyle w:val="FootnoteReference"/>
          <w:rFonts w:ascii="Arial" w:hAnsi="Arial" w:cs="Arial"/>
          <w:sz w:val="24"/>
          <w:szCs w:val="24"/>
        </w:rPr>
        <w:footnoteReference w:id="123"/>
      </w:r>
      <w:r w:rsidR="00C71971" w:rsidRPr="003112B5">
        <w:rPr>
          <w:rFonts w:ascii="Arial" w:hAnsi="Arial" w:cs="Arial"/>
          <w:sz w:val="24"/>
          <w:szCs w:val="24"/>
        </w:rPr>
        <w:t xml:space="preserve">  1 January 2011 is when the Limitation Act 2010 </w:t>
      </w:r>
      <w:r w:rsidR="00007B7A" w:rsidRPr="003112B5">
        <w:rPr>
          <w:rFonts w:ascii="Arial" w:hAnsi="Arial" w:cs="Arial"/>
          <w:sz w:val="24"/>
          <w:szCs w:val="24"/>
        </w:rPr>
        <w:t>(</w:t>
      </w:r>
      <w:r w:rsidR="00007B7A" w:rsidRPr="003112B5">
        <w:rPr>
          <w:rFonts w:ascii="Arial" w:hAnsi="Arial" w:cs="Arial"/>
          <w:b/>
          <w:bCs/>
          <w:sz w:val="24"/>
          <w:szCs w:val="24"/>
        </w:rPr>
        <w:t>2010 Act</w:t>
      </w:r>
      <w:r w:rsidR="00007B7A" w:rsidRPr="003112B5">
        <w:rPr>
          <w:rFonts w:ascii="Arial" w:hAnsi="Arial" w:cs="Arial"/>
          <w:sz w:val="24"/>
          <w:szCs w:val="24"/>
        </w:rPr>
        <w:t>)</w:t>
      </w:r>
      <w:r w:rsidR="00007B7A" w:rsidRPr="003112B5">
        <w:rPr>
          <w:rFonts w:ascii="Arial" w:hAnsi="Arial" w:cs="Arial"/>
          <w:b/>
          <w:bCs/>
          <w:sz w:val="24"/>
          <w:szCs w:val="24"/>
        </w:rPr>
        <w:t xml:space="preserve"> </w:t>
      </w:r>
      <w:r w:rsidR="00C71971" w:rsidRPr="003112B5">
        <w:rPr>
          <w:rFonts w:ascii="Arial" w:hAnsi="Arial" w:cs="Arial"/>
          <w:sz w:val="24"/>
          <w:szCs w:val="24"/>
        </w:rPr>
        <w:t xml:space="preserve">came into force.  The 2010 Act repealed </w:t>
      </w:r>
      <w:r w:rsidR="00191954" w:rsidRPr="003112B5">
        <w:rPr>
          <w:rFonts w:ascii="Arial" w:hAnsi="Arial" w:cs="Arial"/>
          <w:sz w:val="24"/>
          <w:szCs w:val="24"/>
        </w:rPr>
        <w:t xml:space="preserve">the previous law on limitation periods, </w:t>
      </w:r>
      <w:r w:rsidR="00C71971" w:rsidRPr="003112B5">
        <w:rPr>
          <w:rFonts w:ascii="Arial" w:hAnsi="Arial" w:cs="Arial"/>
          <w:sz w:val="24"/>
          <w:szCs w:val="24"/>
        </w:rPr>
        <w:t>the Limitation Act 1950.</w:t>
      </w:r>
      <w:r w:rsidR="00C71971" w:rsidRPr="003112B5">
        <w:rPr>
          <w:rStyle w:val="FootnoteReference"/>
          <w:rFonts w:ascii="Arial" w:hAnsi="Arial" w:cs="Arial"/>
          <w:sz w:val="24"/>
          <w:szCs w:val="24"/>
        </w:rPr>
        <w:footnoteReference w:id="124"/>
      </w:r>
    </w:p>
    <w:p w14:paraId="183B9018" w14:textId="36F9ABC8" w:rsidR="00B76DA0" w:rsidRPr="003112B5" w:rsidRDefault="00B76DA0" w:rsidP="00B76DA0">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The 2010 Act has </w:t>
      </w:r>
      <w:r w:rsidR="008611A4" w:rsidRPr="003112B5">
        <w:rPr>
          <w:rFonts w:ascii="Arial" w:hAnsi="Arial" w:cs="Arial"/>
          <w:sz w:val="24"/>
          <w:szCs w:val="24"/>
        </w:rPr>
        <w:t xml:space="preserve">changed </w:t>
      </w:r>
      <w:r w:rsidRPr="003112B5">
        <w:rPr>
          <w:rFonts w:ascii="Arial" w:hAnsi="Arial" w:cs="Arial"/>
          <w:sz w:val="24"/>
          <w:szCs w:val="24"/>
        </w:rPr>
        <w:t>the</w:t>
      </w:r>
      <w:r w:rsidR="008611A4" w:rsidRPr="003112B5">
        <w:rPr>
          <w:rFonts w:ascii="Arial" w:hAnsi="Arial" w:cs="Arial"/>
          <w:sz w:val="24"/>
          <w:szCs w:val="24"/>
        </w:rPr>
        <w:t xml:space="preserve"> previous</w:t>
      </w:r>
      <w:r w:rsidRPr="003112B5">
        <w:rPr>
          <w:rFonts w:ascii="Arial" w:hAnsi="Arial" w:cs="Arial"/>
          <w:sz w:val="24"/>
          <w:szCs w:val="24"/>
        </w:rPr>
        <w:t xml:space="preserve"> law on limitations</w:t>
      </w:r>
      <w:r w:rsidR="008611A4" w:rsidRPr="003112B5">
        <w:rPr>
          <w:rFonts w:ascii="Arial" w:hAnsi="Arial" w:cs="Arial"/>
          <w:sz w:val="24"/>
          <w:szCs w:val="24"/>
        </w:rPr>
        <w:t xml:space="preserve"> in various respects</w:t>
      </w:r>
      <w:r w:rsidRPr="003112B5">
        <w:rPr>
          <w:rFonts w:ascii="Arial" w:hAnsi="Arial" w:cs="Arial"/>
          <w:sz w:val="24"/>
          <w:szCs w:val="24"/>
        </w:rPr>
        <w:t>.  For example, s 17 of this Act gives the Court a discretion to allow a claim relating to sexual or non-sexual abuse of an under-18 year old, despite there being a limitation defence available (i.e. despite the claim otherwise being time-barred).  The matters the Court has to take into account in deciding whether or not to allow the claim include any hardship that would be caused to the defendant if the claim were allowed, any hardship to the claimant if it were not, the reasons for the delay in bringing the claim, and the effects of the delay on the defendant's ability to defend the claim.</w:t>
      </w:r>
      <w:r w:rsidRPr="003112B5">
        <w:rPr>
          <w:rStyle w:val="FootnoteReference"/>
          <w:rFonts w:ascii="Arial" w:hAnsi="Arial" w:cs="Arial"/>
          <w:sz w:val="24"/>
          <w:szCs w:val="24"/>
        </w:rPr>
        <w:footnoteReference w:id="125"/>
      </w:r>
    </w:p>
    <w:p w14:paraId="09893BB5" w14:textId="45CB02E9" w:rsidR="006726D9" w:rsidRPr="003112B5" w:rsidRDefault="00B420CF"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Note </w:t>
      </w:r>
      <w:r w:rsidR="006726D9" w:rsidRPr="003112B5">
        <w:rPr>
          <w:rFonts w:ascii="Arial" w:hAnsi="Arial" w:cs="Arial"/>
          <w:sz w:val="24"/>
          <w:szCs w:val="24"/>
        </w:rPr>
        <w:t xml:space="preserve">also </w:t>
      </w:r>
      <w:r w:rsidRPr="003112B5">
        <w:rPr>
          <w:rFonts w:ascii="Arial" w:hAnsi="Arial" w:cs="Arial"/>
          <w:sz w:val="24"/>
          <w:szCs w:val="24"/>
        </w:rPr>
        <w:t xml:space="preserve">that </w:t>
      </w:r>
      <w:r w:rsidR="00C50E1E" w:rsidRPr="003112B5">
        <w:rPr>
          <w:rFonts w:ascii="Arial" w:hAnsi="Arial" w:cs="Arial"/>
          <w:sz w:val="24"/>
          <w:szCs w:val="24"/>
        </w:rPr>
        <w:t xml:space="preserve">under </w:t>
      </w:r>
      <w:r w:rsidRPr="003112B5">
        <w:rPr>
          <w:rFonts w:ascii="Arial" w:hAnsi="Arial" w:cs="Arial"/>
          <w:sz w:val="24"/>
          <w:szCs w:val="24"/>
        </w:rPr>
        <w:t>the HDCA</w:t>
      </w:r>
      <w:r w:rsidR="00C50E1E" w:rsidRPr="003112B5">
        <w:rPr>
          <w:rFonts w:ascii="Arial" w:hAnsi="Arial" w:cs="Arial"/>
          <w:sz w:val="24"/>
          <w:szCs w:val="24"/>
        </w:rPr>
        <w:t>,</w:t>
      </w:r>
      <w:r w:rsidRPr="003112B5">
        <w:rPr>
          <w:rFonts w:ascii="Arial" w:hAnsi="Arial" w:cs="Arial"/>
          <w:sz w:val="24"/>
          <w:szCs w:val="24"/>
        </w:rPr>
        <w:t xml:space="preserve"> the Health and Disability Commissioner </w:t>
      </w:r>
      <w:r w:rsidR="00C50E1E" w:rsidRPr="003112B5">
        <w:rPr>
          <w:rFonts w:ascii="Arial" w:hAnsi="Arial" w:cs="Arial"/>
          <w:sz w:val="24"/>
          <w:szCs w:val="24"/>
        </w:rPr>
        <w:t xml:space="preserve">may </w:t>
      </w:r>
      <w:r w:rsidRPr="003112B5">
        <w:rPr>
          <w:rFonts w:ascii="Arial" w:eastAsia="Times New Roman" w:hAnsi="Arial" w:cs="Arial"/>
          <w:color w:val="000000"/>
          <w:sz w:val="24"/>
          <w:szCs w:val="24"/>
          <w:lang w:eastAsia="en-NZ"/>
        </w:rPr>
        <w:t>investigate</w:t>
      </w:r>
      <w:r w:rsidRPr="003112B5">
        <w:rPr>
          <w:rFonts w:ascii="Arial" w:hAnsi="Arial" w:cs="Arial"/>
          <w:sz w:val="24"/>
          <w:szCs w:val="24"/>
        </w:rPr>
        <w:t xml:space="preserve"> an act by a health practitioner at any time before 1 July 1996.  The power may be exercised if it appears that </w:t>
      </w:r>
      <w:r w:rsidR="006726D9" w:rsidRPr="003112B5">
        <w:rPr>
          <w:rFonts w:ascii="Arial" w:hAnsi="Arial" w:cs="Arial"/>
          <w:sz w:val="24"/>
          <w:szCs w:val="24"/>
        </w:rPr>
        <w:t xml:space="preserve">the act affected a </w:t>
      </w:r>
      <w:r w:rsidRPr="003112B5">
        <w:rPr>
          <w:rFonts w:ascii="Arial" w:hAnsi="Arial" w:cs="Arial"/>
          <w:sz w:val="24"/>
          <w:szCs w:val="24"/>
        </w:rPr>
        <w:t>health consumer and, when it occurred, was a basis for disciplinary proceedings against the health practitioner.</w:t>
      </w:r>
      <w:r w:rsidRPr="003112B5">
        <w:rPr>
          <w:rStyle w:val="FootnoteReference"/>
          <w:rFonts w:ascii="Arial" w:hAnsi="Arial" w:cs="Arial"/>
          <w:sz w:val="24"/>
          <w:szCs w:val="24"/>
        </w:rPr>
        <w:footnoteReference w:id="126"/>
      </w:r>
      <w:r w:rsidRPr="003112B5">
        <w:rPr>
          <w:rFonts w:ascii="Arial" w:hAnsi="Arial" w:cs="Arial"/>
          <w:sz w:val="24"/>
          <w:szCs w:val="24"/>
        </w:rPr>
        <w:t xml:space="preserve">  Following such an investigation the steps that may be taken include disciplinary proceedings against the health practitioner.</w:t>
      </w:r>
      <w:r w:rsidRPr="003112B5">
        <w:rPr>
          <w:rStyle w:val="FootnoteReference"/>
          <w:rFonts w:ascii="Arial" w:hAnsi="Arial" w:cs="Arial"/>
          <w:sz w:val="24"/>
          <w:szCs w:val="24"/>
        </w:rPr>
        <w:footnoteReference w:id="127"/>
      </w:r>
      <w:r w:rsidRPr="003112B5">
        <w:rPr>
          <w:rFonts w:ascii="Arial" w:hAnsi="Arial" w:cs="Arial"/>
          <w:sz w:val="24"/>
          <w:szCs w:val="24"/>
        </w:rPr>
        <w:t xml:space="preserve">  </w:t>
      </w:r>
    </w:p>
    <w:p w14:paraId="06760A2F" w14:textId="2BDC7B5C" w:rsidR="00B420CF" w:rsidRPr="003112B5" w:rsidRDefault="00B420CF"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However, </w:t>
      </w:r>
      <w:r w:rsidR="00661DCE">
        <w:rPr>
          <w:rFonts w:ascii="Arial" w:hAnsi="Arial" w:cs="Arial"/>
          <w:sz w:val="24"/>
          <w:szCs w:val="24"/>
        </w:rPr>
        <w:t xml:space="preserve">it appears that </w:t>
      </w:r>
      <w:r w:rsidRPr="003112B5">
        <w:rPr>
          <w:rFonts w:ascii="Arial" w:hAnsi="Arial" w:cs="Arial"/>
          <w:sz w:val="24"/>
          <w:szCs w:val="24"/>
        </w:rPr>
        <w:t xml:space="preserve">proceedings as referred to in </w:t>
      </w:r>
      <w:r w:rsidRPr="00DE12C1">
        <w:rPr>
          <w:rFonts w:ascii="Arial" w:hAnsi="Arial" w:cs="Arial"/>
          <w:sz w:val="24"/>
          <w:szCs w:val="24"/>
        </w:rPr>
        <w:t>paragraph</w:t>
      </w:r>
      <w:r w:rsidR="004B15D1" w:rsidRPr="00DE12C1">
        <w:rPr>
          <w:rFonts w:ascii="Arial" w:hAnsi="Arial" w:cs="Arial"/>
          <w:sz w:val="24"/>
          <w:szCs w:val="24"/>
        </w:rPr>
        <w:t xml:space="preserve"> </w:t>
      </w:r>
      <w:r w:rsidR="004B15D1" w:rsidRPr="00661DCE">
        <w:rPr>
          <w:rFonts w:ascii="Arial" w:hAnsi="Arial" w:cs="Arial"/>
          <w:sz w:val="24"/>
          <w:szCs w:val="24"/>
        </w:rPr>
        <w:t>8</w:t>
      </w:r>
      <w:r w:rsidR="008D02A1" w:rsidRPr="00661DCE">
        <w:rPr>
          <w:rFonts w:ascii="Arial" w:hAnsi="Arial" w:cs="Arial"/>
          <w:sz w:val="24"/>
          <w:szCs w:val="24"/>
        </w:rPr>
        <w:t>5</w:t>
      </w:r>
      <w:r w:rsidR="001A4465" w:rsidRPr="00661DCE">
        <w:rPr>
          <w:rFonts w:ascii="Arial" w:hAnsi="Arial" w:cs="Arial"/>
          <w:sz w:val="24"/>
          <w:szCs w:val="24"/>
        </w:rPr>
        <w:t>(b)</w:t>
      </w:r>
      <w:r w:rsidRPr="003112B5">
        <w:rPr>
          <w:rFonts w:ascii="Arial" w:hAnsi="Arial" w:cs="Arial"/>
          <w:sz w:val="24"/>
          <w:szCs w:val="24"/>
        </w:rPr>
        <w:t xml:space="preserve"> </w:t>
      </w:r>
      <w:r w:rsidR="009F4704" w:rsidRPr="003112B5">
        <w:rPr>
          <w:rFonts w:ascii="Arial" w:hAnsi="Arial" w:cs="Arial"/>
          <w:sz w:val="24"/>
          <w:szCs w:val="24"/>
        </w:rPr>
        <w:t xml:space="preserve">above </w:t>
      </w:r>
      <w:r w:rsidRPr="003112B5">
        <w:rPr>
          <w:rFonts w:ascii="Arial" w:hAnsi="Arial" w:cs="Arial"/>
          <w:sz w:val="24"/>
          <w:szCs w:val="24"/>
        </w:rPr>
        <w:t>may not be brought in the HRRT</w:t>
      </w:r>
      <w:r w:rsidR="00661DCE">
        <w:rPr>
          <w:rFonts w:ascii="Arial" w:hAnsi="Arial" w:cs="Arial"/>
          <w:sz w:val="24"/>
          <w:szCs w:val="24"/>
        </w:rPr>
        <w:t xml:space="preserve"> in relation to such an act</w:t>
      </w:r>
      <w:r w:rsidRPr="003112B5">
        <w:rPr>
          <w:rFonts w:ascii="Arial" w:hAnsi="Arial" w:cs="Arial"/>
          <w:sz w:val="24"/>
          <w:szCs w:val="24"/>
        </w:rPr>
        <w:t>.</w:t>
      </w:r>
      <w:r w:rsidRPr="003112B5">
        <w:rPr>
          <w:rStyle w:val="FootnoteReference"/>
          <w:rFonts w:ascii="Arial" w:hAnsi="Arial" w:cs="Arial"/>
          <w:sz w:val="24"/>
          <w:szCs w:val="24"/>
        </w:rPr>
        <w:footnoteReference w:id="128"/>
      </w:r>
      <w:r w:rsidRPr="003112B5">
        <w:rPr>
          <w:rFonts w:ascii="Arial" w:hAnsi="Arial" w:cs="Arial"/>
          <w:sz w:val="24"/>
          <w:szCs w:val="24"/>
        </w:rPr>
        <w:t xml:space="preserve">  </w:t>
      </w:r>
      <w:r w:rsidR="00661DCE">
        <w:rPr>
          <w:rFonts w:ascii="Arial" w:hAnsi="Arial" w:cs="Arial"/>
          <w:sz w:val="24"/>
          <w:szCs w:val="24"/>
        </w:rPr>
        <w:t xml:space="preserve">On this basis, </w:t>
      </w:r>
      <w:r w:rsidRPr="003112B5">
        <w:rPr>
          <w:rFonts w:ascii="Arial" w:hAnsi="Arial" w:cs="Arial"/>
          <w:sz w:val="24"/>
          <w:szCs w:val="24"/>
        </w:rPr>
        <w:t xml:space="preserve">the HRRT’s powers to grant remedies as summarised above </w:t>
      </w:r>
      <w:r w:rsidR="00661DCE">
        <w:rPr>
          <w:rFonts w:ascii="Arial" w:hAnsi="Arial" w:cs="Arial"/>
          <w:sz w:val="24"/>
          <w:szCs w:val="24"/>
        </w:rPr>
        <w:t xml:space="preserve">could not </w:t>
      </w:r>
      <w:r w:rsidRPr="003112B5">
        <w:rPr>
          <w:rFonts w:ascii="Arial" w:hAnsi="Arial" w:cs="Arial"/>
          <w:sz w:val="24"/>
          <w:szCs w:val="24"/>
        </w:rPr>
        <w:t xml:space="preserve">be exercised in favour of a person harmed by such a health practitioner (although there </w:t>
      </w:r>
      <w:r w:rsidR="00DD6B58">
        <w:rPr>
          <w:rFonts w:ascii="Arial" w:hAnsi="Arial" w:cs="Arial"/>
          <w:sz w:val="24"/>
          <w:szCs w:val="24"/>
        </w:rPr>
        <w:t xml:space="preserve">may be </w:t>
      </w:r>
      <w:r w:rsidRPr="003112B5">
        <w:rPr>
          <w:rFonts w:ascii="Arial" w:hAnsi="Arial" w:cs="Arial"/>
          <w:sz w:val="24"/>
          <w:szCs w:val="24"/>
        </w:rPr>
        <w:t>other remedies available to such a person).</w:t>
      </w:r>
    </w:p>
    <w:p w14:paraId="213629D5" w14:textId="032A718E" w:rsidR="00A84A67" w:rsidRPr="003112B5" w:rsidRDefault="00AF0AE0"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Pr>
          <w:rFonts w:ascii="Arial" w:hAnsi="Arial" w:cs="Arial"/>
          <w:sz w:val="24"/>
          <w:szCs w:val="24"/>
        </w:rPr>
        <w:t xml:space="preserve">Limitation </w:t>
      </w:r>
      <w:r w:rsidR="00A84A67" w:rsidRPr="003112B5">
        <w:rPr>
          <w:rFonts w:ascii="Arial" w:hAnsi="Arial" w:cs="Arial"/>
          <w:sz w:val="24"/>
          <w:szCs w:val="24"/>
        </w:rPr>
        <w:t xml:space="preserve">periods will be </w:t>
      </w:r>
      <w:r>
        <w:rPr>
          <w:rFonts w:ascii="Arial" w:hAnsi="Arial" w:cs="Arial"/>
          <w:sz w:val="24"/>
          <w:szCs w:val="24"/>
        </w:rPr>
        <w:t xml:space="preserve">further explored during the </w:t>
      </w:r>
      <w:r w:rsidR="00A84A67" w:rsidRPr="003112B5">
        <w:rPr>
          <w:rFonts w:ascii="Arial" w:hAnsi="Arial" w:cs="Arial"/>
          <w:sz w:val="24"/>
          <w:szCs w:val="24"/>
        </w:rPr>
        <w:t>Inquiry.</w:t>
      </w:r>
    </w:p>
    <w:p w14:paraId="3F4F04FF" w14:textId="43A83048" w:rsidR="00693521" w:rsidRPr="003112B5" w:rsidRDefault="00A84A67" w:rsidP="009B691C">
      <w:pPr>
        <w:spacing w:after="0" w:line="240" w:lineRule="auto"/>
        <w:rPr>
          <w:rFonts w:ascii="Arial" w:hAnsi="Arial" w:cs="Arial"/>
          <w:b/>
          <w:bCs/>
          <w:sz w:val="24"/>
          <w:szCs w:val="24"/>
        </w:rPr>
      </w:pPr>
      <w:r w:rsidRPr="003112B5">
        <w:rPr>
          <w:rFonts w:ascii="Arial" w:hAnsi="Arial" w:cs="Arial"/>
          <w:b/>
          <w:bCs/>
          <w:sz w:val="24"/>
          <w:szCs w:val="24"/>
        </w:rPr>
        <w:lastRenderedPageBreak/>
        <w:t xml:space="preserve">FURTHER </w:t>
      </w:r>
      <w:r w:rsidR="003A4022" w:rsidRPr="003112B5">
        <w:rPr>
          <w:rFonts w:ascii="Arial" w:hAnsi="Arial" w:cs="Arial"/>
          <w:b/>
          <w:bCs/>
          <w:sz w:val="24"/>
          <w:szCs w:val="24"/>
        </w:rPr>
        <w:t>ASSESSMENT</w:t>
      </w:r>
    </w:p>
    <w:p w14:paraId="7C002EEE" w14:textId="77777777" w:rsidR="009B691C" w:rsidRPr="003112B5" w:rsidRDefault="009B691C" w:rsidP="009B691C">
      <w:pPr>
        <w:spacing w:after="0" w:line="240" w:lineRule="auto"/>
        <w:rPr>
          <w:rFonts w:ascii="Arial" w:hAnsi="Arial" w:cs="Arial"/>
          <w:sz w:val="24"/>
          <w:szCs w:val="24"/>
        </w:rPr>
      </w:pPr>
    </w:p>
    <w:p w14:paraId="1A09B6FA" w14:textId="153D650B" w:rsidR="00693521" w:rsidRPr="003112B5" w:rsidRDefault="00A84A67"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As already stated, t</w:t>
      </w:r>
      <w:r w:rsidR="00693521" w:rsidRPr="003112B5">
        <w:rPr>
          <w:rFonts w:ascii="Arial" w:hAnsi="Arial" w:cs="Arial"/>
          <w:sz w:val="24"/>
          <w:szCs w:val="24"/>
        </w:rPr>
        <w:t>he relevant time period for th</w:t>
      </w:r>
      <w:r w:rsidR="009F4704" w:rsidRPr="003112B5">
        <w:rPr>
          <w:rFonts w:ascii="Arial" w:hAnsi="Arial" w:cs="Arial"/>
          <w:sz w:val="24"/>
          <w:szCs w:val="24"/>
        </w:rPr>
        <w:t xml:space="preserve">e </w:t>
      </w:r>
      <w:r w:rsidR="00693521" w:rsidRPr="003112B5">
        <w:rPr>
          <w:rFonts w:ascii="Arial" w:hAnsi="Arial" w:cs="Arial"/>
          <w:sz w:val="24"/>
          <w:szCs w:val="24"/>
        </w:rPr>
        <w:t xml:space="preserve">Inquiry is between 1 January 1950 and 31 December 1999 (and, at the Inquiry’s discretion, </w:t>
      </w:r>
      <w:r w:rsidR="006D2EC9" w:rsidRPr="003112B5">
        <w:rPr>
          <w:rFonts w:ascii="Arial" w:hAnsi="Arial" w:cs="Arial"/>
          <w:sz w:val="24"/>
          <w:szCs w:val="24"/>
        </w:rPr>
        <w:t xml:space="preserve">before 1950 and </w:t>
      </w:r>
      <w:r w:rsidR="00693521" w:rsidRPr="003112B5">
        <w:rPr>
          <w:rFonts w:ascii="Arial" w:hAnsi="Arial" w:cs="Arial"/>
          <w:sz w:val="24"/>
          <w:szCs w:val="24"/>
        </w:rPr>
        <w:t xml:space="preserve">after 1999).  The Inquiry’s terms of reference require it to consider relevant domestic and international law, including international human rights law.  </w:t>
      </w:r>
    </w:p>
    <w:p w14:paraId="2A32DA6B" w14:textId="41DA2AF3" w:rsidR="009B691C" w:rsidRPr="003112B5" w:rsidRDefault="002E6089"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This means the Inquiry will need to consider</w:t>
      </w:r>
      <w:r w:rsidR="009B691C" w:rsidRPr="003112B5">
        <w:rPr>
          <w:rFonts w:ascii="Arial" w:hAnsi="Arial" w:cs="Arial"/>
          <w:sz w:val="24"/>
          <w:szCs w:val="24"/>
        </w:rPr>
        <w:t xml:space="preserve"> the nature and scope of New Zealand’s human rights obligations under the Charter </w:t>
      </w:r>
      <w:r w:rsidRPr="003112B5">
        <w:rPr>
          <w:rFonts w:ascii="Arial" w:hAnsi="Arial" w:cs="Arial"/>
          <w:sz w:val="24"/>
          <w:szCs w:val="24"/>
        </w:rPr>
        <w:t xml:space="preserve">before </w:t>
      </w:r>
      <w:r w:rsidR="009F4704" w:rsidRPr="003112B5">
        <w:rPr>
          <w:rFonts w:ascii="Arial" w:hAnsi="Arial" w:cs="Arial"/>
          <w:sz w:val="24"/>
          <w:szCs w:val="24"/>
        </w:rPr>
        <w:t>New Zealand</w:t>
      </w:r>
      <w:r w:rsidRPr="003112B5">
        <w:rPr>
          <w:rFonts w:ascii="Arial" w:hAnsi="Arial" w:cs="Arial"/>
          <w:sz w:val="24"/>
          <w:szCs w:val="24"/>
        </w:rPr>
        <w:t xml:space="preserve"> became a State Party to the human rights treaties referred to in Part B of this paper</w:t>
      </w:r>
      <w:r w:rsidR="009F4704" w:rsidRPr="003112B5">
        <w:rPr>
          <w:rFonts w:ascii="Arial" w:hAnsi="Arial" w:cs="Arial"/>
          <w:sz w:val="24"/>
          <w:szCs w:val="24"/>
        </w:rPr>
        <w:t>.</w:t>
      </w:r>
      <w:r w:rsidR="00191954" w:rsidRPr="003112B5">
        <w:rPr>
          <w:rFonts w:ascii="Arial" w:hAnsi="Arial" w:cs="Arial"/>
          <w:sz w:val="24"/>
          <w:szCs w:val="24"/>
        </w:rPr>
        <w:t xml:space="preserve">  Relevant to this </w:t>
      </w:r>
      <w:r w:rsidR="008611A4" w:rsidRPr="003112B5">
        <w:rPr>
          <w:rFonts w:ascii="Arial" w:hAnsi="Arial" w:cs="Arial"/>
          <w:sz w:val="24"/>
          <w:szCs w:val="24"/>
        </w:rPr>
        <w:t xml:space="preserve">may </w:t>
      </w:r>
      <w:r w:rsidR="00191954" w:rsidRPr="003112B5">
        <w:rPr>
          <w:rFonts w:ascii="Arial" w:hAnsi="Arial" w:cs="Arial"/>
          <w:sz w:val="24"/>
          <w:szCs w:val="24"/>
        </w:rPr>
        <w:t>be instruments such as the 1924 Geneva Declaration of the Rights of the Child and the Declaration of the Rights of the Child adopted by the UN General Assembly on 20 November 1959</w:t>
      </w:r>
      <w:r w:rsidR="005F4D88" w:rsidRPr="003112B5">
        <w:rPr>
          <w:rFonts w:ascii="Arial" w:hAnsi="Arial" w:cs="Arial"/>
          <w:sz w:val="24"/>
          <w:szCs w:val="24"/>
        </w:rPr>
        <w:t xml:space="preserve"> (both referred to in the preamble to </w:t>
      </w:r>
      <w:r w:rsidR="00007B7A" w:rsidRPr="003112B5">
        <w:rPr>
          <w:rFonts w:ascii="Arial" w:hAnsi="Arial" w:cs="Arial"/>
          <w:sz w:val="24"/>
          <w:szCs w:val="24"/>
        </w:rPr>
        <w:t>CROC</w:t>
      </w:r>
      <w:r w:rsidR="005F4D88" w:rsidRPr="003112B5">
        <w:rPr>
          <w:rFonts w:ascii="Arial" w:hAnsi="Arial" w:cs="Arial"/>
          <w:sz w:val="24"/>
          <w:szCs w:val="24"/>
        </w:rPr>
        <w:t>)</w:t>
      </w:r>
      <w:r w:rsidR="00191954" w:rsidRPr="003112B5">
        <w:rPr>
          <w:rFonts w:ascii="Arial" w:hAnsi="Arial" w:cs="Arial"/>
          <w:sz w:val="24"/>
          <w:szCs w:val="24"/>
        </w:rPr>
        <w:t xml:space="preserve">.  </w:t>
      </w:r>
      <w:r w:rsidR="00AC1B23">
        <w:rPr>
          <w:rFonts w:ascii="Arial" w:hAnsi="Arial" w:cs="Arial"/>
          <w:sz w:val="24"/>
          <w:szCs w:val="24"/>
        </w:rPr>
        <w:t>It was not possible to undertake this review within the timeframe for this briefing paper.</w:t>
      </w:r>
    </w:p>
    <w:p w14:paraId="54C7E613" w14:textId="352EC430" w:rsidR="00693521" w:rsidRPr="003112B5" w:rsidRDefault="002E6089"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Also, t</w:t>
      </w:r>
      <w:r w:rsidR="00286053" w:rsidRPr="003112B5">
        <w:rPr>
          <w:rFonts w:ascii="Arial" w:hAnsi="Arial" w:cs="Arial"/>
          <w:sz w:val="24"/>
          <w:szCs w:val="24"/>
        </w:rPr>
        <w:t xml:space="preserve">he view set out in the document which proposed a Bill of Rights for New Zealand was that the rights in the Bill were “almost all firmly based on the existing law”, including statute </w:t>
      </w:r>
      <w:r w:rsidR="00935165" w:rsidRPr="003112B5">
        <w:rPr>
          <w:rFonts w:ascii="Arial" w:hAnsi="Arial" w:cs="Arial"/>
          <w:sz w:val="24"/>
          <w:szCs w:val="24"/>
        </w:rPr>
        <w:t xml:space="preserve">and common law </w:t>
      </w:r>
      <w:r w:rsidR="00286053" w:rsidRPr="003112B5">
        <w:rPr>
          <w:rFonts w:ascii="Arial" w:hAnsi="Arial" w:cs="Arial"/>
          <w:sz w:val="24"/>
          <w:szCs w:val="24"/>
        </w:rPr>
        <w:t>then in place</w:t>
      </w:r>
      <w:r w:rsidR="00AB644E" w:rsidRPr="003112B5">
        <w:rPr>
          <w:rFonts w:ascii="Arial" w:hAnsi="Arial" w:cs="Arial"/>
          <w:sz w:val="24"/>
          <w:szCs w:val="24"/>
        </w:rPr>
        <w:t xml:space="preserve">.  It was further considered </w:t>
      </w:r>
      <w:r w:rsidR="00286053" w:rsidRPr="003112B5">
        <w:rPr>
          <w:rFonts w:ascii="Arial" w:hAnsi="Arial" w:cs="Arial"/>
          <w:sz w:val="24"/>
          <w:szCs w:val="24"/>
        </w:rPr>
        <w:t>that the Bill reflected public policy that was</w:t>
      </w:r>
      <w:r w:rsidR="009F4704" w:rsidRPr="003112B5">
        <w:rPr>
          <w:rFonts w:ascii="Arial" w:hAnsi="Arial" w:cs="Arial"/>
          <w:sz w:val="24"/>
          <w:szCs w:val="24"/>
        </w:rPr>
        <w:t xml:space="preserve"> then</w:t>
      </w:r>
      <w:r w:rsidR="00286053" w:rsidRPr="003112B5">
        <w:rPr>
          <w:rFonts w:ascii="Arial" w:hAnsi="Arial" w:cs="Arial"/>
          <w:sz w:val="24"/>
          <w:szCs w:val="24"/>
        </w:rPr>
        <w:t xml:space="preserve"> widely accepted.</w:t>
      </w:r>
      <w:r w:rsidR="00286053" w:rsidRPr="003112B5">
        <w:rPr>
          <w:rStyle w:val="FootnoteReference"/>
          <w:rFonts w:ascii="Arial" w:hAnsi="Arial" w:cs="Arial"/>
          <w:sz w:val="24"/>
          <w:szCs w:val="24"/>
        </w:rPr>
        <w:footnoteReference w:id="129"/>
      </w:r>
      <w:r w:rsidR="003A4022" w:rsidRPr="003112B5">
        <w:rPr>
          <w:rFonts w:ascii="Arial" w:hAnsi="Arial" w:cs="Arial"/>
          <w:sz w:val="24"/>
          <w:szCs w:val="24"/>
        </w:rPr>
        <w:t xml:space="preserve">  </w:t>
      </w:r>
      <w:r w:rsidR="00AC1B23">
        <w:rPr>
          <w:rFonts w:ascii="Arial" w:hAnsi="Arial" w:cs="Arial"/>
          <w:sz w:val="24"/>
          <w:szCs w:val="24"/>
        </w:rPr>
        <w:t xml:space="preserve">It may be useful to undertake </w:t>
      </w:r>
      <w:r w:rsidR="00935165" w:rsidRPr="003112B5">
        <w:rPr>
          <w:rFonts w:ascii="Arial" w:hAnsi="Arial" w:cs="Arial"/>
          <w:sz w:val="24"/>
          <w:szCs w:val="24"/>
        </w:rPr>
        <w:t xml:space="preserve">an assessment of </w:t>
      </w:r>
      <w:r w:rsidR="00693521" w:rsidRPr="003112B5">
        <w:rPr>
          <w:rFonts w:ascii="Arial" w:hAnsi="Arial" w:cs="Arial"/>
          <w:sz w:val="24"/>
          <w:szCs w:val="24"/>
        </w:rPr>
        <w:t xml:space="preserve">protections in New Zealand </w:t>
      </w:r>
      <w:r w:rsidR="009F4704" w:rsidRPr="003112B5">
        <w:rPr>
          <w:rFonts w:ascii="Arial" w:hAnsi="Arial" w:cs="Arial"/>
          <w:sz w:val="24"/>
          <w:szCs w:val="24"/>
        </w:rPr>
        <w:t xml:space="preserve">before </w:t>
      </w:r>
      <w:r w:rsidR="00084724" w:rsidRPr="003112B5">
        <w:rPr>
          <w:rFonts w:ascii="Arial" w:hAnsi="Arial" w:cs="Arial"/>
          <w:sz w:val="24"/>
          <w:szCs w:val="24"/>
        </w:rPr>
        <w:t xml:space="preserve">1990 </w:t>
      </w:r>
      <w:r w:rsidR="00693521" w:rsidRPr="003112B5">
        <w:rPr>
          <w:rFonts w:ascii="Arial" w:hAnsi="Arial" w:cs="Arial"/>
          <w:sz w:val="24"/>
          <w:szCs w:val="24"/>
        </w:rPr>
        <w:t>for internationally recognised human rights</w:t>
      </w:r>
      <w:r w:rsidR="00935165" w:rsidRPr="003112B5">
        <w:rPr>
          <w:rFonts w:ascii="Arial" w:hAnsi="Arial" w:cs="Arial"/>
          <w:sz w:val="24"/>
          <w:szCs w:val="24"/>
        </w:rPr>
        <w:t xml:space="preserve"> </w:t>
      </w:r>
      <w:r w:rsidR="009F4704" w:rsidRPr="003112B5">
        <w:rPr>
          <w:rFonts w:ascii="Arial" w:hAnsi="Arial" w:cs="Arial"/>
          <w:sz w:val="24"/>
          <w:szCs w:val="24"/>
        </w:rPr>
        <w:t>(</w:t>
      </w:r>
      <w:r w:rsidR="00935165" w:rsidRPr="003112B5">
        <w:rPr>
          <w:rFonts w:ascii="Arial" w:hAnsi="Arial" w:cs="Arial"/>
          <w:sz w:val="24"/>
          <w:szCs w:val="24"/>
        </w:rPr>
        <w:t>relevant to the matters under consideration in this Inquiry</w:t>
      </w:r>
      <w:r w:rsidR="009F4704" w:rsidRPr="003112B5">
        <w:rPr>
          <w:rFonts w:ascii="Arial" w:hAnsi="Arial" w:cs="Arial"/>
          <w:sz w:val="24"/>
          <w:szCs w:val="24"/>
        </w:rPr>
        <w:t>)</w:t>
      </w:r>
      <w:r w:rsidR="00AC1B23">
        <w:rPr>
          <w:rFonts w:ascii="Arial" w:hAnsi="Arial" w:cs="Arial"/>
          <w:sz w:val="24"/>
          <w:szCs w:val="24"/>
        </w:rPr>
        <w:t xml:space="preserve"> to confirm the </w:t>
      </w:r>
      <w:r w:rsidR="00C041D4">
        <w:rPr>
          <w:rFonts w:ascii="Arial" w:hAnsi="Arial" w:cs="Arial"/>
          <w:sz w:val="24"/>
          <w:szCs w:val="24"/>
        </w:rPr>
        <w:t xml:space="preserve">basis and </w:t>
      </w:r>
      <w:r w:rsidR="00AC1B23">
        <w:rPr>
          <w:rFonts w:ascii="Arial" w:hAnsi="Arial" w:cs="Arial"/>
          <w:sz w:val="24"/>
          <w:szCs w:val="24"/>
        </w:rPr>
        <w:t>accuracy of that view</w:t>
      </w:r>
      <w:r w:rsidR="00693521" w:rsidRPr="003112B5">
        <w:rPr>
          <w:rFonts w:ascii="Arial" w:hAnsi="Arial" w:cs="Arial"/>
          <w:sz w:val="24"/>
          <w:szCs w:val="24"/>
        </w:rPr>
        <w:t xml:space="preserve">.  </w:t>
      </w:r>
      <w:r w:rsidR="00AC1B23">
        <w:rPr>
          <w:rFonts w:ascii="Arial" w:hAnsi="Arial" w:cs="Arial"/>
          <w:sz w:val="24"/>
          <w:szCs w:val="24"/>
        </w:rPr>
        <w:t xml:space="preserve">Such an </w:t>
      </w:r>
      <w:r w:rsidR="00693521" w:rsidRPr="003112B5">
        <w:rPr>
          <w:rFonts w:ascii="Arial" w:hAnsi="Arial" w:cs="Arial"/>
          <w:sz w:val="24"/>
          <w:szCs w:val="24"/>
        </w:rPr>
        <w:t xml:space="preserve">assessment </w:t>
      </w:r>
      <w:r w:rsidR="00AC1B23">
        <w:rPr>
          <w:rFonts w:ascii="Arial" w:hAnsi="Arial" w:cs="Arial"/>
          <w:sz w:val="24"/>
          <w:szCs w:val="24"/>
        </w:rPr>
        <w:t xml:space="preserve">would consider </w:t>
      </w:r>
      <w:r w:rsidR="00935165" w:rsidRPr="003112B5">
        <w:rPr>
          <w:rFonts w:ascii="Arial" w:hAnsi="Arial" w:cs="Arial"/>
          <w:sz w:val="24"/>
          <w:szCs w:val="24"/>
        </w:rPr>
        <w:t xml:space="preserve">relevant </w:t>
      </w:r>
      <w:r w:rsidR="00693521" w:rsidRPr="003112B5">
        <w:rPr>
          <w:rFonts w:ascii="Arial" w:hAnsi="Arial" w:cs="Arial"/>
          <w:sz w:val="24"/>
          <w:szCs w:val="24"/>
        </w:rPr>
        <w:t xml:space="preserve">domestic legislation and common law over that period.  </w:t>
      </w:r>
      <w:r w:rsidR="005B27DD">
        <w:rPr>
          <w:rFonts w:ascii="Arial" w:hAnsi="Arial" w:cs="Arial"/>
          <w:sz w:val="24"/>
          <w:szCs w:val="24"/>
        </w:rPr>
        <w:t>The prevailing p</w:t>
      </w:r>
      <w:r w:rsidR="00693521" w:rsidRPr="003112B5">
        <w:rPr>
          <w:rFonts w:ascii="Arial" w:hAnsi="Arial" w:cs="Arial"/>
          <w:sz w:val="24"/>
          <w:szCs w:val="24"/>
        </w:rPr>
        <w:t xml:space="preserve">olicy and practice </w:t>
      </w:r>
      <w:r w:rsidR="009F4704" w:rsidRPr="003112B5">
        <w:rPr>
          <w:rFonts w:ascii="Arial" w:hAnsi="Arial" w:cs="Arial"/>
          <w:sz w:val="24"/>
          <w:szCs w:val="24"/>
        </w:rPr>
        <w:t xml:space="preserve">may also need to be </w:t>
      </w:r>
      <w:r w:rsidR="00C33A8E">
        <w:rPr>
          <w:rFonts w:ascii="Arial" w:hAnsi="Arial" w:cs="Arial"/>
          <w:sz w:val="24"/>
          <w:szCs w:val="24"/>
        </w:rPr>
        <w:t xml:space="preserve">ascertained and </w:t>
      </w:r>
      <w:r w:rsidR="00693521" w:rsidRPr="003112B5">
        <w:rPr>
          <w:rFonts w:ascii="Arial" w:hAnsi="Arial" w:cs="Arial"/>
          <w:sz w:val="24"/>
          <w:szCs w:val="24"/>
        </w:rPr>
        <w:t>taken into account.</w:t>
      </w:r>
    </w:p>
    <w:p w14:paraId="7A1292A6" w14:textId="229E0DB9" w:rsidR="00B7420F" w:rsidRPr="003112B5" w:rsidRDefault="00E35800" w:rsidP="006D7FD1">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 xml:space="preserve">In addition, </w:t>
      </w:r>
      <w:r w:rsidR="003A2653" w:rsidRPr="003112B5">
        <w:rPr>
          <w:rFonts w:ascii="Arial" w:hAnsi="Arial" w:cs="Arial"/>
          <w:sz w:val="24"/>
          <w:szCs w:val="24"/>
        </w:rPr>
        <w:t xml:space="preserve">the protections available from 1990 in New Zealand statute law other than the NZBORA, HRA, Privacy Act and HDCA, </w:t>
      </w:r>
      <w:r w:rsidR="009F4704" w:rsidRPr="003112B5">
        <w:rPr>
          <w:rFonts w:ascii="Arial" w:hAnsi="Arial" w:cs="Arial"/>
          <w:sz w:val="24"/>
          <w:szCs w:val="24"/>
        </w:rPr>
        <w:t xml:space="preserve">and </w:t>
      </w:r>
      <w:r w:rsidR="003A2653" w:rsidRPr="003112B5">
        <w:rPr>
          <w:rFonts w:ascii="Arial" w:hAnsi="Arial" w:cs="Arial"/>
          <w:sz w:val="24"/>
          <w:szCs w:val="24"/>
        </w:rPr>
        <w:t>in common law</w:t>
      </w:r>
      <w:r w:rsidR="009F4704" w:rsidRPr="003112B5">
        <w:rPr>
          <w:rFonts w:ascii="Arial" w:hAnsi="Arial" w:cs="Arial"/>
          <w:sz w:val="24"/>
          <w:szCs w:val="24"/>
        </w:rPr>
        <w:t xml:space="preserve">, </w:t>
      </w:r>
      <w:r w:rsidR="00C041D4">
        <w:rPr>
          <w:rFonts w:ascii="Arial" w:hAnsi="Arial" w:cs="Arial"/>
          <w:sz w:val="24"/>
          <w:szCs w:val="24"/>
        </w:rPr>
        <w:t xml:space="preserve">should </w:t>
      </w:r>
      <w:r w:rsidR="003A2653" w:rsidRPr="003112B5">
        <w:rPr>
          <w:rFonts w:ascii="Arial" w:hAnsi="Arial" w:cs="Arial"/>
          <w:sz w:val="24"/>
          <w:szCs w:val="24"/>
        </w:rPr>
        <w:t>be assessed</w:t>
      </w:r>
      <w:r w:rsidR="009F4704" w:rsidRPr="003112B5">
        <w:rPr>
          <w:rFonts w:ascii="Arial" w:hAnsi="Arial" w:cs="Arial"/>
          <w:sz w:val="24"/>
          <w:szCs w:val="24"/>
        </w:rPr>
        <w:t xml:space="preserve"> (up to 31 December 1999, and beyond at the Inquiry’s discretion).  Relevant policy and practice </w:t>
      </w:r>
      <w:r w:rsidR="00407D35">
        <w:rPr>
          <w:rFonts w:ascii="Arial" w:hAnsi="Arial" w:cs="Arial"/>
          <w:sz w:val="24"/>
          <w:szCs w:val="24"/>
        </w:rPr>
        <w:t xml:space="preserve">in that period </w:t>
      </w:r>
      <w:r w:rsidR="009F4704" w:rsidRPr="003112B5">
        <w:rPr>
          <w:rFonts w:ascii="Arial" w:hAnsi="Arial" w:cs="Arial"/>
          <w:sz w:val="24"/>
          <w:szCs w:val="24"/>
        </w:rPr>
        <w:t xml:space="preserve">may need to be taken into account. </w:t>
      </w:r>
      <w:r w:rsidR="003A2653" w:rsidRPr="003112B5">
        <w:rPr>
          <w:rFonts w:ascii="Arial" w:hAnsi="Arial" w:cs="Arial"/>
          <w:sz w:val="24"/>
          <w:szCs w:val="24"/>
        </w:rPr>
        <w:t xml:space="preserve"> </w:t>
      </w:r>
      <w:r w:rsidR="00407D35">
        <w:rPr>
          <w:rFonts w:ascii="Arial" w:hAnsi="Arial" w:cs="Arial"/>
          <w:sz w:val="24"/>
          <w:szCs w:val="24"/>
        </w:rPr>
        <w:t xml:space="preserve">Further </w:t>
      </w:r>
      <w:r w:rsidR="003A2653" w:rsidRPr="003112B5">
        <w:rPr>
          <w:rFonts w:ascii="Arial" w:hAnsi="Arial" w:cs="Arial"/>
          <w:sz w:val="24"/>
          <w:szCs w:val="24"/>
        </w:rPr>
        <w:t xml:space="preserve">analysis of the statutes referred to in this paper </w:t>
      </w:r>
      <w:r w:rsidR="003A4022" w:rsidRPr="003112B5">
        <w:rPr>
          <w:rFonts w:ascii="Arial" w:hAnsi="Arial" w:cs="Arial"/>
          <w:sz w:val="24"/>
          <w:szCs w:val="24"/>
        </w:rPr>
        <w:t xml:space="preserve">will </w:t>
      </w:r>
      <w:r w:rsidR="003A2653" w:rsidRPr="003112B5">
        <w:rPr>
          <w:rFonts w:ascii="Arial" w:hAnsi="Arial" w:cs="Arial"/>
          <w:sz w:val="24"/>
          <w:szCs w:val="24"/>
        </w:rPr>
        <w:t>be required</w:t>
      </w:r>
      <w:r w:rsidR="003A4022" w:rsidRPr="003112B5">
        <w:rPr>
          <w:rFonts w:ascii="Arial" w:hAnsi="Arial" w:cs="Arial"/>
          <w:sz w:val="24"/>
          <w:szCs w:val="24"/>
        </w:rPr>
        <w:t>, as well as of international human rights law</w:t>
      </w:r>
      <w:r w:rsidR="00CD67C3" w:rsidRPr="003112B5">
        <w:rPr>
          <w:rFonts w:ascii="Arial" w:hAnsi="Arial" w:cs="Arial"/>
          <w:sz w:val="24"/>
          <w:szCs w:val="24"/>
        </w:rPr>
        <w:t xml:space="preserve">.  This will include </w:t>
      </w:r>
      <w:r w:rsidR="00007B7A" w:rsidRPr="003112B5">
        <w:rPr>
          <w:rFonts w:ascii="Arial" w:hAnsi="Arial" w:cs="Arial"/>
          <w:sz w:val="24"/>
          <w:szCs w:val="24"/>
        </w:rPr>
        <w:t xml:space="preserve">relevant international case law.  It may also include </w:t>
      </w:r>
      <w:r w:rsidR="00B7420F" w:rsidRPr="003112B5">
        <w:rPr>
          <w:rFonts w:ascii="Arial" w:hAnsi="Arial" w:cs="Arial"/>
          <w:sz w:val="24"/>
          <w:szCs w:val="24"/>
        </w:rPr>
        <w:t>documents which are not treaties but which have a significant status in the international community</w:t>
      </w:r>
      <w:r w:rsidR="00007B7A" w:rsidRPr="003112B5">
        <w:rPr>
          <w:rFonts w:ascii="Arial" w:hAnsi="Arial" w:cs="Arial"/>
          <w:sz w:val="24"/>
          <w:szCs w:val="24"/>
        </w:rPr>
        <w:t>.</w:t>
      </w:r>
      <w:r w:rsidR="006D7FD1" w:rsidRPr="003112B5">
        <w:rPr>
          <w:rStyle w:val="FootnoteReference"/>
          <w:rFonts w:ascii="Arial" w:hAnsi="Arial" w:cs="Arial"/>
          <w:sz w:val="24"/>
          <w:szCs w:val="24"/>
        </w:rPr>
        <w:footnoteReference w:id="130"/>
      </w:r>
      <w:r w:rsidR="006D7FD1" w:rsidRPr="003112B5">
        <w:rPr>
          <w:rFonts w:ascii="Arial" w:hAnsi="Arial" w:cs="Arial"/>
          <w:sz w:val="24"/>
          <w:szCs w:val="24"/>
        </w:rPr>
        <w:t xml:space="preserve"> </w:t>
      </w:r>
    </w:p>
    <w:p w14:paraId="684AF93F" w14:textId="5B2E8480" w:rsidR="00374721" w:rsidRPr="003112B5" w:rsidRDefault="00407D35" w:rsidP="00F97A3E">
      <w:pPr>
        <w:numPr>
          <w:ilvl w:val="0"/>
          <w:numId w:val="1"/>
        </w:numPr>
        <w:tabs>
          <w:tab w:val="num" w:pos="500"/>
        </w:tabs>
        <w:autoSpaceDE w:val="0"/>
        <w:autoSpaceDN w:val="0"/>
        <w:adjustRightInd w:val="0"/>
        <w:spacing w:after="240" w:line="240" w:lineRule="auto"/>
        <w:ind w:left="500" w:hanging="500"/>
        <w:jc w:val="both"/>
        <w:rPr>
          <w:rFonts w:ascii="Arial" w:hAnsi="Arial" w:cs="Arial"/>
          <w:sz w:val="24"/>
          <w:szCs w:val="24"/>
        </w:rPr>
      </w:pPr>
      <w:r>
        <w:rPr>
          <w:rFonts w:ascii="Arial" w:hAnsi="Arial" w:cs="Arial"/>
          <w:sz w:val="24"/>
          <w:szCs w:val="24"/>
        </w:rPr>
        <w:t xml:space="preserve">The Inquiry will seek </w:t>
      </w:r>
      <w:r w:rsidR="00C66471">
        <w:rPr>
          <w:rFonts w:ascii="Arial" w:hAnsi="Arial" w:cs="Arial"/>
          <w:sz w:val="24"/>
          <w:szCs w:val="24"/>
        </w:rPr>
        <w:t>e</w:t>
      </w:r>
      <w:r w:rsidR="003A4022" w:rsidRPr="003112B5">
        <w:rPr>
          <w:rFonts w:ascii="Arial" w:hAnsi="Arial" w:cs="Arial"/>
          <w:sz w:val="24"/>
          <w:szCs w:val="24"/>
        </w:rPr>
        <w:t>xpert evidence</w:t>
      </w:r>
      <w:r>
        <w:rPr>
          <w:rFonts w:ascii="Arial" w:hAnsi="Arial" w:cs="Arial"/>
          <w:sz w:val="24"/>
          <w:szCs w:val="24"/>
        </w:rPr>
        <w:t>, as required.</w:t>
      </w:r>
      <w:r w:rsidR="003A4022" w:rsidRPr="003112B5">
        <w:rPr>
          <w:rFonts w:ascii="Arial" w:hAnsi="Arial" w:cs="Arial"/>
          <w:sz w:val="24"/>
          <w:szCs w:val="24"/>
        </w:rPr>
        <w:t xml:space="preserve">  </w:t>
      </w:r>
    </w:p>
    <w:p w14:paraId="4D406DA9" w14:textId="77777777" w:rsidR="00374721" w:rsidRPr="003112B5" w:rsidRDefault="00374721">
      <w:pPr>
        <w:rPr>
          <w:rFonts w:ascii="Arial" w:hAnsi="Arial" w:cs="Arial"/>
          <w:sz w:val="24"/>
          <w:szCs w:val="24"/>
        </w:rPr>
      </w:pPr>
      <w:r w:rsidRPr="003112B5">
        <w:rPr>
          <w:rFonts w:ascii="Arial" w:hAnsi="Arial" w:cs="Arial"/>
          <w:sz w:val="24"/>
          <w:szCs w:val="24"/>
        </w:rPr>
        <w:br w:type="page"/>
      </w:r>
    </w:p>
    <w:p w14:paraId="4E910CBF" w14:textId="0B867BEC" w:rsidR="00374721" w:rsidRPr="003112B5" w:rsidRDefault="00374721" w:rsidP="00374721">
      <w:pPr>
        <w:autoSpaceDE w:val="0"/>
        <w:autoSpaceDN w:val="0"/>
        <w:adjustRightInd w:val="0"/>
        <w:spacing w:after="240" w:line="240" w:lineRule="auto"/>
        <w:jc w:val="center"/>
        <w:rPr>
          <w:rFonts w:ascii="Arial" w:hAnsi="Arial" w:cs="Arial"/>
          <w:b/>
          <w:bCs/>
          <w:sz w:val="24"/>
          <w:szCs w:val="24"/>
        </w:rPr>
      </w:pPr>
      <w:r w:rsidRPr="003112B5">
        <w:rPr>
          <w:rFonts w:ascii="Arial" w:hAnsi="Arial" w:cs="Arial"/>
          <w:b/>
          <w:bCs/>
          <w:sz w:val="24"/>
          <w:szCs w:val="24"/>
        </w:rPr>
        <w:lastRenderedPageBreak/>
        <w:t>APPENDIX A</w:t>
      </w:r>
    </w:p>
    <w:p w14:paraId="2B11B0EB" w14:textId="7713D2F6" w:rsidR="00693521" w:rsidRPr="003112B5" w:rsidRDefault="00374721" w:rsidP="00374721">
      <w:pPr>
        <w:autoSpaceDE w:val="0"/>
        <w:autoSpaceDN w:val="0"/>
        <w:adjustRightInd w:val="0"/>
        <w:spacing w:after="240" w:line="240" w:lineRule="auto"/>
        <w:jc w:val="center"/>
        <w:rPr>
          <w:rFonts w:ascii="Arial" w:hAnsi="Arial" w:cs="Arial"/>
          <w:b/>
          <w:bCs/>
          <w:sz w:val="24"/>
          <w:szCs w:val="24"/>
        </w:rPr>
      </w:pPr>
      <w:r w:rsidRPr="003112B5">
        <w:rPr>
          <w:rFonts w:ascii="Arial" w:hAnsi="Arial" w:cs="Arial"/>
          <w:b/>
          <w:bCs/>
          <w:sz w:val="24"/>
          <w:szCs w:val="24"/>
        </w:rPr>
        <w:t>EXAMPLES OF HUMAN RIGHTS AND RELATED OBLIGATIONS REFERRED TO IN INTERNATIONAL INSTRUMENTS</w:t>
      </w:r>
    </w:p>
    <w:p w14:paraId="0EA2E0FF" w14:textId="72BB8F01" w:rsidR="00374721" w:rsidRPr="003112B5" w:rsidRDefault="00374721" w:rsidP="00374721">
      <w:pPr>
        <w:autoSpaceDE w:val="0"/>
        <w:autoSpaceDN w:val="0"/>
        <w:adjustRightInd w:val="0"/>
        <w:spacing w:after="240" w:line="240" w:lineRule="auto"/>
        <w:jc w:val="both"/>
        <w:rPr>
          <w:rFonts w:ascii="Arial" w:hAnsi="Arial" w:cs="Arial"/>
          <w:b/>
          <w:bCs/>
          <w:sz w:val="24"/>
          <w:szCs w:val="24"/>
        </w:rPr>
      </w:pPr>
      <w:r w:rsidRPr="003112B5">
        <w:rPr>
          <w:rFonts w:ascii="Arial" w:hAnsi="Arial" w:cs="Arial"/>
          <w:b/>
          <w:bCs/>
          <w:sz w:val="24"/>
          <w:szCs w:val="24"/>
        </w:rPr>
        <w:t>Universal Declaration of Human Rights</w:t>
      </w:r>
    </w:p>
    <w:p w14:paraId="206A154C" w14:textId="5BC1064A" w:rsidR="00374721" w:rsidRPr="003112B5" w:rsidRDefault="00374721" w:rsidP="00374721">
      <w:pPr>
        <w:numPr>
          <w:ilvl w:val="0"/>
          <w:numId w:val="16"/>
        </w:numPr>
        <w:autoSpaceDE w:val="0"/>
        <w:autoSpaceDN w:val="0"/>
        <w:adjustRightInd w:val="0"/>
        <w:spacing w:after="240" w:line="240" w:lineRule="auto"/>
        <w:ind w:left="500" w:hanging="500"/>
        <w:jc w:val="both"/>
        <w:rPr>
          <w:rFonts w:ascii="Arial" w:hAnsi="Arial" w:cs="Arial"/>
          <w:sz w:val="24"/>
          <w:szCs w:val="24"/>
        </w:rPr>
      </w:pPr>
      <w:r w:rsidRPr="003112B5">
        <w:rPr>
          <w:rFonts w:ascii="Arial" w:hAnsi="Arial" w:cs="Arial"/>
          <w:sz w:val="24"/>
          <w:szCs w:val="24"/>
        </w:rPr>
        <w:t>The UDHR proclaims a wide range of rights, including the right:</w:t>
      </w:r>
    </w:p>
    <w:p w14:paraId="16964DDB" w14:textId="77777777"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to security of the person</w:t>
      </w:r>
      <w:r w:rsidRPr="003112B5">
        <w:rPr>
          <w:rStyle w:val="FootnoteReference"/>
          <w:rFonts w:ascii="Arial" w:eastAsia="Times New Roman" w:hAnsi="Arial" w:cs="Arial"/>
          <w:color w:val="000000"/>
          <w:sz w:val="24"/>
          <w:szCs w:val="24"/>
          <w:lang w:eastAsia="en-NZ"/>
        </w:rPr>
        <w:footnoteReference w:id="131"/>
      </w:r>
      <w:r w:rsidRPr="003112B5">
        <w:rPr>
          <w:rFonts w:ascii="Arial" w:eastAsia="Times New Roman" w:hAnsi="Arial" w:cs="Arial"/>
          <w:color w:val="000000"/>
          <w:sz w:val="24"/>
          <w:szCs w:val="24"/>
          <w:lang w:eastAsia="en-NZ"/>
        </w:rPr>
        <w:t xml:space="preserve"> (i.e. freedom from the intentional infliction of injury to the body or to the mind, or bodily and mental integrity).</w:t>
      </w:r>
      <w:r w:rsidRPr="003112B5">
        <w:rPr>
          <w:rStyle w:val="FootnoteReference"/>
          <w:rFonts w:ascii="Arial" w:eastAsia="Times New Roman" w:hAnsi="Arial" w:cs="Arial"/>
          <w:color w:val="000000"/>
          <w:sz w:val="24"/>
          <w:szCs w:val="24"/>
          <w:lang w:eastAsia="en-NZ"/>
        </w:rPr>
        <w:footnoteReference w:id="132"/>
      </w:r>
    </w:p>
    <w:p w14:paraId="1F358AD9" w14:textId="77777777" w:rsidR="00374721" w:rsidRPr="003112B5" w:rsidRDefault="00374721" w:rsidP="00374721">
      <w:pPr>
        <w:pStyle w:val="ListParagraph"/>
        <w:spacing w:after="0" w:line="240" w:lineRule="auto"/>
        <w:ind w:left="1634"/>
        <w:rPr>
          <w:rFonts w:ascii="Arial" w:eastAsia="Times New Roman" w:hAnsi="Arial" w:cs="Arial"/>
          <w:color w:val="000000"/>
          <w:sz w:val="24"/>
          <w:szCs w:val="24"/>
          <w:lang w:eastAsia="en-NZ"/>
        </w:rPr>
      </w:pPr>
    </w:p>
    <w:p w14:paraId="641C7AD3" w14:textId="77777777"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not to be subjected to torture or to cruel, inhuman or degrading treatment or punishment.</w:t>
      </w:r>
      <w:r w:rsidRPr="003112B5">
        <w:rPr>
          <w:rStyle w:val="FootnoteReference"/>
          <w:rFonts w:ascii="Arial" w:eastAsia="Times New Roman" w:hAnsi="Arial" w:cs="Arial"/>
          <w:color w:val="000000"/>
          <w:sz w:val="24"/>
          <w:szCs w:val="24"/>
          <w:lang w:eastAsia="en-NZ"/>
        </w:rPr>
        <w:footnoteReference w:id="133"/>
      </w:r>
    </w:p>
    <w:p w14:paraId="33A0E23F" w14:textId="77777777" w:rsidR="00374721" w:rsidRPr="003112B5" w:rsidRDefault="00374721" w:rsidP="00374721">
      <w:pPr>
        <w:pStyle w:val="ListParagraph"/>
        <w:spacing w:after="0" w:line="240" w:lineRule="auto"/>
        <w:ind w:left="860"/>
        <w:rPr>
          <w:rFonts w:ascii="Arial" w:eastAsia="Times New Roman" w:hAnsi="Arial" w:cs="Arial"/>
          <w:color w:val="000000"/>
          <w:sz w:val="24"/>
          <w:szCs w:val="24"/>
          <w:lang w:eastAsia="en-NZ"/>
        </w:rPr>
      </w:pPr>
    </w:p>
    <w:p w14:paraId="3E144C73" w14:textId="77777777"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to equal protection of the law, without any discrimination.</w:t>
      </w:r>
      <w:r w:rsidRPr="003112B5">
        <w:rPr>
          <w:rStyle w:val="FootnoteReference"/>
          <w:rFonts w:ascii="Arial" w:eastAsia="Times New Roman" w:hAnsi="Arial" w:cs="Arial"/>
          <w:color w:val="000000"/>
          <w:sz w:val="24"/>
          <w:szCs w:val="24"/>
          <w:lang w:eastAsia="en-NZ"/>
        </w:rPr>
        <w:footnoteReference w:id="134"/>
      </w:r>
    </w:p>
    <w:p w14:paraId="2BC5AF25" w14:textId="77777777" w:rsidR="00374721" w:rsidRPr="003112B5" w:rsidRDefault="00374721" w:rsidP="00374721">
      <w:pPr>
        <w:pStyle w:val="ListParagraph"/>
        <w:spacing w:after="0" w:line="240" w:lineRule="auto"/>
        <w:ind w:left="1634"/>
        <w:rPr>
          <w:rFonts w:ascii="Arial" w:eastAsia="Times New Roman" w:hAnsi="Arial" w:cs="Arial"/>
          <w:color w:val="000000"/>
          <w:sz w:val="24"/>
          <w:szCs w:val="24"/>
          <w:lang w:eastAsia="en-NZ"/>
        </w:rPr>
      </w:pPr>
    </w:p>
    <w:p w14:paraId="59DCF056" w14:textId="77777777"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to an effective remedy by the competent national tribunals for acts violating fundamental rights granted by law.</w:t>
      </w:r>
      <w:r w:rsidRPr="003112B5">
        <w:rPr>
          <w:rStyle w:val="FootnoteReference"/>
          <w:rFonts w:ascii="Arial" w:eastAsia="Times New Roman" w:hAnsi="Arial" w:cs="Arial"/>
          <w:color w:val="000000"/>
          <w:sz w:val="24"/>
          <w:szCs w:val="24"/>
          <w:lang w:eastAsia="en-NZ"/>
        </w:rPr>
        <w:footnoteReference w:id="135"/>
      </w:r>
    </w:p>
    <w:p w14:paraId="0BFD018A" w14:textId="77777777" w:rsidR="00374721" w:rsidRPr="003112B5" w:rsidRDefault="00374721" w:rsidP="00374721">
      <w:pPr>
        <w:pStyle w:val="ListParagraph"/>
        <w:rPr>
          <w:rFonts w:ascii="Arial" w:eastAsia="Times New Roman" w:hAnsi="Arial" w:cs="Arial"/>
          <w:color w:val="000000"/>
          <w:sz w:val="24"/>
          <w:szCs w:val="24"/>
          <w:lang w:eastAsia="en-NZ"/>
        </w:rPr>
      </w:pPr>
    </w:p>
    <w:p w14:paraId="0430CD00" w14:textId="77777777"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not to be subjected to arbitrary arrest or detention.</w:t>
      </w:r>
      <w:r w:rsidRPr="003112B5">
        <w:rPr>
          <w:rStyle w:val="FootnoteReference"/>
          <w:rFonts w:ascii="Arial" w:eastAsia="Times New Roman" w:hAnsi="Arial" w:cs="Arial"/>
          <w:color w:val="000000"/>
          <w:sz w:val="24"/>
          <w:szCs w:val="24"/>
          <w:lang w:eastAsia="en-NZ"/>
        </w:rPr>
        <w:footnoteReference w:id="136"/>
      </w:r>
    </w:p>
    <w:p w14:paraId="5F351F83" w14:textId="77777777" w:rsidR="00374721" w:rsidRPr="003112B5" w:rsidRDefault="00374721" w:rsidP="00374721">
      <w:pPr>
        <w:pStyle w:val="ListParagraph"/>
        <w:spacing w:after="0" w:line="240" w:lineRule="auto"/>
        <w:ind w:left="1634"/>
        <w:rPr>
          <w:rFonts w:ascii="Arial" w:eastAsia="Times New Roman" w:hAnsi="Arial" w:cs="Arial"/>
          <w:color w:val="000000"/>
          <w:sz w:val="24"/>
          <w:szCs w:val="24"/>
          <w:lang w:eastAsia="en-NZ"/>
        </w:rPr>
      </w:pPr>
    </w:p>
    <w:p w14:paraId="1406CC5E" w14:textId="77777777"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to a fair hearing by an independent and impartial tribunal, including in the determination of a person’s rights and obligations.</w:t>
      </w:r>
      <w:r w:rsidRPr="003112B5">
        <w:rPr>
          <w:rStyle w:val="FootnoteReference"/>
          <w:rFonts w:ascii="Arial" w:eastAsia="Times New Roman" w:hAnsi="Arial" w:cs="Arial"/>
          <w:color w:val="000000"/>
          <w:sz w:val="24"/>
          <w:szCs w:val="24"/>
          <w:lang w:eastAsia="en-NZ"/>
        </w:rPr>
        <w:footnoteReference w:id="137"/>
      </w:r>
    </w:p>
    <w:p w14:paraId="63DAFB94" w14:textId="77777777" w:rsidR="00374721" w:rsidRPr="003112B5" w:rsidRDefault="00374721" w:rsidP="00374721">
      <w:pPr>
        <w:pStyle w:val="ListParagraph"/>
        <w:rPr>
          <w:rFonts w:ascii="Arial" w:eastAsia="Times New Roman" w:hAnsi="Arial" w:cs="Arial"/>
          <w:color w:val="000000"/>
          <w:sz w:val="24"/>
          <w:szCs w:val="24"/>
          <w:lang w:eastAsia="en-NZ"/>
        </w:rPr>
      </w:pPr>
    </w:p>
    <w:p w14:paraId="62F236E7" w14:textId="77777777"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not to be subjected to arbitrary interference with one’s privacy, family, or home.</w:t>
      </w:r>
      <w:r w:rsidRPr="003112B5">
        <w:rPr>
          <w:rStyle w:val="FootnoteReference"/>
          <w:rFonts w:ascii="Arial" w:eastAsia="Times New Roman" w:hAnsi="Arial" w:cs="Arial"/>
          <w:color w:val="000000"/>
          <w:sz w:val="24"/>
          <w:szCs w:val="24"/>
          <w:lang w:eastAsia="en-NZ"/>
        </w:rPr>
        <w:footnoteReference w:id="138"/>
      </w:r>
    </w:p>
    <w:p w14:paraId="01312978" w14:textId="77777777" w:rsidR="00374721" w:rsidRPr="003112B5" w:rsidRDefault="00374721" w:rsidP="00374721">
      <w:pPr>
        <w:pStyle w:val="ListParagraph"/>
        <w:rPr>
          <w:rFonts w:ascii="Arial" w:eastAsia="Times New Roman" w:hAnsi="Arial" w:cs="Arial"/>
          <w:color w:val="000000"/>
          <w:sz w:val="24"/>
          <w:szCs w:val="24"/>
          <w:lang w:eastAsia="en-NZ"/>
        </w:rPr>
      </w:pPr>
    </w:p>
    <w:p w14:paraId="56108322" w14:textId="031E0C49"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to economic, social and cultural rights, such as the right to social security;</w:t>
      </w:r>
      <w:r w:rsidRPr="003112B5">
        <w:rPr>
          <w:rStyle w:val="FootnoteReference"/>
          <w:rFonts w:ascii="Arial" w:eastAsia="Times New Roman" w:hAnsi="Arial" w:cs="Arial"/>
          <w:color w:val="000000"/>
          <w:sz w:val="24"/>
          <w:szCs w:val="24"/>
          <w:lang w:eastAsia="en-NZ"/>
        </w:rPr>
        <w:footnoteReference w:id="139"/>
      </w:r>
      <w:r w:rsidRPr="003112B5">
        <w:rPr>
          <w:rFonts w:ascii="Arial" w:eastAsia="Times New Roman" w:hAnsi="Arial" w:cs="Arial"/>
          <w:color w:val="000000"/>
          <w:sz w:val="24"/>
          <w:szCs w:val="24"/>
          <w:lang w:eastAsia="en-NZ"/>
        </w:rPr>
        <w:t xml:space="preserve"> to a standard of living adequate for one’s health and wellbeing, and that of one’s family;</w:t>
      </w:r>
      <w:r w:rsidRPr="003112B5">
        <w:rPr>
          <w:rStyle w:val="FootnoteReference"/>
          <w:rFonts w:ascii="Arial" w:eastAsia="Times New Roman" w:hAnsi="Arial" w:cs="Arial"/>
          <w:color w:val="000000"/>
          <w:sz w:val="24"/>
          <w:szCs w:val="24"/>
          <w:lang w:eastAsia="en-NZ"/>
        </w:rPr>
        <w:footnoteReference w:id="140"/>
      </w:r>
      <w:r w:rsidRPr="003112B5">
        <w:rPr>
          <w:rFonts w:ascii="Arial" w:eastAsia="Times New Roman" w:hAnsi="Arial" w:cs="Arial"/>
          <w:color w:val="000000"/>
          <w:sz w:val="24"/>
          <w:szCs w:val="24"/>
          <w:lang w:eastAsia="en-NZ"/>
        </w:rPr>
        <w:t xml:space="preserve"> to education;</w:t>
      </w:r>
      <w:r w:rsidRPr="003112B5">
        <w:rPr>
          <w:rStyle w:val="FootnoteReference"/>
          <w:rFonts w:ascii="Arial" w:eastAsia="Times New Roman" w:hAnsi="Arial" w:cs="Arial"/>
          <w:color w:val="000000"/>
          <w:sz w:val="24"/>
          <w:szCs w:val="24"/>
          <w:lang w:eastAsia="en-NZ"/>
        </w:rPr>
        <w:footnoteReference w:id="141"/>
      </w:r>
      <w:r w:rsidRPr="003112B5">
        <w:rPr>
          <w:rFonts w:ascii="Arial" w:eastAsia="Times New Roman" w:hAnsi="Arial" w:cs="Arial"/>
          <w:color w:val="000000"/>
          <w:sz w:val="24"/>
          <w:szCs w:val="24"/>
          <w:lang w:eastAsia="en-NZ"/>
        </w:rPr>
        <w:t xml:space="preserve"> and to participate freely in the community’s cultural life.</w:t>
      </w:r>
      <w:r w:rsidRPr="003112B5">
        <w:rPr>
          <w:rStyle w:val="FootnoteReference"/>
          <w:rFonts w:ascii="Arial" w:eastAsia="Times New Roman" w:hAnsi="Arial" w:cs="Arial"/>
          <w:color w:val="000000"/>
          <w:sz w:val="24"/>
          <w:szCs w:val="24"/>
          <w:lang w:eastAsia="en-NZ"/>
        </w:rPr>
        <w:footnoteReference w:id="142"/>
      </w:r>
    </w:p>
    <w:p w14:paraId="5283A570" w14:textId="77777777" w:rsidR="00374721" w:rsidRPr="003112B5" w:rsidRDefault="00374721" w:rsidP="00374721">
      <w:pPr>
        <w:pStyle w:val="ListParagraph"/>
        <w:rPr>
          <w:rFonts w:ascii="Arial" w:eastAsia="Times New Roman" w:hAnsi="Arial" w:cs="Arial"/>
          <w:color w:val="000000"/>
          <w:sz w:val="24"/>
          <w:szCs w:val="24"/>
          <w:lang w:eastAsia="en-NZ"/>
        </w:rPr>
      </w:pPr>
    </w:p>
    <w:p w14:paraId="1F6EA92F" w14:textId="77777777"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to enjoy the rights set forth in the UDHR, without discrimination.</w:t>
      </w:r>
      <w:r w:rsidRPr="003112B5">
        <w:rPr>
          <w:rStyle w:val="FootnoteReference"/>
          <w:rFonts w:ascii="Arial" w:eastAsia="Times New Roman" w:hAnsi="Arial" w:cs="Arial"/>
          <w:color w:val="000000"/>
          <w:sz w:val="24"/>
          <w:szCs w:val="24"/>
          <w:lang w:eastAsia="en-NZ"/>
        </w:rPr>
        <w:footnoteReference w:id="143"/>
      </w:r>
    </w:p>
    <w:p w14:paraId="735D2E56" w14:textId="77777777" w:rsidR="00374721" w:rsidRPr="003112B5" w:rsidRDefault="00374721" w:rsidP="00374721">
      <w:pPr>
        <w:spacing w:after="0" w:line="240" w:lineRule="auto"/>
        <w:rPr>
          <w:rFonts w:ascii="Arial" w:eastAsia="Times New Roman" w:hAnsi="Arial" w:cs="Arial"/>
          <w:color w:val="000000"/>
          <w:sz w:val="24"/>
          <w:szCs w:val="24"/>
          <w:lang w:eastAsia="en-NZ"/>
        </w:rPr>
      </w:pPr>
    </w:p>
    <w:p w14:paraId="495D21A2" w14:textId="77777777" w:rsidR="00F327E3" w:rsidRDefault="00F327E3">
      <w:pPr>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br w:type="page"/>
      </w:r>
    </w:p>
    <w:p w14:paraId="58C79745" w14:textId="773F1031" w:rsidR="00374721" w:rsidRPr="003112B5" w:rsidRDefault="00374721" w:rsidP="00374721">
      <w:pPr>
        <w:numPr>
          <w:ilvl w:val="0"/>
          <w:numId w:val="16"/>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lastRenderedPageBreak/>
        <w:t>The UDHR also proclaims that:</w:t>
      </w:r>
    </w:p>
    <w:p w14:paraId="7C031FFC" w14:textId="77777777"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 family is “the natural and fundamental group unit of society and is entitled to protection by society and the State.”</w:t>
      </w:r>
      <w:r w:rsidRPr="003112B5">
        <w:rPr>
          <w:rStyle w:val="FootnoteReference"/>
          <w:rFonts w:ascii="Arial" w:eastAsia="Times New Roman" w:hAnsi="Arial" w:cs="Arial"/>
          <w:color w:val="000000"/>
          <w:sz w:val="24"/>
          <w:szCs w:val="24"/>
          <w:lang w:eastAsia="en-NZ"/>
        </w:rPr>
        <w:footnoteReference w:id="144"/>
      </w:r>
    </w:p>
    <w:p w14:paraId="1EEEF24C" w14:textId="77777777" w:rsidR="00374721" w:rsidRPr="003112B5" w:rsidRDefault="00374721" w:rsidP="00374721">
      <w:pPr>
        <w:pStyle w:val="ListParagraph"/>
        <w:spacing w:after="0" w:line="240" w:lineRule="auto"/>
        <w:ind w:left="860"/>
        <w:rPr>
          <w:rFonts w:ascii="Arial" w:eastAsia="Times New Roman" w:hAnsi="Arial" w:cs="Arial"/>
          <w:color w:val="000000"/>
          <w:sz w:val="24"/>
          <w:szCs w:val="24"/>
          <w:lang w:eastAsia="en-NZ"/>
        </w:rPr>
      </w:pPr>
    </w:p>
    <w:p w14:paraId="66799DFA" w14:textId="77777777"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motherhood and childhood are entitled to special care and assistance.</w:t>
      </w:r>
      <w:r w:rsidRPr="003112B5">
        <w:rPr>
          <w:rStyle w:val="FootnoteReference"/>
          <w:rFonts w:ascii="Arial" w:eastAsia="Times New Roman" w:hAnsi="Arial" w:cs="Arial"/>
          <w:color w:val="000000"/>
          <w:sz w:val="24"/>
          <w:szCs w:val="24"/>
          <w:lang w:eastAsia="en-NZ"/>
        </w:rPr>
        <w:footnoteReference w:id="145"/>
      </w:r>
    </w:p>
    <w:p w14:paraId="62AE76BB" w14:textId="77777777" w:rsidR="00374721" w:rsidRPr="003112B5" w:rsidRDefault="00374721" w:rsidP="00374721">
      <w:pPr>
        <w:pStyle w:val="ListParagraph"/>
        <w:rPr>
          <w:rFonts w:ascii="Arial" w:eastAsia="Times New Roman" w:hAnsi="Arial" w:cs="Arial"/>
          <w:color w:val="000000"/>
          <w:sz w:val="24"/>
          <w:szCs w:val="24"/>
          <w:lang w:eastAsia="en-NZ"/>
        </w:rPr>
      </w:pPr>
    </w:p>
    <w:p w14:paraId="00A2162F" w14:textId="6501B387" w:rsidR="00374721" w:rsidRPr="003112B5" w:rsidRDefault="00374721" w:rsidP="00374721">
      <w:pPr>
        <w:pStyle w:val="ListParagraph"/>
        <w:numPr>
          <w:ilvl w:val="0"/>
          <w:numId w:val="4"/>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all children will enjoy the same social protection.</w:t>
      </w:r>
      <w:r w:rsidRPr="003112B5">
        <w:rPr>
          <w:rStyle w:val="FootnoteReference"/>
          <w:rFonts w:ascii="Arial" w:eastAsia="Times New Roman" w:hAnsi="Arial" w:cs="Arial"/>
          <w:color w:val="000000"/>
          <w:sz w:val="24"/>
          <w:szCs w:val="24"/>
          <w:lang w:eastAsia="en-NZ"/>
        </w:rPr>
        <w:footnoteReference w:id="146"/>
      </w:r>
    </w:p>
    <w:p w14:paraId="432FEAEA" w14:textId="77777777" w:rsidR="00887FBB" w:rsidRPr="003112B5" w:rsidRDefault="00887FBB" w:rsidP="00887FBB">
      <w:pPr>
        <w:spacing w:after="0" w:line="240" w:lineRule="auto"/>
        <w:rPr>
          <w:rFonts w:ascii="Arial" w:hAnsi="Arial" w:cs="Arial"/>
          <w:b/>
          <w:bCs/>
          <w:sz w:val="24"/>
          <w:szCs w:val="24"/>
        </w:rPr>
      </w:pPr>
    </w:p>
    <w:p w14:paraId="4520CFA5" w14:textId="33F117EF" w:rsidR="00374721" w:rsidRPr="003112B5" w:rsidRDefault="000514D9" w:rsidP="00887FBB">
      <w:pPr>
        <w:spacing w:after="0" w:line="240" w:lineRule="auto"/>
        <w:rPr>
          <w:rFonts w:ascii="Arial" w:hAnsi="Arial" w:cs="Arial"/>
          <w:b/>
          <w:bCs/>
          <w:sz w:val="24"/>
          <w:szCs w:val="24"/>
        </w:rPr>
      </w:pPr>
      <w:r w:rsidRPr="003112B5">
        <w:rPr>
          <w:rFonts w:ascii="Arial" w:hAnsi="Arial" w:cs="Arial"/>
          <w:b/>
          <w:bCs/>
          <w:sz w:val="24"/>
          <w:szCs w:val="24"/>
        </w:rPr>
        <w:t>Examples of international treaty rights and obligations</w:t>
      </w:r>
    </w:p>
    <w:p w14:paraId="2680BD76" w14:textId="77777777" w:rsidR="00887FBB" w:rsidRPr="003112B5" w:rsidRDefault="00887FBB" w:rsidP="00887FBB">
      <w:pPr>
        <w:spacing w:after="0" w:line="240" w:lineRule="auto"/>
        <w:ind w:left="500"/>
        <w:rPr>
          <w:rFonts w:ascii="Arial" w:hAnsi="Arial" w:cs="Arial"/>
          <w:b/>
          <w:bCs/>
          <w:sz w:val="24"/>
          <w:szCs w:val="24"/>
        </w:rPr>
      </w:pPr>
    </w:p>
    <w:p w14:paraId="433CECE2" w14:textId="2FABBBBF" w:rsidR="000514D9" w:rsidRPr="003112B5" w:rsidRDefault="000514D9" w:rsidP="000514D9">
      <w:pPr>
        <w:numPr>
          <w:ilvl w:val="0"/>
          <w:numId w:val="16"/>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 treaties referred to in Part B above recognise a wide range of rights and set out obligations for States Parties including New Zealand.  These differ from treaty to treaty.  Examples include:</w:t>
      </w:r>
    </w:p>
    <w:p w14:paraId="13585FB7" w14:textId="77777777" w:rsidR="000514D9"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 right of peoples to self-determination, by virtue of which “they freely determine their political status and freely pursue their economic, social and cultural development”.</w:t>
      </w:r>
      <w:r w:rsidRPr="003112B5">
        <w:rPr>
          <w:rStyle w:val="FootnoteReference"/>
          <w:rFonts w:ascii="Arial" w:eastAsia="Times New Roman" w:hAnsi="Arial" w:cs="Arial"/>
          <w:color w:val="000000"/>
          <w:sz w:val="24"/>
          <w:szCs w:val="24"/>
          <w:lang w:eastAsia="en-NZ"/>
        </w:rPr>
        <w:footnoteReference w:id="147"/>
      </w:r>
    </w:p>
    <w:p w14:paraId="405C9924" w14:textId="77777777" w:rsidR="000514D9" w:rsidRPr="003112B5" w:rsidRDefault="000514D9" w:rsidP="000514D9">
      <w:pPr>
        <w:spacing w:after="0" w:line="240" w:lineRule="auto"/>
        <w:ind w:left="140"/>
        <w:rPr>
          <w:rFonts w:ascii="Arial" w:eastAsia="Times New Roman" w:hAnsi="Arial" w:cs="Arial"/>
          <w:color w:val="000000"/>
          <w:sz w:val="24"/>
          <w:szCs w:val="24"/>
          <w:lang w:eastAsia="en-NZ"/>
        </w:rPr>
      </w:pPr>
    </w:p>
    <w:p w14:paraId="3B6BD39E" w14:textId="1E5B8EE7" w:rsidR="000514D9"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Rights to freedom from discrimination;</w:t>
      </w:r>
      <w:r w:rsidRPr="003112B5">
        <w:rPr>
          <w:rStyle w:val="FootnoteReference"/>
          <w:rFonts w:ascii="Arial" w:eastAsia="Times New Roman" w:hAnsi="Arial" w:cs="Arial"/>
          <w:color w:val="000000"/>
          <w:sz w:val="24"/>
          <w:szCs w:val="24"/>
          <w:lang w:eastAsia="en-NZ"/>
        </w:rPr>
        <w:footnoteReference w:id="148"/>
      </w:r>
      <w:r w:rsidRPr="003112B5">
        <w:rPr>
          <w:rFonts w:ascii="Arial" w:eastAsia="Times New Roman" w:hAnsi="Arial" w:cs="Arial"/>
          <w:color w:val="000000"/>
          <w:sz w:val="24"/>
          <w:szCs w:val="24"/>
          <w:lang w:eastAsia="en-NZ"/>
        </w:rPr>
        <w:t xml:space="preserve"> from torture and cruel, inhuman or degrading treatment or punishment;</w:t>
      </w:r>
      <w:r w:rsidRPr="003112B5">
        <w:rPr>
          <w:rStyle w:val="FootnoteReference"/>
          <w:rFonts w:ascii="Arial" w:eastAsia="Times New Roman" w:hAnsi="Arial" w:cs="Arial"/>
          <w:color w:val="000000"/>
          <w:sz w:val="24"/>
          <w:szCs w:val="24"/>
          <w:lang w:eastAsia="en-NZ"/>
        </w:rPr>
        <w:footnoteReference w:id="149"/>
      </w:r>
      <w:r w:rsidRPr="003112B5">
        <w:rPr>
          <w:rFonts w:ascii="Arial" w:eastAsia="Times New Roman" w:hAnsi="Arial" w:cs="Arial"/>
          <w:color w:val="000000"/>
          <w:sz w:val="24"/>
          <w:szCs w:val="24"/>
          <w:lang w:eastAsia="en-NZ"/>
        </w:rPr>
        <w:t xml:space="preserve"> to security of the person;</w:t>
      </w:r>
      <w:r w:rsidRPr="003112B5">
        <w:rPr>
          <w:rStyle w:val="FootnoteReference"/>
          <w:rFonts w:ascii="Arial" w:eastAsia="Times New Roman" w:hAnsi="Arial" w:cs="Arial"/>
          <w:color w:val="000000"/>
          <w:sz w:val="24"/>
          <w:szCs w:val="24"/>
          <w:lang w:eastAsia="en-NZ"/>
        </w:rPr>
        <w:footnoteReference w:id="150"/>
      </w:r>
      <w:r w:rsidRPr="003112B5">
        <w:rPr>
          <w:rFonts w:ascii="Arial" w:eastAsia="Times New Roman" w:hAnsi="Arial" w:cs="Arial"/>
          <w:color w:val="000000"/>
          <w:sz w:val="24"/>
          <w:szCs w:val="24"/>
          <w:lang w:eastAsia="en-NZ"/>
        </w:rPr>
        <w:t xml:space="preserve"> when deprived of liberty, to be treated with humanity and respect for one’s inherent dignity as a human person;</w:t>
      </w:r>
      <w:r w:rsidRPr="003112B5">
        <w:rPr>
          <w:rStyle w:val="FootnoteReference"/>
          <w:rFonts w:ascii="Arial" w:eastAsia="Times New Roman" w:hAnsi="Arial" w:cs="Arial"/>
          <w:color w:val="000000"/>
          <w:sz w:val="24"/>
          <w:szCs w:val="24"/>
          <w:lang w:eastAsia="en-NZ"/>
        </w:rPr>
        <w:footnoteReference w:id="151"/>
      </w:r>
      <w:r w:rsidRPr="003112B5">
        <w:rPr>
          <w:rFonts w:ascii="Arial" w:eastAsia="Times New Roman" w:hAnsi="Arial" w:cs="Arial"/>
          <w:color w:val="000000"/>
          <w:sz w:val="24"/>
          <w:szCs w:val="24"/>
          <w:lang w:eastAsia="en-NZ"/>
        </w:rPr>
        <w:t xml:space="preserve"> to equality before the courts and tribunals;</w:t>
      </w:r>
      <w:r w:rsidRPr="003112B5">
        <w:rPr>
          <w:rStyle w:val="FootnoteReference"/>
          <w:rFonts w:ascii="Arial" w:eastAsia="Times New Roman" w:hAnsi="Arial" w:cs="Arial"/>
          <w:color w:val="000000"/>
          <w:sz w:val="24"/>
          <w:szCs w:val="24"/>
          <w:lang w:eastAsia="en-NZ"/>
        </w:rPr>
        <w:footnoteReference w:id="152"/>
      </w:r>
      <w:r w:rsidRPr="003112B5">
        <w:rPr>
          <w:rFonts w:ascii="Arial" w:eastAsia="Times New Roman" w:hAnsi="Arial" w:cs="Arial"/>
          <w:color w:val="000000"/>
          <w:sz w:val="24"/>
          <w:szCs w:val="24"/>
          <w:lang w:eastAsia="en-NZ"/>
        </w:rPr>
        <w:t xml:space="preserve"> to a fair and public hearing by a competent, independent and impartial tribunal in the determination of a person’s rights and obligations;</w:t>
      </w:r>
      <w:r w:rsidRPr="003112B5">
        <w:rPr>
          <w:rStyle w:val="FootnoteReference"/>
          <w:rFonts w:ascii="Arial" w:eastAsia="Times New Roman" w:hAnsi="Arial" w:cs="Arial"/>
          <w:color w:val="000000"/>
          <w:sz w:val="24"/>
          <w:szCs w:val="24"/>
          <w:lang w:eastAsia="en-NZ"/>
        </w:rPr>
        <w:footnoteReference w:id="153"/>
      </w:r>
      <w:r w:rsidRPr="003112B5">
        <w:rPr>
          <w:rFonts w:ascii="Arial" w:eastAsia="Times New Roman" w:hAnsi="Arial" w:cs="Arial"/>
          <w:color w:val="000000"/>
          <w:sz w:val="24"/>
          <w:szCs w:val="24"/>
          <w:lang w:eastAsia="en-NZ"/>
        </w:rPr>
        <w:t xml:space="preserve"> and not to be subjected to arbitrary or unlawful interference with one’s privacy, family, or home.</w:t>
      </w:r>
      <w:r w:rsidRPr="003112B5">
        <w:rPr>
          <w:rStyle w:val="FootnoteReference"/>
          <w:rFonts w:ascii="Arial" w:eastAsia="Times New Roman" w:hAnsi="Arial" w:cs="Arial"/>
          <w:color w:val="000000"/>
          <w:sz w:val="24"/>
          <w:szCs w:val="24"/>
          <w:lang w:eastAsia="en-NZ"/>
        </w:rPr>
        <w:footnoteReference w:id="154"/>
      </w:r>
    </w:p>
    <w:p w14:paraId="32A23090" w14:textId="77777777" w:rsidR="000514D9" w:rsidRPr="003112B5" w:rsidRDefault="000514D9" w:rsidP="000514D9">
      <w:pPr>
        <w:spacing w:after="0" w:line="240" w:lineRule="auto"/>
        <w:ind w:left="140"/>
        <w:rPr>
          <w:rFonts w:ascii="Arial" w:eastAsia="Times New Roman" w:hAnsi="Arial" w:cs="Arial"/>
          <w:color w:val="000000"/>
          <w:sz w:val="24"/>
          <w:szCs w:val="24"/>
          <w:lang w:eastAsia="en-NZ"/>
        </w:rPr>
      </w:pPr>
    </w:p>
    <w:p w14:paraId="132DC7D3" w14:textId="77777777" w:rsidR="000514D9"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Recognition that the family is the natural and fundamental group unit of society, and is entitled to protection by society and the State.</w:t>
      </w:r>
      <w:r w:rsidRPr="003112B5">
        <w:rPr>
          <w:rStyle w:val="FootnoteReference"/>
          <w:rFonts w:ascii="Arial" w:eastAsia="Times New Roman" w:hAnsi="Arial" w:cs="Arial"/>
          <w:color w:val="000000"/>
          <w:sz w:val="24"/>
          <w:szCs w:val="24"/>
          <w:lang w:eastAsia="en-NZ"/>
        </w:rPr>
        <w:footnoteReference w:id="155"/>
      </w:r>
    </w:p>
    <w:p w14:paraId="5E57B661" w14:textId="77777777" w:rsidR="000514D9" w:rsidRPr="003112B5" w:rsidRDefault="000514D9" w:rsidP="000514D9">
      <w:pPr>
        <w:pStyle w:val="ListParagraph"/>
        <w:ind w:left="860"/>
        <w:rPr>
          <w:rFonts w:ascii="Arial" w:eastAsia="Times New Roman" w:hAnsi="Arial" w:cs="Arial"/>
          <w:color w:val="000000"/>
          <w:sz w:val="24"/>
          <w:szCs w:val="24"/>
          <w:lang w:eastAsia="en-NZ"/>
        </w:rPr>
      </w:pPr>
    </w:p>
    <w:p w14:paraId="65FC8113" w14:textId="618399EE" w:rsidR="000514D9"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 right of the child to, without discrimination, “such measures of protection as are required by his [or her] status as a minor, on the part of his</w:t>
      </w:r>
      <w:r w:rsidR="00ED23C1">
        <w:rPr>
          <w:rFonts w:ascii="Arial" w:eastAsia="Times New Roman" w:hAnsi="Arial" w:cs="Arial"/>
          <w:color w:val="000000"/>
          <w:sz w:val="24"/>
          <w:szCs w:val="24"/>
          <w:lang w:eastAsia="en-NZ"/>
        </w:rPr>
        <w:t xml:space="preserve"> </w:t>
      </w:r>
      <w:r w:rsidR="008D02A1">
        <w:rPr>
          <w:rFonts w:ascii="Arial" w:eastAsia="Times New Roman" w:hAnsi="Arial" w:cs="Arial"/>
          <w:color w:val="000000"/>
          <w:sz w:val="24"/>
          <w:szCs w:val="24"/>
          <w:lang w:eastAsia="en-NZ"/>
        </w:rPr>
        <w:t>[</w:t>
      </w:r>
      <w:r w:rsidR="00ED23C1">
        <w:rPr>
          <w:rFonts w:ascii="Arial" w:eastAsia="Times New Roman" w:hAnsi="Arial" w:cs="Arial"/>
          <w:color w:val="000000"/>
          <w:sz w:val="24"/>
          <w:szCs w:val="24"/>
          <w:lang w:eastAsia="en-NZ"/>
        </w:rPr>
        <w:t>or her</w:t>
      </w:r>
      <w:r w:rsidR="008D02A1">
        <w:rPr>
          <w:rFonts w:ascii="Arial" w:eastAsia="Times New Roman" w:hAnsi="Arial" w:cs="Arial"/>
          <w:color w:val="000000"/>
          <w:sz w:val="24"/>
          <w:szCs w:val="24"/>
          <w:lang w:eastAsia="en-NZ"/>
        </w:rPr>
        <w:t>]</w:t>
      </w:r>
      <w:r w:rsidRPr="003112B5">
        <w:rPr>
          <w:rFonts w:ascii="Arial" w:eastAsia="Times New Roman" w:hAnsi="Arial" w:cs="Arial"/>
          <w:color w:val="000000"/>
          <w:sz w:val="24"/>
          <w:szCs w:val="24"/>
          <w:lang w:eastAsia="en-NZ"/>
        </w:rPr>
        <w:t xml:space="preserve"> family, society and the State”;</w:t>
      </w:r>
      <w:r w:rsidRPr="003112B5">
        <w:rPr>
          <w:rStyle w:val="FootnoteReference"/>
          <w:rFonts w:ascii="Arial" w:eastAsia="Times New Roman" w:hAnsi="Arial" w:cs="Arial"/>
          <w:color w:val="000000"/>
          <w:sz w:val="24"/>
          <w:szCs w:val="24"/>
          <w:lang w:eastAsia="en-NZ"/>
        </w:rPr>
        <w:footnoteReference w:id="156"/>
      </w:r>
      <w:r w:rsidRPr="003112B5">
        <w:rPr>
          <w:rFonts w:ascii="Arial" w:eastAsia="Times New Roman" w:hAnsi="Arial" w:cs="Arial"/>
          <w:color w:val="000000"/>
          <w:sz w:val="24"/>
          <w:szCs w:val="24"/>
          <w:lang w:eastAsia="en-NZ"/>
        </w:rPr>
        <w:t xml:space="preserve"> to “as far as possible […] know and be cared for by his or her parents;”</w:t>
      </w:r>
      <w:r w:rsidRPr="003112B5">
        <w:rPr>
          <w:rStyle w:val="FootnoteReference"/>
          <w:rFonts w:ascii="Arial" w:eastAsia="Times New Roman" w:hAnsi="Arial" w:cs="Arial"/>
          <w:color w:val="000000"/>
          <w:sz w:val="24"/>
          <w:szCs w:val="24"/>
          <w:lang w:eastAsia="en-NZ"/>
        </w:rPr>
        <w:footnoteReference w:id="157"/>
      </w:r>
      <w:r w:rsidRPr="003112B5">
        <w:rPr>
          <w:rFonts w:ascii="Arial" w:eastAsia="Times New Roman" w:hAnsi="Arial" w:cs="Arial"/>
          <w:color w:val="000000"/>
          <w:sz w:val="24"/>
          <w:szCs w:val="24"/>
          <w:lang w:eastAsia="en-NZ"/>
        </w:rPr>
        <w:t xml:space="preserve"> not to be separated from the child’s parents against the child’s will other than when a lawful determination is made that this is necessary for the child’s best interests;</w:t>
      </w:r>
      <w:r w:rsidRPr="003112B5">
        <w:rPr>
          <w:rStyle w:val="FootnoteReference"/>
          <w:rFonts w:ascii="Arial" w:eastAsia="Times New Roman" w:hAnsi="Arial" w:cs="Arial"/>
          <w:color w:val="000000"/>
          <w:sz w:val="24"/>
          <w:szCs w:val="24"/>
          <w:lang w:eastAsia="en-NZ"/>
        </w:rPr>
        <w:footnoteReference w:id="158"/>
      </w:r>
      <w:r w:rsidRPr="003112B5">
        <w:rPr>
          <w:rFonts w:ascii="Arial" w:eastAsia="Times New Roman" w:hAnsi="Arial" w:cs="Arial"/>
          <w:color w:val="000000"/>
          <w:sz w:val="24"/>
          <w:szCs w:val="24"/>
          <w:lang w:eastAsia="en-NZ"/>
        </w:rPr>
        <w:t xml:space="preserve"> when separated from one or both parents, to maintain relations and direct contact with both </w:t>
      </w:r>
      <w:r w:rsidRPr="003112B5">
        <w:rPr>
          <w:rFonts w:ascii="Arial" w:eastAsia="Times New Roman" w:hAnsi="Arial" w:cs="Arial"/>
          <w:color w:val="000000"/>
          <w:sz w:val="24"/>
          <w:szCs w:val="24"/>
          <w:lang w:eastAsia="en-NZ"/>
        </w:rPr>
        <w:lastRenderedPageBreak/>
        <w:t>parents other than when that is contrary to the child’s best interests;</w:t>
      </w:r>
      <w:r w:rsidRPr="003112B5">
        <w:rPr>
          <w:rStyle w:val="FootnoteReference"/>
          <w:rFonts w:ascii="Arial" w:eastAsia="Times New Roman" w:hAnsi="Arial" w:cs="Arial"/>
          <w:color w:val="000000"/>
          <w:sz w:val="24"/>
          <w:szCs w:val="24"/>
          <w:lang w:eastAsia="en-NZ"/>
        </w:rPr>
        <w:footnoteReference w:id="159"/>
      </w:r>
      <w:r w:rsidRPr="003112B5">
        <w:rPr>
          <w:rFonts w:ascii="Arial" w:eastAsia="Times New Roman" w:hAnsi="Arial" w:cs="Arial"/>
          <w:color w:val="000000"/>
          <w:sz w:val="24"/>
          <w:szCs w:val="24"/>
          <w:lang w:eastAsia="en-NZ"/>
        </w:rPr>
        <w:t xml:space="preserve"> and to “special protection and assistance provided by the State” when the child is “temporarily or permanently deprived of his or her family environment” or removed from that environment for his or her best interests.</w:t>
      </w:r>
      <w:r w:rsidRPr="003112B5">
        <w:rPr>
          <w:rStyle w:val="FootnoteReference"/>
          <w:rFonts w:ascii="Arial" w:eastAsia="Times New Roman" w:hAnsi="Arial" w:cs="Arial"/>
          <w:color w:val="000000"/>
          <w:sz w:val="24"/>
          <w:szCs w:val="24"/>
          <w:lang w:eastAsia="en-NZ"/>
        </w:rPr>
        <w:footnoteReference w:id="160"/>
      </w:r>
    </w:p>
    <w:p w14:paraId="22F0ADF1" w14:textId="77777777" w:rsidR="000514D9" w:rsidRPr="003112B5" w:rsidRDefault="000514D9" w:rsidP="000514D9">
      <w:pPr>
        <w:spacing w:after="0" w:line="240" w:lineRule="auto"/>
        <w:ind w:left="140"/>
        <w:rPr>
          <w:rFonts w:ascii="Arial" w:eastAsia="Times New Roman" w:hAnsi="Arial" w:cs="Arial"/>
          <w:color w:val="000000"/>
          <w:sz w:val="24"/>
          <w:szCs w:val="24"/>
          <w:lang w:eastAsia="en-NZ"/>
        </w:rPr>
      </w:pPr>
    </w:p>
    <w:p w14:paraId="064DA995" w14:textId="77777777" w:rsidR="000514D9"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 right of people belonging to “ethnic, religious or linguistic minorities” not to be “denied the right, in community with the other members of the group, to enjoy their own culture, to profess and practise their own religion, or to use their own language.”</w:t>
      </w:r>
      <w:r w:rsidRPr="003112B5">
        <w:rPr>
          <w:rStyle w:val="FootnoteReference"/>
          <w:rFonts w:ascii="Arial" w:eastAsia="Times New Roman" w:hAnsi="Arial" w:cs="Arial"/>
          <w:color w:val="000000"/>
          <w:sz w:val="24"/>
          <w:szCs w:val="24"/>
          <w:lang w:eastAsia="en-NZ"/>
        </w:rPr>
        <w:footnoteReference w:id="161"/>
      </w:r>
    </w:p>
    <w:p w14:paraId="6C6F60FD" w14:textId="77777777" w:rsidR="000514D9" w:rsidRPr="003112B5" w:rsidRDefault="000514D9" w:rsidP="000514D9">
      <w:pPr>
        <w:spacing w:after="0" w:line="240" w:lineRule="auto"/>
        <w:ind w:left="140"/>
        <w:rPr>
          <w:rFonts w:ascii="Arial" w:eastAsia="Times New Roman" w:hAnsi="Arial" w:cs="Arial"/>
          <w:color w:val="000000"/>
          <w:sz w:val="24"/>
          <w:szCs w:val="24"/>
          <w:lang w:eastAsia="en-NZ"/>
        </w:rPr>
      </w:pPr>
    </w:p>
    <w:p w14:paraId="07E8BC08" w14:textId="77777777" w:rsidR="000514D9"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The right to social security, an adequate standard of living, the “highest attainable standard of physical and mental health”, and to education.</w:t>
      </w:r>
      <w:r w:rsidRPr="003112B5">
        <w:rPr>
          <w:rStyle w:val="FootnoteReference"/>
          <w:rFonts w:ascii="Arial" w:eastAsia="Times New Roman" w:hAnsi="Arial" w:cs="Arial"/>
          <w:color w:val="000000"/>
          <w:sz w:val="24"/>
          <w:szCs w:val="24"/>
          <w:lang w:eastAsia="en-NZ"/>
        </w:rPr>
        <w:footnoteReference w:id="162"/>
      </w:r>
    </w:p>
    <w:p w14:paraId="06822499" w14:textId="77777777" w:rsidR="000514D9" w:rsidRPr="003112B5" w:rsidRDefault="000514D9" w:rsidP="000514D9">
      <w:pPr>
        <w:spacing w:after="0" w:line="240" w:lineRule="auto"/>
        <w:ind w:left="140"/>
        <w:rPr>
          <w:rFonts w:ascii="Arial" w:eastAsia="Times New Roman" w:hAnsi="Arial" w:cs="Arial"/>
          <w:color w:val="000000"/>
          <w:sz w:val="24"/>
          <w:szCs w:val="24"/>
          <w:lang w:eastAsia="en-NZ"/>
        </w:rPr>
      </w:pPr>
    </w:p>
    <w:p w14:paraId="49C2C312" w14:textId="66501907" w:rsidR="000514D9"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Obligations to “ensure to the maximum extent possible the survival and development of the child”;</w:t>
      </w:r>
      <w:r w:rsidRPr="003112B5">
        <w:rPr>
          <w:rStyle w:val="FootnoteReference"/>
          <w:rFonts w:ascii="Arial" w:eastAsia="Times New Roman" w:hAnsi="Arial" w:cs="Arial"/>
          <w:color w:val="000000"/>
          <w:sz w:val="24"/>
          <w:szCs w:val="24"/>
          <w:lang w:eastAsia="en-NZ"/>
        </w:rPr>
        <w:footnoteReference w:id="163"/>
      </w:r>
      <w:r w:rsidRPr="003112B5">
        <w:rPr>
          <w:rFonts w:ascii="Arial" w:eastAsia="Times New Roman" w:hAnsi="Arial" w:cs="Arial"/>
          <w:color w:val="000000"/>
          <w:sz w:val="24"/>
          <w:szCs w:val="24"/>
          <w:lang w:eastAsia="en-NZ"/>
        </w:rPr>
        <w:t xml:space="preserve">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r w:rsidRPr="003112B5">
        <w:rPr>
          <w:rStyle w:val="FootnoteReference"/>
          <w:rFonts w:ascii="Arial" w:eastAsia="Times New Roman" w:hAnsi="Arial" w:cs="Arial"/>
          <w:color w:val="000000"/>
          <w:sz w:val="24"/>
          <w:szCs w:val="24"/>
          <w:lang w:eastAsia="en-NZ"/>
        </w:rPr>
        <w:footnoteReference w:id="164"/>
      </w:r>
      <w:r w:rsidRPr="003112B5">
        <w:rPr>
          <w:rFonts w:ascii="Arial" w:eastAsia="Times New Roman" w:hAnsi="Arial" w:cs="Arial"/>
          <w:color w:val="000000"/>
          <w:sz w:val="24"/>
          <w:szCs w:val="24"/>
          <w:lang w:eastAsia="en-NZ"/>
        </w:rPr>
        <w:t xml:space="preserve"> </w:t>
      </w:r>
      <w:r w:rsidR="00DD6B58">
        <w:rPr>
          <w:rFonts w:ascii="Arial" w:eastAsia="Times New Roman" w:hAnsi="Arial" w:cs="Arial"/>
          <w:color w:val="000000"/>
          <w:sz w:val="24"/>
          <w:szCs w:val="24"/>
          <w:lang w:eastAsia="en-NZ"/>
        </w:rPr>
        <w:t xml:space="preserve">and </w:t>
      </w:r>
      <w:r w:rsidRPr="003112B5">
        <w:rPr>
          <w:rFonts w:ascii="Arial" w:eastAsia="Times New Roman" w:hAnsi="Arial" w:cs="Arial"/>
          <w:color w:val="000000"/>
          <w:sz w:val="24"/>
          <w:szCs w:val="24"/>
          <w:lang w:eastAsia="en-NZ"/>
        </w:rPr>
        <w:t>to take “all appropriate measures to promote physical and psychological recovery and social integration of a child victim of: any form of neglect, exploitation, or abuse; torture or any other form of cruel, inhuman or degrading treatment or punishment […]”.</w:t>
      </w:r>
      <w:r w:rsidRPr="003112B5">
        <w:rPr>
          <w:rStyle w:val="FootnoteReference"/>
          <w:rFonts w:ascii="Arial" w:eastAsia="Times New Roman" w:hAnsi="Arial" w:cs="Arial"/>
          <w:color w:val="000000"/>
          <w:sz w:val="24"/>
          <w:szCs w:val="24"/>
          <w:lang w:eastAsia="en-NZ"/>
        </w:rPr>
        <w:footnoteReference w:id="165"/>
      </w:r>
    </w:p>
    <w:p w14:paraId="4FC259F0" w14:textId="77777777" w:rsidR="000514D9" w:rsidRPr="003112B5" w:rsidRDefault="000514D9" w:rsidP="000514D9">
      <w:pPr>
        <w:spacing w:after="0" w:line="240" w:lineRule="auto"/>
        <w:ind w:left="140"/>
        <w:rPr>
          <w:rFonts w:ascii="Arial" w:eastAsia="Times New Roman" w:hAnsi="Arial" w:cs="Arial"/>
          <w:color w:val="000000"/>
          <w:sz w:val="24"/>
          <w:szCs w:val="24"/>
          <w:lang w:eastAsia="en-NZ"/>
        </w:rPr>
      </w:pPr>
    </w:p>
    <w:p w14:paraId="6E012234" w14:textId="77777777" w:rsidR="000514D9"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Obligations to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takes into account gender- and age-specific needs.”</w:t>
      </w:r>
      <w:r w:rsidRPr="003112B5">
        <w:rPr>
          <w:rStyle w:val="FootnoteReference"/>
          <w:rFonts w:ascii="Arial" w:eastAsia="Times New Roman" w:hAnsi="Arial" w:cs="Arial"/>
          <w:color w:val="000000"/>
          <w:sz w:val="24"/>
          <w:szCs w:val="24"/>
          <w:lang w:eastAsia="en-NZ"/>
        </w:rPr>
        <w:footnoteReference w:id="166"/>
      </w:r>
    </w:p>
    <w:p w14:paraId="3C8A12D0" w14:textId="77777777" w:rsidR="000514D9" w:rsidRPr="003112B5" w:rsidRDefault="000514D9" w:rsidP="000514D9">
      <w:pPr>
        <w:spacing w:after="0" w:line="240" w:lineRule="auto"/>
        <w:ind w:left="140"/>
        <w:rPr>
          <w:rFonts w:ascii="Arial" w:eastAsia="Times New Roman" w:hAnsi="Arial" w:cs="Arial"/>
          <w:color w:val="000000"/>
          <w:sz w:val="24"/>
          <w:szCs w:val="24"/>
          <w:lang w:eastAsia="en-NZ"/>
        </w:rPr>
      </w:pPr>
    </w:p>
    <w:p w14:paraId="18007B06" w14:textId="42974F6C" w:rsidR="000514D9"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Recognition that people with disabilities “enjoy legal capacity on an equal basis with others in all aspects of life”, an obligation to “take appropriate measures” to provide people with disabilities access to the support they may need to exercise this legal capacity</w:t>
      </w:r>
      <w:r w:rsidR="00B14CC5">
        <w:rPr>
          <w:rFonts w:ascii="Arial" w:eastAsia="Times New Roman" w:hAnsi="Arial" w:cs="Arial"/>
          <w:color w:val="000000"/>
          <w:sz w:val="24"/>
          <w:szCs w:val="24"/>
          <w:lang w:eastAsia="en-NZ"/>
        </w:rPr>
        <w:t>, and an obligation to “ensure effective access to justice for persons with disabilities on an equal basis with others”</w:t>
      </w:r>
      <w:r w:rsidRPr="003112B5">
        <w:rPr>
          <w:rFonts w:ascii="Arial" w:eastAsia="Times New Roman" w:hAnsi="Arial" w:cs="Arial"/>
          <w:color w:val="000000"/>
          <w:sz w:val="24"/>
          <w:szCs w:val="24"/>
          <w:lang w:eastAsia="en-NZ"/>
        </w:rPr>
        <w:t>.</w:t>
      </w:r>
      <w:r w:rsidRPr="003112B5">
        <w:rPr>
          <w:rStyle w:val="FootnoteReference"/>
          <w:rFonts w:ascii="Arial" w:eastAsia="Times New Roman" w:hAnsi="Arial" w:cs="Arial"/>
          <w:color w:val="000000"/>
          <w:sz w:val="24"/>
          <w:szCs w:val="24"/>
          <w:lang w:eastAsia="en-NZ"/>
        </w:rPr>
        <w:footnoteReference w:id="167"/>
      </w:r>
    </w:p>
    <w:p w14:paraId="657C5744" w14:textId="77777777" w:rsidR="000514D9" w:rsidRPr="003112B5" w:rsidRDefault="000514D9" w:rsidP="000514D9">
      <w:pPr>
        <w:spacing w:after="0" w:line="240" w:lineRule="auto"/>
        <w:ind w:left="140"/>
        <w:rPr>
          <w:rFonts w:ascii="Arial" w:eastAsia="Times New Roman" w:hAnsi="Arial" w:cs="Arial"/>
          <w:color w:val="000000"/>
          <w:sz w:val="24"/>
          <w:szCs w:val="24"/>
          <w:lang w:eastAsia="en-NZ"/>
        </w:rPr>
      </w:pPr>
    </w:p>
    <w:p w14:paraId="6E2CAD7B" w14:textId="2AE47BB2" w:rsidR="000514D9"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lastRenderedPageBreak/>
        <w:t>Obligations to respect and ensure rights,</w:t>
      </w:r>
      <w:r w:rsidRPr="003112B5">
        <w:rPr>
          <w:rStyle w:val="FootnoteReference"/>
          <w:rFonts w:ascii="Arial" w:eastAsia="Times New Roman" w:hAnsi="Arial" w:cs="Arial"/>
          <w:color w:val="000000"/>
          <w:sz w:val="24"/>
          <w:szCs w:val="24"/>
          <w:lang w:eastAsia="en-NZ"/>
        </w:rPr>
        <w:footnoteReference w:id="168"/>
      </w:r>
      <w:r w:rsidRPr="003112B5">
        <w:rPr>
          <w:rFonts w:ascii="Arial" w:eastAsia="Times New Roman" w:hAnsi="Arial" w:cs="Arial"/>
          <w:color w:val="000000"/>
          <w:sz w:val="24"/>
          <w:szCs w:val="24"/>
          <w:lang w:eastAsia="en-NZ"/>
        </w:rPr>
        <w:t xml:space="preserve"> including the taking of “necessary”, “effective” or “</w:t>
      </w:r>
      <w:r w:rsidR="00DD5839" w:rsidRPr="003112B5">
        <w:rPr>
          <w:rFonts w:ascii="Arial" w:eastAsia="Times New Roman" w:hAnsi="Arial" w:cs="Arial"/>
          <w:color w:val="000000"/>
          <w:sz w:val="24"/>
          <w:szCs w:val="24"/>
          <w:lang w:eastAsia="en-NZ"/>
        </w:rPr>
        <w:t xml:space="preserve">all </w:t>
      </w:r>
      <w:r w:rsidRPr="003112B5">
        <w:rPr>
          <w:rFonts w:ascii="Arial" w:eastAsia="Times New Roman" w:hAnsi="Arial" w:cs="Arial"/>
          <w:color w:val="000000"/>
          <w:sz w:val="24"/>
          <w:szCs w:val="24"/>
          <w:lang w:eastAsia="en-NZ"/>
        </w:rPr>
        <w:t>appropriate” measures to achieve this.</w:t>
      </w:r>
      <w:r w:rsidRPr="003112B5">
        <w:rPr>
          <w:rStyle w:val="FootnoteReference"/>
          <w:rFonts w:ascii="Arial" w:eastAsia="Times New Roman" w:hAnsi="Arial" w:cs="Arial"/>
          <w:color w:val="000000"/>
          <w:sz w:val="24"/>
          <w:szCs w:val="24"/>
          <w:lang w:eastAsia="en-NZ"/>
        </w:rPr>
        <w:footnoteReference w:id="169"/>
      </w:r>
    </w:p>
    <w:p w14:paraId="43084976" w14:textId="77777777" w:rsidR="000514D9" w:rsidRPr="003112B5" w:rsidRDefault="000514D9" w:rsidP="000514D9">
      <w:pPr>
        <w:spacing w:after="0" w:line="240" w:lineRule="auto"/>
        <w:ind w:left="140"/>
        <w:rPr>
          <w:rFonts w:ascii="Arial" w:eastAsia="Times New Roman" w:hAnsi="Arial" w:cs="Arial"/>
          <w:color w:val="000000"/>
          <w:sz w:val="24"/>
          <w:szCs w:val="24"/>
          <w:lang w:eastAsia="en-NZ"/>
        </w:rPr>
      </w:pPr>
    </w:p>
    <w:p w14:paraId="2FF6FE6C" w14:textId="77777777" w:rsidR="000514D9"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Obligations to carry out investigations to determine whether a violation of rights has occurred.  For example, CAT provides that a State Party must carry out “a prompt and impartial investigation” where there is a reasonable basis for believing that an act of torture has been committed in the territory under that State Party’s jurisdiction (i.e. control).</w:t>
      </w:r>
      <w:r w:rsidRPr="003112B5">
        <w:rPr>
          <w:rStyle w:val="FootnoteReference"/>
          <w:rFonts w:ascii="Arial" w:eastAsia="Times New Roman" w:hAnsi="Arial" w:cs="Arial"/>
          <w:color w:val="000000"/>
          <w:sz w:val="24"/>
          <w:szCs w:val="24"/>
          <w:lang w:eastAsia="en-NZ"/>
        </w:rPr>
        <w:footnoteReference w:id="170"/>
      </w:r>
      <w:r w:rsidRPr="003112B5">
        <w:rPr>
          <w:rFonts w:ascii="Arial" w:eastAsia="Times New Roman" w:hAnsi="Arial" w:cs="Arial"/>
          <w:color w:val="000000"/>
          <w:sz w:val="24"/>
          <w:szCs w:val="24"/>
          <w:lang w:eastAsia="en-NZ"/>
        </w:rPr>
        <w:t xml:space="preserve">  CRPD requires each State Party to have “effective legislation and policies” “to ensure that instances of exploitation, violence and abuse against persons with disabilities are identified, investigated and, where appropriate, prosecuted”.</w:t>
      </w:r>
      <w:r w:rsidRPr="003112B5">
        <w:rPr>
          <w:rStyle w:val="FootnoteReference"/>
          <w:rFonts w:ascii="Arial" w:eastAsia="Times New Roman" w:hAnsi="Arial" w:cs="Arial"/>
          <w:color w:val="000000"/>
          <w:sz w:val="24"/>
          <w:szCs w:val="24"/>
          <w:lang w:eastAsia="en-NZ"/>
        </w:rPr>
        <w:footnoteReference w:id="171"/>
      </w:r>
    </w:p>
    <w:p w14:paraId="318B44CF" w14:textId="77777777" w:rsidR="000514D9" w:rsidRPr="003112B5" w:rsidRDefault="000514D9" w:rsidP="000514D9">
      <w:pPr>
        <w:spacing w:after="0" w:line="240" w:lineRule="auto"/>
        <w:ind w:left="140"/>
        <w:rPr>
          <w:rFonts w:ascii="Arial" w:eastAsia="Times New Roman" w:hAnsi="Arial" w:cs="Arial"/>
          <w:color w:val="000000"/>
          <w:sz w:val="24"/>
          <w:szCs w:val="24"/>
          <w:lang w:eastAsia="en-NZ"/>
        </w:rPr>
      </w:pPr>
    </w:p>
    <w:p w14:paraId="27565017" w14:textId="3FA437F3" w:rsidR="00374721" w:rsidRPr="003112B5" w:rsidRDefault="000514D9" w:rsidP="000514D9">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Obligations to provide effective remedies for violation.</w:t>
      </w:r>
      <w:r w:rsidRPr="003112B5">
        <w:rPr>
          <w:rStyle w:val="FootnoteReference"/>
          <w:rFonts w:ascii="Arial" w:eastAsia="Times New Roman" w:hAnsi="Arial" w:cs="Arial"/>
          <w:color w:val="000000"/>
          <w:sz w:val="24"/>
          <w:szCs w:val="24"/>
          <w:lang w:eastAsia="en-NZ"/>
        </w:rPr>
        <w:footnoteReference w:id="172"/>
      </w:r>
      <w:r w:rsidRPr="003112B5">
        <w:rPr>
          <w:rFonts w:ascii="Arial" w:eastAsia="Times New Roman" w:hAnsi="Arial" w:cs="Arial"/>
          <w:color w:val="000000"/>
          <w:sz w:val="24"/>
          <w:szCs w:val="24"/>
          <w:lang w:eastAsia="en-NZ"/>
        </w:rPr>
        <w:t xml:space="preserve">  These include obligations such as developing “the possibilities of judicial remedy” for any person claiming that his or her rights as recognised in the ICCPR have been violated.</w:t>
      </w:r>
      <w:r w:rsidRPr="003112B5">
        <w:rPr>
          <w:rStyle w:val="FootnoteReference"/>
          <w:rFonts w:ascii="Arial" w:eastAsia="Times New Roman" w:hAnsi="Arial" w:cs="Arial"/>
          <w:color w:val="000000"/>
          <w:sz w:val="24"/>
          <w:szCs w:val="24"/>
          <w:lang w:eastAsia="en-NZ"/>
        </w:rPr>
        <w:footnoteReference w:id="173"/>
      </w:r>
      <w:r w:rsidRPr="003112B5">
        <w:rPr>
          <w:rFonts w:ascii="Arial" w:eastAsia="Times New Roman" w:hAnsi="Arial" w:cs="Arial"/>
          <w:color w:val="000000"/>
          <w:sz w:val="24"/>
          <w:szCs w:val="24"/>
          <w:lang w:eastAsia="en-NZ"/>
        </w:rPr>
        <w:t xml:space="preserve">  The UN Human Rights Committee considers that States Parties must ensure that remedies are “accessible and effective”, as well as being “appropriately adapted so as to take account of the special vulnerability of certain categories of person, including in particular children.”</w:t>
      </w:r>
      <w:r w:rsidRPr="003112B5">
        <w:rPr>
          <w:rStyle w:val="FootnoteReference"/>
          <w:rFonts w:ascii="Arial" w:eastAsia="Times New Roman" w:hAnsi="Arial" w:cs="Arial"/>
          <w:color w:val="000000"/>
          <w:sz w:val="24"/>
          <w:szCs w:val="24"/>
          <w:lang w:eastAsia="en-NZ"/>
        </w:rPr>
        <w:footnoteReference w:id="174"/>
      </w:r>
      <w:r w:rsidRPr="003112B5">
        <w:rPr>
          <w:rFonts w:ascii="Arial" w:eastAsia="Times New Roman" w:hAnsi="Arial" w:cs="Arial"/>
          <w:color w:val="000000"/>
          <w:sz w:val="24"/>
          <w:szCs w:val="24"/>
          <w:lang w:eastAsia="en-NZ"/>
        </w:rPr>
        <w:t xml:space="preserve"> </w:t>
      </w:r>
    </w:p>
    <w:p w14:paraId="2BE1CE27" w14:textId="77777777" w:rsidR="007D2860" w:rsidRPr="003112B5" w:rsidRDefault="007D2860" w:rsidP="004A188D">
      <w:pPr>
        <w:spacing w:after="0" w:line="240" w:lineRule="auto"/>
        <w:rPr>
          <w:rFonts w:ascii="Arial" w:eastAsia="Times New Roman" w:hAnsi="Arial" w:cs="Arial"/>
          <w:b/>
          <w:bCs/>
          <w:color w:val="000000"/>
          <w:sz w:val="24"/>
          <w:szCs w:val="24"/>
          <w:lang w:eastAsia="en-NZ"/>
        </w:rPr>
      </w:pPr>
    </w:p>
    <w:p w14:paraId="1A033FCB" w14:textId="2B67101C" w:rsidR="004A188D" w:rsidRPr="003112B5" w:rsidRDefault="004A188D" w:rsidP="004A188D">
      <w:pPr>
        <w:spacing w:after="0" w:line="240" w:lineRule="auto"/>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UNDRIP</w:t>
      </w:r>
    </w:p>
    <w:p w14:paraId="6EC50CBC" w14:textId="18868488" w:rsidR="004A188D" w:rsidRPr="003112B5" w:rsidRDefault="004A188D" w:rsidP="004A188D">
      <w:pPr>
        <w:spacing w:after="0" w:line="240" w:lineRule="auto"/>
        <w:rPr>
          <w:rFonts w:ascii="Arial" w:eastAsia="Times New Roman" w:hAnsi="Arial" w:cs="Arial"/>
          <w:b/>
          <w:bCs/>
          <w:color w:val="000000"/>
          <w:sz w:val="24"/>
          <w:szCs w:val="24"/>
          <w:lang w:eastAsia="en-NZ"/>
        </w:rPr>
      </w:pPr>
    </w:p>
    <w:p w14:paraId="5CF6E716" w14:textId="4DD32C3D" w:rsidR="005C032B" w:rsidRPr="003112B5" w:rsidRDefault="000532E2" w:rsidP="004A188D">
      <w:pPr>
        <w:numPr>
          <w:ilvl w:val="0"/>
          <w:numId w:val="16"/>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UNDRIP</w:t>
      </w:r>
      <w:r w:rsidR="005C032B" w:rsidRPr="003112B5">
        <w:rPr>
          <w:rFonts w:ascii="Arial" w:eastAsia="Times New Roman" w:hAnsi="Arial" w:cs="Arial"/>
          <w:color w:val="000000"/>
          <w:sz w:val="24"/>
          <w:szCs w:val="24"/>
          <w:lang w:eastAsia="en-NZ"/>
        </w:rPr>
        <w:t>’s preamble states that it is a solemn proclamation, and a “standard of achievement to be pursued in a spirit of partnership and mutual respect”.  The rights and obligations proclaimed in it include that:</w:t>
      </w:r>
    </w:p>
    <w:p w14:paraId="3AE5F505" w14:textId="5F9934E6" w:rsidR="005C032B" w:rsidRPr="003112B5" w:rsidRDefault="005C032B"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indigenous peoples have the right, as a collective or individuals, to the full enjoyment of “all human rights and fundamental freedoms as recognized in the Charter of the United Nations, the Universal Declaration of Human Rights and international human rights law.”</w:t>
      </w:r>
      <w:r w:rsidRPr="003112B5">
        <w:rPr>
          <w:rStyle w:val="FootnoteReference"/>
          <w:rFonts w:ascii="Arial" w:eastAsia="Times New Roman" w:hAnsi="Arial" w:cs="Arial"/>
          <w:color w:val="000000"/>
          <w:sz w:val="24"/>
          <w:szCs w:val="24"/>
          <w:lang w:eastAsia="en-NZ"/>
        </w:rPr>
        <w:footnoteReference w:id="175"/>
      </w:r>
      <w:r w:rsidRPr="003112B5">
        <w:rPr>
          <w:rFonts w:ascii="Arial" w:eastAsia="Times New Roman" w:hAnsi="Arial" w:cs="Arial"/>
          <w:color w:val="000000"/>
          <w:sz w:val="24"/>
          <w:szCs w:val="24"/>
          <w:lang w:eastAsia="en-NZ"/>
        </w:rPr>
        <w:t xml:space="preserve">  </w:t>
      </w:r>
    </w:p>
    <w:p w14:paraId="7370F38F" w14:textId="77777777" w:rsidR="005C032B" w:rsidRPr="003112B5" w:rsidRDefault="005C032B" w:rsidP="005C032B">
      <w:pPr>
        <w:pStyle w:val="ListParagraph"/>
        <w:autoSpaceDE w:val="0"/>
        <w:autoSpaceDN w:val="0"/>
        <w:adjustRightInd w:val="0"/>
        <w:spacing w:after="240" w:line="240" w:lineRule="auto"/>
        <w:ind w:left="1220"/>
        <w:jc w:val="both"/>
        <w:rPr>
          <w:rFonts w:ascii="Arial" w:eastAsia="Times New Roman" w:hAnsi="Arial" w:cs="Arial"/>
          <w:color w:val="000000"/>
          <w:sz w:val="24"/>
          <w:szCs w:val="24"/>
          <w:lang w:eastAsia="en-NZ"/>
        </w:rPr>
      </w:pPr>
    </w:p>
    <w:p w14:paraId="5DB044D0" w14:textId="4006526F" w:rsidR="005C032B" w:rsidRPr="003112B5" w:rsidRDefault="005C032B"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indigenous peoples “are free and equal to all other peoples and individuals, and have the right to</w:t>
      </w:r>
      <w:r w:rsidR="00DD5839" w:rsidRPr="003112B5">
        <w:rPr>
          <w:rFonts w:ascii="Arial" w:eastAsia="Times New Roman" w:hAnsi="Arial" w:cs="Arial"/>
          <w:color w:val="000000"/>
          <w:sz w:val="24"/>
          <w:szCs w:val="24"/>
          <w:lang w:eastAsia="en-NZ"/>
        </w:rPr>
        <w:t xml:space="preserve"> be</w:t>
      </w:r>
      <w:r w:rsidRPr="003112B5">
        <w:rPr>
          <w:rFonts w:ascii="Arial" w:eastAsia="Times New Roman" w:hAnsi="Arial" w:cs="Arial"/>
          <w:color w:val="000000"/>
          <w:sz w:val="24"/>
          <w:szCs w:val="24"/>
          <w:lang w:eastAsia="en-NZ"/>
        </w:rPr>
        <w:t xml:space="preserve"> free from any kind of discrimination, in the exercise of their rights […]”.</w:t>
      </w:r>
      <w:r w:rsidRPr="003112B5">
        <w:rPr>
          <w:rStyle w:val="FootnoteReference"/>
          <w:rFonts w:ascii="Arial" w:eastAsia="Times New Roman" w:hAnsi="Arial" w:cs="Arial"/>
          <w:color w:val="000000"/>
          <w:sz w:val="24"/>
          <w:szCs w:val="24"/>
          <w:lang w:eastAsia="en-NZ"/>
        </w:rPr>
        <w:footnoteReference w:id="176"/>
      </w:r>
    </w:p>
    <w:p w14:paraId="455D6178" w14:textId="77777777" w:rsidR="005C032B" w:rsidRPr="003112B5" w:rsidRDefault="005C032B" w:rsidP="005C032B">
      <w:pPr>
        <w:pStyle w:val="ListParagraph"/>
        <w:rPr>
          <w:rFonts w:ascii="Arial" w:eastAsia="Times New Roman" w:hAnsi="Arial" w:cs="Arial"/>
          <w:color w:val="000000"/>
          <w:sz w:val="24"/>
          <w:szCs w:val="24"/>
          <w:lang w:eastAsia="en-NZ"/>
        </w:rPr>
      </w:pPr>
    </w:p>
    <w:p w14:paraId="26D90513" w14:textId="364559E1" w:rsidR="00E1517E" w:rsidRPr="003112B5" w:rsidRDefault="00E1517E"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 exercising their right to self-determination, indigenous peoples have the right to “autonomy or self-government in matters relating to their internal and local affairs”, as well as means for financing this autonomy.</w:t>
      </w:r>
      <w:r w:rsidRPr="003112B5">
        <w:rPr>
          <w:rStyle w:val="FootnoteReference"/>
          <w:rFonts w:ascii="Arial" w:eastAsia="Times New Roman" w:hAnsi="Arial" w:cs="Arial"/>
          <w:color w:val="000000"/>
          <w:sz w:val="24"/>
          <w:szCs w:val="24"/>
          <w:lang w:eastAsia="en-NZ"/>
        </w:rPr>
        <w:footnoteReference w:id="177"/>
      </w:r>
    </w:p>
    <w:p w14:paraId="486CA632" w14:textId="77777777" w:rsidR="00E1517E" w:rsidRPr="003112B5" w:rsidRDefault="00E1517E" w:rsidP="00E1517E">
      <w:pPr>
        <w:pStyle w:val="ListParagraph"/>
        <w:rPr>
          <w:rFonts w:ascii="Arial" w:eastAsia="Times New Roman" w:hAnsi="Arial" w:cs="Arial"/>
          <w:color w:val="000000"/>
          <w:sz w:val="24"/>
          <w:szCs w:val="24"/>
          <w:lang w:eastAsia="en-NZ"/>
        </w:rPr>
      </w:pPr>
    </w:p>
    <w:p w14:paraId="57F3F726" w14:textId="41001F1F" w:rsidR="005C032B" w:rsidRPr="003112B5" w:rsidRDefault="005C032B"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“indigenous individuals have the rights to life, physical and mental integrity, liberty and security of person.”</w:t>
      </w:r>
      <w:r w:rsidRPr="003112B5">
        <w:rPr>
          <w:rStyle w:val="FootnoteReference"/>
          <w:rFonts w:ascii="Arial" w:eastAsia="Times New Roman" w:hAnsi="Arial" w:cs="Arial"/>
          <w:color w:val="000000"/>
          <w:sz w:val="24"/>
          <w:szCs w:val="24"/>
          <w:lang w:eastAsia="en-NZ"/>
        </w:rPr>
        <w:footnoteReference w:id="178"/>
      </w:r>
    </w:p>
    <w:p w14:paraId="0B388F88" w14:textId="77777777" w:rsidR="005C032B" w:rsidRPr="003112B5" w:rsidRDefault="005C032B" w:rsidP="005C032B">
      <w:pPr>
        <w:pStyle w:val="ListParagraph"/>
        <w:rPr>
          <w:rFonts w:ascii="Arial" w:eastAsia="Times New Roman" w:hAnsi="Arial" w:cs="Arial"/>
          <w:color w:val="000000"/>
          <w:sz w:val="24"/>
          <w:szCs w:val="24"/>
          <w:lang w:eastAsia="en-NZ"/>
        </w:rPr>
      </w:pPr>
    </w:p>
    <w:p w14:paraId="1A27FD99" w14:textId="783F4762" w:rsidR="005C032B" w:rsidRDefault="005C032B"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“indigenous peoples have the right to practice and revitalize their cultural traditions and customs.”</w:t>
      </w:r>
      <w:r w:rsidRPr="003112B5">
        <w:rPr>
          <w:rStyle w:val="FootnoteReference"/>
          <w:rFonts w:ascii="Arial" w:eastAsia="Times New Roman" w:hAnsi="Arial" w:cs="Arial"/>
          <w:color w:val="000000"/>
          <w:sz w:val="24"/>
          <w:szCs w:val="24"/>
          <w:lang w:eastAsia="en-NZ"/>
        </w:rPr>
        <w:footnoteReference w:id="179"/>
      </w:r>
    </w:p>
    <w:p w14:paraId="26F9B8F8" w14:textId="77777777" w:rsidR="00DC5F71" w:rsidRPr="00DC5F71" w:rsidRDefault="00DC5F71" w:rsidP="00DC5F71">
      <w:pPr>
        <w:pStyle w:val="ListParagraph"/>
        <w:rPr>
          <w:rFonts w:ascii="Arial" w:eastAsia="Times New Roman" w:hAnsi="Arial" w:cs="Arial"/>
          <w:color w:val="000000"/>
          <w:sz w:val="24"/>
          <w:szCs w:val="24"/>
          <w:lang w:eastAsia="en-NZ"/>
        </w:rPr>
      </w:pPr>
    </w:p>
    <w:p w14:paraId="2EA26497" w14:textId="79881B40" w:rsidR="00DC5F71" w:rsidRPr="003112B5" w:rsidRDefault="00DC5F71"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“indigenous peoples have the right to manifest, practise, develop and teach their spiritual and religious traditions, customs and ceremonies […].”</w:t>
      </w:r>
      <w:r>
        <w:rPr>
          <w:rStyle w:val="FootnoteReference"/>
          <w:rFonts w:ascii="Arial" w:eastAsia="Times New Roman" w:hAnsi="Arial" w:cs="Arial"/>
          <w:color w:val="000000"/>
          <w:sz w:val="24"/>
          <w:szCs w:val="24"/>
          <w:lang w:eastAsia="en-NZ"/>
        </w:rPr>
        <w:footnoteReference w:id="180"/>
      </w:r>
    </w:p>
    <w:p w14:paraId="29F4AE7F" w14:textId="77777777" w:rsidR="00E1517E" w:rsidRPr="003112B5" w:rsidRDefault="00E1517E" w:rsidP="00E1517E">
      <w:pPr>
        <w:pStyle w:val="ListParagraph"/>
        <w:rPr>
          <w:rFonts w:ascii="Arial" w:eastAsia="Times New Roman" w:hAnsi="Arial" w:cs="Arial"/>
          <w:color w:val="000000"/>
          <w:sz w:val="24"/>
          <w:szCs w:val="24"/>
          <w:lang w:eastAsia="en-NZ"/>
        </w:rPr>
      </w:pPr>
    </w:p>
    <w:p w14:paraId="02DB1657" w14:textId="1502F2CD" w:rsidR="00E1517E" w:rsidRPr="003112B5" w:rsidRDefault="00E1517E"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indigenous peoples have the right to participate in decision-making on matters affecting their rights.</w:t>
      </w:r>
      <w:r w:rsidRPr="003112B5">
        <w:rPr>
          <w:rStyle w:val="FootnoteReference"/>
          <w:rFonts w:ascii="Arial" w:eastAsia="Times New Roman" w:hAnsi="Arial" w:cs="Arial"/>
          <w:color w:val="000000"/>
          <w:sz w:val="24"/>
          <w:szCs w:val="24"/>
          <w:lang w:eastAsia="en-NZ"/>
        </w:rPr>
        <w:footnoteReference w:id="181"/>
      </w:r>
    </w:p>
    <w:p w14:paraId="296253F4" w14:textId="77777777" w:rsidR="00E1517E" w:rsidRPr="003112B5" w:rsidRDefault="00E1517E" w:rsidP="00E1517E">
      <w:pPr>
        <w:pStyle w:val="ListParagraph"/>
        <w:rPr>
          <w:rFonts w:ascii="Arial" w:eastAsia="Times New Roman" w:hAnsi="Arial" w:cs="Arial"/>
          <w:color w:val="000000"/>
          <w:sz w:val="24"/>
          <w:szCs w:val="24"/>
          <w:lang w:eastAsia="en-NZ"/>
        </w:rPr>
      </w:pPr>
    </w:p>
    <w:p w14:paraId="2D296DB4" w14:textId="736F4264" w:rsidR="00E1517E" w:rsidRPr="003112B5" w:rsidRDefault="00DD5839"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s</w:t>
      </w:r>
      <w:r w:rsidR="00E1517E" w:rsidRPr="003112B5">
        <w:rPr>
          <w:rFonts w:ascii="Arial" w:eastAsia="Times New Roman" w:hAnsi="Arial" w:cs="Arial"/>
          <w:color w:val="000000"/>
          <w:sz w:val="24"/>
          <w:szCs w:val="24"/>
          <w:lang w:eastAsia="en-NZ"/>
        </w:rPr>
        <w:t>tates will “consult and cooperate in good faith” with indigenous peoples “to obtain their free, prior and informed consent” before the adoption and implementation of legislative or administrative measures which may affect them.</w:t>
      </w:r>
      <w:r w:rsidR="00E1517E" w:rsidRPr="003112B5">
        <w:rPr>
          <w:rStyle w:val="FootnoteReference"/>
          <w:rFonts w:ascii="Arial" w:eastAsia="Times New Roman" w:hAnsi="Arial" w:cs="Arial"/>
          <w:color w:val="000000"/>
          <w:sz w:val="24"/>
          <w:szCs w:val="24"/>
          <w:lang w:eastAsia="en-NZ"/>
        </w:rPr>
        <w:footnoteReference w:id="182"/>
      </w:r>
    </w:p>
    <w:p w14:paraId="4D6BE8C3" w14:textId="77777777" w:rsidR="00E1517E" w:rsidRPr="003112B5" w:rsidRDefault="00E1517E" w:rsidP="00DC4E43">
      <w:pPr>
        <w:pStyle w:val="ListParagraph"/>
        <w:spacing w:after="0" w:line="240" w:lineRule="auto"/>
        <w:ind w:left="860"/>
        <w:rPr>
          <w:rFonts w:ascii="Arial" w:eastAsia="Times New Roman" w:hAnsi="Arial" w:cs="Arial"/>
          <w:color w:val="000000"/>
          <w:sz w:val="24"/>
          <w:szCs w:val="24"/>
          <w:lang w:eastAsia="en-NZ"/>
        </w:rPr>
      </w:pPr>
    </w:p>
    <w:p w14:paraId="006121BE" w14:textId="32E0DCBF" w:rsidR="00E1517E" w:rsidRPr="003112B5" w:rsidRDefault="00DD5839"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w:t>
      </w:r>
      <w:r w:rsidR="00E1517E" w:rsidRPr="003112B5">
        <w:rPr>
          <w:rFonts w:ascii="Arial" w:eastAsia="Times New Roman" w:hAnsi="Arial" w:cs="Arial"/>
          <w:color w:val="000000"/>
          <w:sz w:val="24"/>
          <w:szCs w:val="24"/>
          <w:lang w:eastAsia="en-NZ"/>
        </w:rPr>
        <w:t>ndigenous peoples have the right to the improvement of their economic and social conditions.</w:t>
      </w:r>
      <w:r w:rsidR="00E1517E" w:rsidRPr="003112B5">
        <w:rPr>
          <w:rStyle w:val="FootnoteReference"/>
          <w:rFonts w:ascii="Arial" w:eastAsia="Times New Roman" w:hAnsi="Arial" w:cs="Arial"/>
          <w:color w:val="000000"/>
          <w:sz w:val="24"/>
          <w:szCs w:val="24"/>
          <w:lang w:eastAsia="en-NZ"/>
        </w:rPr>
        <w:footnoteReference w:id="183"/>
      </w:r>
      <w:r w:rsidR="00E1517E" w:rsidRPr="003112B5">
        <w:rPr>
          <w:rFonts w:ascii="Arial" w:eastAsia="Times New Roman" w:hAnsi="Arial" w:cs="Arial"/>
          <w:color w:val="000000"/>
          <w:sz w:val="24"/>
          <w:szCs w:val="24"/>
          <w:lang w:eastAsia="en-NZ"/>
        </w:rPr>
        <w:t xml:space="preserve">  States will take “effective” measures to ensure the continuing improvement of indigenous peoples’ economic and social conditions, as well as “special” measures where appropriate.</w:t>
      </w:r>
      <w:r w:rsidR="00E1517E" w:rsidRPr="003112B5">
        <w:rPr>
          <w:rStyle w:val="FootnoteReference"/>
          <w:rFonts w:ascii="Arial" w:eastAsia="Times New Roman" w:hAnsi="Arial" w:cs="Arial"/>
          <w:color w:val="000000"/>
          <w:sz w:val="24"/>
          <w:szCs w:val="24"/>
          <w:lang w:eastAsia="en-NZ"/>
        </w:rPr>
        <w:footnoteReference w:id="184"/>
      </w:r>
      <w:r w:rsidR="00E1517E" w:rsidRPr="003112B5">
        <w:rPr>
          <w:rFonts w:ascii="Arial" w:eastAsia="Times New Roman" w:hAnsi="Arial" w:cs="Arial"/>
          <w:color w:val="000000"/>
          <w:sz w:val="24"/>
          <w:szCs w:val="24"/>
          <w:lang w:eastAsia="en-NZ"/>
        </w:rPr>
        <w:t xml:space="preserve">  </w:t>
      </w:r>
    </w:p>
    <w:p w14:paraId="29581917" w14:textId="77777777" w:rsidR="00E1517E" w:rsidRPr="003112B5" w:rsidRDefault="00E1517E" w:rsidP="00E1517E">
      <w:pPr>
        <w:pStyle w:val="ListParagraph"/>
        <w:rPr>
          <w:rFonts w:ascii="Arial" w:eastAsia="Times New Roman" w:hAnsi="Arial" w:cs="Arial"/>
          <w:color w:val="000000"/>
          <w:sz w:val="24"/>
          <w:szCs w:val="24"/>
          <w:lang w:eastAsia="en-NZ"/>
        </w:rPr>
      </w:pPr>
    </w:p>
    <w:p w14:paraId="54BE24AB" w14:textId="4F4AF03F" w:rsidR="004A188D" w:rsidRPr="003112B5" w:rsidRDefault="004A188D"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 implementing UNDRIP, “particular attention” will be paid to the “rights and special needs of indigenous elders, women, youth, children and persons with disabilities.”</w:t>
      </w:r>
      <w:r w:rsidR="00E1517E" w:rsidRPr="003112B5">
        <w:rPr>
          <w:rStyle w:val="FootnoteReference"/>
          <w:rFonts w:ascii="Arial" w:eastAsia="Times New Roman" w:hAnsi="Arial" w:cs="Arial"/>
          <w:color w:val="000000"/>
          <w:sz w:val="24"/>
          <w:szCs w:val="24"/>
          <w:lang w:eastAsia="en-NZ"/>
        </w:rPr>
        <w:footnoteReference w:id="185"/>
      </w:r>
    </w:p>
    <w:p w14:paraId="6923E222" w14:textId="77777777" w:rsidR="00E1517E" w:rsidRPr="003112B5" w:rsidRDefault="00E1517E" w:rsidP="00E1517E">
      <w:pPr>
        <w:pStyle w:val="ListParagraph"/>
        <w:rPr>
          <w:rFonts w:ascii="Arial" w:eastAsia="Times New Roman" w:hAnsi="Arial" w:cs="Arial"/>
          <w:color w:val="000000"/>
          <w:sz w:val="24"/>
          <w:szCs w:val="24"/>
          <w:lang w:eastAsia="en-NZ"/>
        </w:rPr>
      </w:pPr>
    </w:p>
    <w:p w14:paraId="08EF8DE9" w14:textId="43446B9A" w:rsidR="00E1517E" w:rsidRPr="003112B5" w:rsidRDefault="00DD5839"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s</w:t>
      </w:r>
      <w:r w:rsidR="00E1517E" w:rsidRPr="003112B5">
        <w:rPr>
          <w:rFonts w:ascii="Arial" w:eastAsia="Times New Roman" w:hAnsi="Arial" w:cs="Arial"/>
          <w:color w:val="000000"/>
          <w:sz w:val="24"/>
          <w:szCs w:val="24"/>
          <w:lang w:eastAsia="en-NZ"/>
        </w:rPr>
        <w:t>tates will take measures, together with indigenous peoples, “to ensure that indigenous women and children enjoy the full protection and guarantees against all forms of violence and discrimination.”</w:t>
      </w:r>
      <w:r w:rsidR="00E1517E" w:rsidRPr="003112B5">
        <w:rPr>
          <w:rStyle w:val="FootnoteReference"/>
          <w:rFonts w:ascii="Arial" w:eastAsia="Times New Roman" w:hAnsi="Arial" w:cs="Arial"/>
          <w:color w:val="000000"/>
          <w:sz w:val="24"/>
          <w:szCs w:val="24"/>
          <w:lang w:eastAsia="en-NZ"/>
        </w:rPr>
        <w:footnoteReference w:id="186"/>
      </w:r>
    </w:p>
    <w:p w14:paraId="128CF3B2" w14:textId="77777777" w:rsidR="00E1517E" w:rsidRPr="003112B5" w:rsidRDefault="00E1517E" w:rsidP="00E1517E">
      <w:pPr>
        <w:pStyle w:val="ListParagraph"/>
        <w:rPr>
          <w:rFonts w:ascii="Arial" w:eastAsia="Times New Roman" w:hAnsi="Arial" w:cs="Arial"/>
          <w:color w:val="000000"/>
          <w:sz w:val="24"/>
          <w:szCs w:val="24"/>
          <w:lang w:eastAsia="en-NZ"/>
        </w:rPr>
      </w:pPr>
    </w:p>
    <w:p w14:paraId="64071033" w14:textId="4CBD468E" w:rsidR="00DC5F71" w:rsidRDefault="00DC5F71"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“indigenous peoples have </w:t>
      </w:r>
      <w:r w:rsidRPr="00DC5F71">
        <w:rPr>
          <w:rFonts w:ascii="Arial" w:eastAsia="Times New Roman" w:hAnsi="Arial" w:cs="Arial"/>
          <w:color w:val="000000"/>
          <w:sz w:val="24"/>
          <w:szCs w:val="24"/>
          <w:lang w:eastAsia="en-NZ"/>
        </w:rPr>
        <w:t>the right to determine and develop priorities and strategies for exercising their right to development</w:t>
      </w:r>
      <w:r>
        <w:rPr>
          <w:rFonts w:ascii="Arial" w:eastAsia="Times New Roman" w:hAnsi="Arial" w:cs="Arial"/>
          <w:color w:val="000000"/>
          <w:sz w:val="24"/>
          <w:szCs w:val="24"/>
          <w:lang w:eastAsia="en-NZ"/>
        </w:rPr>
        <w:t>.”</w:t>
      </w:r>
      <w:r>
        <w:rPr>
          <w:rStyle w:val="FootnoteReference"/>
          <w:rFonts w:ascii="Arial" w:eastAsia="Times New Roman" w:hAnsi="Arial" w:cs="Arial"/>
          <w:color w:val="000000"/>
          <w:sz w:val="24"/>
          <w:szCs w:val="24"/>
          <w:lang w:eastAsia="en-NZ"/>
        </w:rPr>
        <w:footnoteReference w:id="187"/>
      </w:r>
    </w:p>
    <w:p w14:paraId="7E05618B" w14:textId="77777777" w:rsidR="00DC5F71" w:rsidRPr="00DC5F71" w:rsidRDefault="00DC5F71" w:rsidP="00DC5F71">
      <w:pPr>
        <w:pStyle w:val="ListParagraph"/>
        <w:rPr>
          <w:rFonts w:ascii="Arial" w:eastAsia="Times New Roman" w:hAnsi="Arial" w:cs="Arial"/>
          <w:color w:val="000000"/>
          <w:sz w:val="24"/>
          <w:szCs w:val="24"/>
          <w:lang w:eastAsia="en-NZ"/>
        </w:rPr>
      </w:pPr>
    </w:p>
    <w:p w14:paraId="2D0ACDFB" w14:textId="1300B225" w:rsidR="00E1517E" w:rsidRPr="003112B5" w:rsidRDefault="00E1517E"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lastRenderedPageBreak/>
        <w:t xml:space="preserve">“effective measures” will be taken by </w:t>
      </w:r>
      <w:r w:rsidR="00C66066">
        <w:rPr>
          <w:rFonts w:ascii="Arial" w:eastAsia="Times New Roman" w:hAnsi="Arial" w:cs="Arial"/>
          <w:color w:val="000000"/>
          <w:sz w:val="24"/>
          <w:szCs w:val="24"/>
          <w:lang w:eastAsia="en-NZ"/>
        </w:rPr>
        <w:t>s</w:t>
      </w:r>
      <w:r w:rsidRPr="003112B5">
        <w:rPr>
          <w:rFonts w:ascii="Arial" w:eastAsia="Times New Roman" w:hAnsi="Arial" w:cs="Arial"/>
          <w:color w:val="000000"/>
          <w:sz w:val="24"/>
          <w:szCs w:val="24"/>
          <w:lang w:eastAsia="en-NZ"/>
        </w:rPr>
        <w:t xml:space="preserve">tates to ensure that, as required, “programmes for monitoring, maintaining and restoring the health of indigenous peoples, as developed and implemented by the peoples affected by such materials, are duly </w:t>
      </w:r>
      <w:r w:rsidR="006B11F0" w:rsidRPr="003112B5">
        <w:rPr>
          <w:rFonts w:ascii="Arial" w:eastAsia="Times New Roman" w:hAnsi="Arial" w:cs="Arial"/>
          <w:color w:val="000000"/>
          <w:sz w:val="24"/>
          <w:szCs w:val="24"/>
          <w:lang w:eastAsia="en-NZ"/>
        </w:rPr>
        <w:t>implemented”.</w:t>
      </w:r>
      <w:r w:rsidR="006B11F0" w:rsidRPr="003112B5">
        <w:rPr>
          <w:rStyle w:val="FootnoteReference"/>
          <w:rFonts w:ascii="Arial" w:eastAsia="Times New Roman" w:hAnsi="Arial" w:cs="Arial"/>
          <w:color w:val="000000"/>
          <w:sz w:val="24"/>
          <w:szCs w:val="24"/>
          <w:lang w:eastAsia="en-NZ"/>
        </w:rPr>
        <w:footnoteReference w:id="188"/>
      </w:r>
    </w:p>
    <w:p w14:paraId="79F96730" w14:textId="77777777" w:rsidR="006B11F0" w:rsidRPr="003112B5" w:rsidRDefault="006B11F0" w:rsidP="006B11F0">
      <w:pPr>
        <w:pStyle w:val="ListParagraph"/>
        <w:rPr>
          <w:rFonts w:ascii="Arial" w:eastAsia="Times New Roman" w:hAnsi="Arial" w:cs="Arial"/>
          <w:color w:val="000000"/>
          <w:sz w:val="24"/>
          <w:szCs w:val="24"/>
          <w:lang w:eastAsia="en-NZ"/>
        </w:rPr>
      </w:pPr>
    </w:p>
    <w:p w14:paraId="4078EBC3" w14:textId="6264D7C4" w:rsidR="006B11F0" w:rsidRPr="003112B5" w:rsidRDefault="006B11F0"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in consultation and cooperation with indigenous peoples, </w:t>
      </w:r>
      <w:r w:rsidR="00C66066">
        <w:rPr>
          <w:rFonts w:ascii="Arial" w:eastAsia="Times New Roman" w:hAnsi="Arial" w:cs="Arial"/>
          <w:color w:val="000000"/>
          <w:sz w:val="24"/>
          <w:szCs w:val="24"/>
          <w:lang w:eastAsia="en-NZ"/>
        </w:rPr>
        <w:t>s</w:t>
      </w:r>
      <w:r w:rsidRPr="003112B5">
        <w:rPr>
          <w:rFonts w:ascii="Arial" w:eastAsia="Times New Roman" w:hAnsi="Arial" w:cs="Arial"/>
          <w:color w:val="000000"/>
          <w:sz w:val="24"/>
          <w:szCs w:val="24"/>
          <w:lang w:eastAsia="en-NZ"/>
        </w:rPr>
        <w:t>tates will take “the appropriate measures, including legislative measures, to achieve the ends of” UNDRIP.</w:t>
      </w:r>
      <w:r w:rsidRPr="003112B5">
        <w:rPr>
          <w:rStyle w:val="FootnoteReference"/>
          <w:rFonts w:ascii="Arial" w:eastAsia="Times New Roman" w:hAnsi="Arial" w:cs="Arial"/>
          <w:color w:val="000000"/>
          <w:sz w:val="24"/>
          <w:szCs w:val="24"/>
          <w:lang w:eastAsia="en-NZ"/>
        </w:rPr>
        <w:footnoteReference w:id="189"/>
      </w:r>
      <w:r w:rsidRPr="003112B5">
        <w:rPr>
          <w:rFonts w:ascii="Arial" w:eastAsia="Times New Roman" w:hAnsi="Arial" w:cs="Arial"/>
          <w:color w:val="000000"/>
          <w:sz w:val="24"/>
          <w:szCs w:val="24"/>
          <w:lang w:eastAsia="en-NZ"/>
        </w:rPr>
        <w:t xml:space="preserve"> </w:t>
      </w:r>
    </w:p>
    <w:p w14:paraId="33F2D14F" w14:textId="77777777" w:rsidR="006B11F0" w:rsidRPr="003112B5" w:rsidRDefault="006B11F0" w:rsidP="006B11F0">
      <w:pPr>
        <w:pStyle w:val="ListParagraph"/>
        <w:rPr>
          <w:rFonts w:ascii="Arial" w:eastAsia="Times New Roman" w:hAnsi="Arial" w:cs="Arial"/>
          <w:color w:val="000000"/>
          <w:sz w:val="24"/>
          <w:szCs w:val="24"/>
          <w:lang w:eastAsia="en-NZ"/>
        </w:rPr>
      </w:pPr>
    </w:p>
    <w:p w14:paraId="2A26F787" w14:textId="6A15B428" w:rsidR="006B11F0" w:rsidRPr="003112B5" w:rsidRDefault="006B11F0" w:rsidP="00DC4E43">
      <w:pPr>
        <w:pStyle w:val="ListParagraph"/>
        <w:numPr>
          <w:ilvl w:val="0"/>
          <w:numId w:val="6"/>
        </w:numPr>
        <w:spacing w:after="0" w:line="240" w:lineRule="auto"/>
        <w:ind w:left="860"/>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indigenous peoples have the right to “effective remedies for all infringements of their individual and collective rights.”</w:t>
      </w:r>
      <w:r w:rsidRPr="003112B5">
        <w:rPr>
          <w:rStyle w:val="FootnoteReference"/>
          <w:rFonts w:ascii="Arial" w:eastAsia="Times New Roman" w:hAnsi="Arial" w:cs="Arial"/>
          <w:color w:val="000000"/>
          <w:sz w:val="24"/>
          <w:szCs w:val="24"/>
          <w:lang w:eastAsia="en-NZ"/>
        </w:rPr>
        <w:footnoteReference w:id="190"/>
      </w:r>
    </w:p>
    <w:p w14:paraId="5D13D61A" w14:textId="77777777" w:rsidR="00DC4E43" w:rsidRPr="003112B5" w:rsidRDefault="00DC4E43" w:rsidP="00DC4E43">
      <w:pPr>
        <w:pStyle w:val="ListParagraph"/>
        <w:spacing w:after="0" w:line="240" w:lineRule="auto"/>
        <w:ind w:left="860"/>
        <w:rPr>
          <w:rFonts w:ascii="Arial" w:eastAsia="Times New Roman" w:hAnsi="Arial" w:cs="Arial"/>
          <w:color w:val="000000"/>
          <w:sz w:val="24"/>
          <w:szCs w:val="24"/>
          <w:lang w:eastAsia="en-NZ"/>
        </w:rPr>
      </w:pPr>
    </w:p>
    <w:p w14:paraId="0B634AF6" w14:textId="6861614F" w:rsidR="003F2066" w:rsidRDefault="00887FBB" w:rsidP="003F2066">
      <w:pPr>
        <w:spacing w:after="0" w:line="240" w:lineRule="auto"/>
        <w:rPr>
          <w:rFonts w:ascii="Arial" w:eastAsia="Times New Roman" w:hAnsi="Arial" w:cs="Arial"/>
          <w:b/>
          <w:bCs/>
          <w:iCs/>
          <w:color w:val="000000"/>
          <w:sz w:val="24"/>
          <w:szCs w:val="24"/>
          <w:lang w:eastAsia="en-NZ"/>
        </w:rPr>
      </w:pPr>
      <w:r w:rsidRPr="003112B5">
        <w:rPr>
          <w:rFonts w:ascii="Arial" w:eastAsia="Times New Roman" w:hAnsi="Arial" w:cs="Arial"/>
          <w:b/>
          <w:bCs/>
          <w:iCs/>
          <w:color w:val="000000"/>
          <w:sz w:val="24"/>
          <w:szCs w:val="24"/>
          <w:lang w:eastAsia="en-NZ"/>
        </w:rPr>
        <w:t xml:space="preserve">TREATY COMMITTEES AND </w:t>
      </w:r>
      <w:r w:rsidR="00DC4E43" w:rsidRPr="003112B5">
        <w:rPr>
          <w:rFonts w:ascii="Arial" w:eastAsia="Times New Roman" w:hAnsi="Arial" w:cs="Arial"/>
          <w:b/>
          <w:bCs/>
          <w:iCs/>
          <w:color w:val="000000"/>
          <w:sz w:val="24"/>
          <w:szCs w:val="24"/>
          <w:lang w:eastAsia="en-NZ"/>
        </w:rPr>
        <w:t xml:space="preserve">INTERNATIONAL </w:t>
      </w:r>
      <w:r w:rsidRPr="003112B5">
        <w:rPr>
          <w:rFonts w:ascii="Arial" w:eastAsia="Times New Roman" w:hAnsi="Arial" w:cs="Arial"/>
          <w:b/>
          <w:bCs/>
          <w:iCs/>
          <w:color w:val="000000"/>
          <w:sz w:val="24"/>
          <w:szCs w:val="24"/>
          <w:lang w:eastAsia="en-NZ"/>
        </w:rPr>
        <w:t>COURTS</w:t>
      </w:r>
    </w:p>
    <w:p w14:paraId="7ADEF314" w14:textId="77777777" w:rsidR="00567320" w:rsidRPr="003112B5" w:rsidRDefault="00567320" w:rsidP="003F2066">
      <w:pPr>
        <w:spacing w:after="0" w:line="240" w:lineRule="auto"/>
        <w:rPr>
          <w:rFonts w:ascii="Arial" w:eastAsia="Times New Roman" w:hAnsi="Arial" w:cs="Arial"/>
          <w:b/>
          <w:bCs/>
          <w:iCs/>
          <w:color w:val="000000"/>
          <w:sz w:val="24"/>
          <w:szCs w:val="24"/>
          <w:lang w:eastAsia="en-NZ"/>
        </w:rPr>
      </w:pPr>
    </w:p>
    <w:p w14:paraId="213643D0" w14:textId="2C005318" w:rsidR="00843B92" w:rsidRPr="003112B5" w:rsidRDefault="003F2066" w:rsidP="003F2066">
      <w:pPr>
        <w:numPr>
          <w:ilvl w:val="0"/>
          <w:numId w:val="16"/>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The </w:t>
      </w:r>
      <w:r w:rsidR="00887FBB" w:rsidRPr="003112B5">
        <w:rPr>
          <w:rFonts w:ascii="Arial" w:eastAsia="Times New Roman" w:hAnsi="Arial" w:cs="Arial"/>
          <w:color w:val="000000"/>
          <w:sz w:val="24"/>
          <w:szCs w:val="24"/>
          <w:lang w:eastAsia="en-NZ"/>
        </w:rPr>
        <w:t xml:space="preserve">international </w:t>
      </w:r>
      <w:r w:rsidRPr="003112B5">
        <w:rPr>
          <w:rFonts w:ascii="Arial" w:eastAsia="Times New Roman" w:hAnsi="Arial" w:cs="Arial"/>
          <w:color w:val="000000"/>
          <w:sz w:val="24"/>
          <w:szCs w:val="24"/>
          <w:lang w:eastAsia="en-NZ"/>
        </w:rPr>
        <w:t xml:space="preserve">treaties referred to </w:t>
      </w:r>
      <w:r w:rsidR="00FE4EE3" w:rsidRPr="003112B5">
        <w:rPr>
          <w:rFonts w:ascii="Arial" w:eastAsia="Times New Roman" w:hAnsi="Arial" w:cs="Arial"/>
          <w:color w:val="000000"/>
          <w:sz w:val="24"/>
          <w:szCs w:val="24"/>
          <w:lang w:eastAsia="en-NZ"/>
        </w:rPr>
        <w:t xml:space="preserve">in Part B </w:t>
      </w:r>
      <w:r w:rsidRPr="003112B5">
        <w:rPr>
          <w:rFonts w:ascii="Arial" w:eastAsia="Times New Roman" w:hAnsi="Arial" w:cs="Arial"/>
          <w:color w:val="000000"/>
          <w:sz w:val="24"/>
          <w:szCs w:val="24"/>
          <w:lang w:eastAsia="en-NZ"/>
        </w:rPr>
        <w:t xml:space="preserve">above each established independent, expert committees to monitor their implementation by States Parties (e.g. the Committee on the Elimination of Racial Discrimination under CERD, the Human Rights Committee under the ICCPR, and the Committee Against Torture under CAT).  These committees receive reports from States on implementation and make recommendations to States.  </w:t>
      </w:r>
    </w:p>
    <w:p w14:paraId="7B064769" w14:textId="707BEB68" w:rsidR="003F2066" w:rsidRPr="003112B5" w:rsidRDefault="003F2066" w:rsidP="00843B92">
      <w:pPr>
        <w:numPr>
          <w:ilvl w:val="0"/>
          <w:numId w:val="16"/>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Th</w:t>
      </w:r>
      <w:r w:rsidR="00843B92" w:rsidRPr="003112B5">
        <w:rPr>
          <w:rFonts w:ascii="Arial" w:eastAsia="Times New Roman" w:hAnsi="Arial" w:cs="Arial"/>
          <w:color w:val="000000"/>
          <w:sz w:val="24"/>
          <w:szCs w:val="24"/>
          <w:lang w:eastAsia="en-NZ"/>
        </w:rPr>
        <w:t>e committees</w:t>
      </w:r>
      <w:r w:rsidRPr="003112B5">
        <w:rPr>
          <w:rFonts w:ascii="Arial" w:eastAsia="Times New Roman" w:hAnsi="Arial" w:cs="Arial"/>
          <w:color w:val="000000"/>
          <w:sz w:val="24"/>
          <w:szCs w:val="24"/>
          <w:lang w:eastAsia="en-NZ"/>
        </w:rPr>
        <w:t xml:space="preserve"> also produce authoritative interpretations of treaty rights and obligations in “General Comments”.</w:t>
      </w:r>
      <w:r w:rsidR="00843B92" w:rsidRPr="003112B5">
        <w:rPr>
          <w:rFonts w:ascii="Arial" w:eastAsia="Times New Roman" w:hAnsi="Arial" w:cs="Arial"/>
          <w:color w:val="000000"/>
          <w:sz w:val="24"/>
          <w:szCs w:val="24"/>
          <w:lang w:eastAsia="en-NZ"/>
        </w:rPr>
        <w:t xml:space="preserve">  </w:t>
      </w:r>
      <w:r w:rsidRPr="003112B5">
        <w:rPr>
          <w:rFonts w:ascii="Arial" w:eastAsia="Times New Roman" w:hAnsi="Arial" w:cs="Arial"/>
          <w:color w:val="000000"/>
          <w:sz w:val="24"/>
          <w:szCs w:val="24"/>
          <w:lang w:eastAsia="en-NZ"/>
        </w:rPr>
        <w:t>Where accepted by a State Party to the relevant treaty, some committees can receive and consider communications alleging that treaty rights have been violated.  The committees’ views on these communications also produce authoritative interpretations.  New Zealand has recognised the competence in this regard of the Human Rights Committee under the ICCPR, the Committee Against Torture under CAT, the Committee on the Elimination of Discrimination against Women under CEDAW, and Committee on the Rights of Persons with Disabilities under CRPD.</w:t>
      </w:r>
      <w:r w:rsidRPr="003112B5">
        <w:rPr>
          <w:rStyle w:val="FootnoteReference"/>
          <w:rFonts w:ascii="Arial" w:eastAsia="Times New Roman" w:hAnsi="Arial" w:cs="Arial"/>
          <w:color w:val="000000"/>
          <w:sz w:val="24"/>
          <w:szCs w:val="24"/>
          <w:lang w:eastAsia="en-NZ"/>
        </w:rPr>
        <w:footnoteReference w:id="191"/>
      </w:r>
      <w:r w:rsidRPr="003112B5">
        <w:rPr>
          <w:rFonts w:ascii="Arial" w:eastAsia="Times New Roman" w:hAnsi="Arial" w:cs="Arial"/>
          <w:color w:val="000000"/>
          <w:sz w:val="24"/>
          <w:szCs w:val="24"/>
          <w:lang w:eastAsia="en-NZ"/>
        </w:rPr>
        <w:t xml:space="preserve">  </w:t>
      </w:r>
    </w:p>
    <w:p w14:paraId="3AEE8E8A" w14:textId="77777777" w:rsidR="003F2066" w:rsidRPr="003112B5" w:rsidRDefault="003F2066" w:rsidP="00843B92">
      <w:pPr>
        <w:numPr>
          <w:ilvl w:val="0"/>
          <w:numId w:val="16"/>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In addition, international and regional courts produce authoritative interpretations of human rights treaties and legal principles relevant to human rights.  These include the International Court of Justice, the European Court of Human Rights, and the Inter-American Court of Human Rights.  </w:t>
      </w:r>
    </w:p>
    <w:p w14:paraId="6CDF26A9" w14:textId="77777777" w:rsidR="003F2066" w:rsidRPr="003112B5" w:rsidRDefault="003F2066" w:rsidP="00843B92">
      <w:pPr>
        <w:numPr>
          <w:ilvl w:val="0"/>
          <w:numId w:val="16"/>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Interpretations of treaty rights and obligations by these expert treaty bodies and courts are important because human rights are often expressed in broad terms.  In addition, it is common for treaties not to state explicitly what redress has to be provided for a violation.  Therefore, these and other expert interpretations, including work by academics, are relevant in determining the nature and scope of human rights and related obligations with which New Zealand must comply.  </w:t>
      </w:r>
    </w:p>
    <w:p w14:paraId="39765338" w14:textId="6D2F467D" w:rsidR="003F2066" w:rsidRPr="003112B5" w:rsidRDefault="003F2066" w:rsidP="00843B92">
      <w:pPr>
        <w:numPr>
          <w:ilvl w:val="0"/>
          <w:numId w:val="16"/>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This is recognised by New Zealand courts.  Moreover, even though New Zealand is not a State Party to the treaties interpreted by the European and Inter-American </w:t>
      </w:r>
      <w:r w:rsidRPr="003112B5">
        <w:rPr>
          <w:rFonts w:ascii="Arial" w:eastAsia="Times New Roman" w:hAnsi="Arial" w:cs="Arial"/>
          <w:color w:val="000000"/>
          <w:sz w:val="24"/>
          <w:szCs w:val="24"/>
          <w:lang w:eastAsia="en-NZ"/>
        </w:rPr>
        <w:lastRenderedPageBreak/>
        <w:t>Courts, their interpretations of those treaties have been taken into account by New Zealand courts in domestic human rights cases.</w:t>
      </w:r>
      <w:r w:rsidRPr="003112B5">
        <w:rPr>
          <w:rStyle w:val="FootnoteReference"/>
          <w:rFonts w:ascii="Arial" w:eastAsia="Times New Roman" w:hAnsi="Arial" w:cs="Arial"/>
          <w:color w:val="000000"/>
          <w:sz w:val="24"/>
          <w:szCs w:val="24"/>
          <w:lang w:eastAsia="en-NZ"/>
        </w:rPr>
        <w:footnoteReference w:id="192"/>
      </w:r>
    </w:p>
    <w:p w14:paraId="02598A7A" w14:textId="3F46576B" w:rsidR="00843B92" w:rsidRPr="003112B5" w:rsidRDefault="00887FBB" w:rsidP="0086707D">
      <w:pPr>
        <w:keepNext/>
        <w:autoSpaceDE w:val="0"/>
        <w:autoSpaceDN w:val="0"/>
        <w:adjustRightInd w:val="0"/>
        <w:spacing w:after="240" w:line="240" w:lineRule="auto"/>
        <w:jc w:val="both"/>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UNIVERSAL PERIODIC REVIEW</w:t>
      </w:r>
    </w:p>
    <w:p w14:paraId="49B00FC3" w14:textId="0BD193A6" w:rsidR="00843B92" w:rsidRPr="003112B5" w:rsidRDefault="00843B92" w:rsidP="00843B92">
      <w:pPr>
        <w:numPr>
          <w:ilvl w:val="0"/>
          <w:numId w:val="16"/>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New Zealand’s human rights situation is also monitored through the United Nations’ Universal Periodic Review, during which other UN Member States can make recommendations to New Zealand on human rights.</w:t>
      </w:r>
      <w:r w:rsidRPr="003112B5">
        <w:rPr>
          <w:rStyle w:val="FootnoteReference"/>
          <w:rFonts w:ascii="Arial" w:eastAsia="Times New Roman" w:hAnsi="Arial" w:cs="Arial"/>
          <w:color w:val="000000"/>
          <w:sz w:val="24"/>
          <w:szCs w:val="24"/>
          <w:lang w:eastAsia="en-NZ"/>
        </w:rPr>
        <w:footnoteReference w:id="193"/>
      </w:r>
    </w:p>
    <w:p w14:paraId="071DA5A1" w14:textId="4CA85048" w:rsidR="000A5762" w:rsidRPr="003112B5" w:rsidRDefault="000A5762">
      <w:pPr>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br w:type="page"/>
      </w:r>
    </w:p>
    <w:p w14:paraId="701CB916" w14:textId="02D0E458" w:rsidR="000A5762" w:rsidRPr="003112B5" w:rsidRDefault="000A5762" w:rsidP="000A5762">
      <w:pPr>
        <w:pStyle w:val="ListParagraph"/>
        <w:jc w:val="center"/>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lastRenderedPageBreak/>
        <w:t>APPENDIX B</w:t>
      </w:r>
    </w:p>
    <w:p w14:paraId="22D4A983" w14:textId="5377BA24" w:rsidR="000A5762" w:rsidRPr="003112B5" w:rsidRDefault="000A5762" w:rsidP="000A5762">
      <w:pPr>
        <w:pStyle w:val="ListParagraph"/>
        <w:jc w:val="center"/>
        <w:rPr>
          <w:rFonts w:ascii="Arial" w:eastAsia="Times New Roman" w:hAnsi="Arial" w:cs="Arial"/>
          <w:b/>
          <w:bCs/>
          <w:color w:val="000000"/>
          <w:sz w:val="24"/>
          <w:szCs w:val="24"/>
          <w:lang w:eastAsia="en-NZ"/>
        </w:rPr>
      </w:pPr>
    </w:p>
    <w:p w14:paraId="332CE6B9" w14:textId="39157A31" w:rsidR="000A5762" w:rsidRPr="003112B5" w:rsidRDefault="00322005" w:rsidP="000A5762">
      <w:pPr>
        <w:pStyle w:val="ListParagraph"/>
        <w:jc w:val="center"/>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 xml:space="preserve">EXAMPLES OF THE </w:t>
      </w:r>
      <w:r w:rsidR="000A5762" w:rsidRPr="003112B5">
        <w:rPr>
          <w:rFonts w:ascii="Arial" w:eastAsia="Times New Roman" w:hAnsi="Arial" w:cs="Arial"/>
          <w:b/>
          <w:bCs/>
          <w:color w:val="000000"/>
          <w:sz w:val="24"/>
          <w:szCs w:val="24"/>
          <w:lang w:eastAsia="en-NZ"/>
        </w:rPr>
        <w:t>DIALOGUE BETWEEN TREATY</w:t>
      </w:r>
      <w:r w:rsidR="00843B92" w:rsidRPr="003112B5">
        <w:rPr>
          <w:rFonts w:ascii="Arial" w:eastAsia="Times New Roman" w:hAnsi="Arial" w:cs="Arial"/>
          <w:b/>
          <w:bCs/>
          <w:color w:val="000000"/>
          <w:sz w:val="24"/>
          <w:szCs w:val="24"/>
          <w:lang w:eastAsia="en-NZ"/>
        </w:rPr>
        <w:t xml:space="preserve"> COMMITTEES</w:t>
      </w:r>
      <w:r w:rsidR="000A5762" w:rsidRPr="003112B5">
        <w:rPr>
          <w:rFonts w:ascii="Arial" w:eastAsia="Times New Roman" w:hAnsi="Arial" w:cs="Arial"/>
          <w:b/>
          <w:bCs/>
          <w:color w:val="000000"/>
          <w:sz w:val="24"/>
          <w:szCs w:val="24"/>
          <w:lang w:eastAsia="en-NZ"/>
        </w:rPr>
        <w:t xml:space="preserve"> AND NEW ZEALAND REGARDING ABUSE IN CARE</w:t>
      </w:r>
    </w:p>
    <w:p w14:paraId="2759082F" w14:textId="77777777" w:rsidR="00322005" w:rsidRPr="003112B5" w:rsidRDefault="00322005" w:rsidP="00322005">
      <w:pPr>
        <w:autoSpaceDE w:val="0"/>
        <w:autoSpaceDN w:val="0"/>
        <w:adjustRightInd w:val="0"/>
        <w:spacing w:after="240" w:line="240" w:lineRule="auto"/>
        <w:jc w:val="both"/>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CAT</w:t>
      </w:r>
    </w:p>
    <w:p w14:paraId="51E7ACE1" w14:textId="7B6AED05" w:rsidR="0076222D" w:rsidRPr="00900E8F" w:rsidRDefault="0076222D" w:rsidP="00900E8F">
      <w:pPr>
        <w:autoSpaceDE w:val="0"/>
        <w:autoSpaceDN w:val="0"/>
        <w:adjustRightInd w:val="0"/>
        <w:spacing w:after="240" w:line="240" w:lineRule="auto"/>
        <w:jc w:val="both"/>
        <w:rPr>
          <w:rFonts w:ascii="Arial" w:eastAsia="Times New Roman" w:hAnsi="Arial" w:cs="Arial"/>
          <w:b/>
          <w:bCs/>
          <w:i/>
          <w:iCs/>
          <w:color w:val="000000"/>
          <w:sz w:val="24"/>
          <w:szCs w:val="24"/>
          <w:lang w:eastAsia="en-NZ"/>
        </w:rPr>
      </w:pPr>
      <w:r w:rsidRPr="00900E8F">
        <w:rPr>
          <w:rFonts w:ascii="Arial" w:eastAsia="Times New Roman" w:hAnsi="Arial" w:cs="Arial"/>
          <w:b/>
          <w:bCs/>
          <w:i/>
          <w:iCs/>
          <w:color w:val="000000"/>
          <w:sz w:val="24"/>
          <w:szCs w:val="24"/>
          <w:lang w:eastAsia="en-NZ"/>
        </w:rPr>
        <w:t>2009-2010</w:t>
      </w:r>
    </w:p>
    <w:p w14:paraId="3E5C1865" w14:textId="511FF430" w:rsidR="00C75AAF" w:rsidRDefault="00322005" w:rsidP="00900E8F">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C75AAF">
        <w:rPr>
          <w:rFonts w:ascii="Arial" w:eastAsia="Times New Roman" w:hAnsi="Arial" w:cs="Arial"/>
          <w:color w:val="000000"/>
          <w:sz w:val="24"/>
          <w:szCs w:val="24"/>
          <w:lang w:eastAsia="en-NZ"/>
        </w:rPr>
        <w:t xml:space="preserve">In </w:t>
      </w:r>
      <w:r w:rsidR="00FD6C4B" w:rsidRPr="00C75AAF">
        <w:rPr>
          <w:rFonts w:ascii="Arial" w:eastAsia="Times New Roman" w:hAnsi="Arial" w:cs="Arial"/>
          <w:color w:val="000000"/>
          <w:sz w:val="24"/>
          <w:szCs w:val="24"/>
          <w:lang w:eastAsia="en-NZ"/>
        </w:rPr>
        <w:t>2009</w:t>
      </w:r>
      <w:r w:rsidR="000D0EA9" w:rsidRPr="00C75AAF">
        <w:rPr>
          <w:rFonts w:ascii="Arial" w:eastAsia="Times New Roman" w:hAnsi="Arial" w:cs="Arial"/>
          <w:color w:val="000000"/>
          <w:sz w:val="24"/>
          <w:szCs w:val="24"/>
          <w:lang w:eastAsia="en-NZ"/>
        </w:rPr>
        <w:t>,</w:t>
      </w:r>
      <w:r w:rsidR="00FD6C4B" w:rsidRPr="00C75AAF">
        <w:rPr>
          <w:rFonts w:ascii="Arial" w:eastAsia="Times New Roman" w:hAnsi="Arial" w:cs="Arial"/>
          <w:color w:val="000000"/>
          <w:sz w:val="24"/>
          <w:szCs w:val="24"/>
          <w:lang w:eastAsia="en-NZ"/>
        </w:rPr>
        <w:t xml:space="preserve"> the Committee Against Torture </w:t>
      </w:r>
      <w:r w:rsidR="003E78C4" w:rsidRPr="00C75AAF">
        <w:rPr>
          <w:rFonts w:ascii="Arial" w:eastAsia="Times New Roman" w:hAnsi="Arial" w:cs="Arial"/>
          <w:color w:val="000000"/>
          <w:sz w:val="24"/>
          <w:szCs w:val="24"/>
          <w:lang w:eastAsia="en-NZ"/>
        </w:rPr>
        <w:t xml:space="preserve">expressed concern </w:t>
      </w:r>
      <w:r w:rsidR="00BB456C" w:rsidRPr="00C75AAF">
        <w:rPr>
          <w:rFonts w:ascii="Arial" w:eastAsia="Times New Roman" w:hAnsi="Arial" w:cs="Arial"/>
          <w:color w:val="000000"/>
          <w:sz w:val="24"/>
          <w:szCs w:val="24"/>
          <w:lang w:eastAsia="en-NZ"/>
        </w:rPr>
        <w:t xml:space="preserve">that </w:t>
      </w:r>
      <w:r w:rsidR="00FD6C4B" w:rsidRPr="00C75AAF">
        <w:rPr>
          <w:rFonts w:ascii="Arial" w:eastAsia="Times New Roman" w:hAnsi="Arial" w:cs="Arial"/>
          <w:color w:val="000000"/>
          <w:sz w:val="24"/>
          <w:szCs w:val="24"/>
          <w:lang w:eastAsia="en-NZ"/>
        </w:rPr>
        <w:t xml:space="preserve">allegations of cruel, inhuman or degrading treatment inflicted by persons </w:t>
      </w:r>
      <w:r w:rsidR="00BB456C" w:rsidRPr="0076222D">
        <w:rPr>
          <w:rFonts w:ascii="Arial" w:eastAsia="Times New Roman" w:hAnsi="Arial" w:cs="Arial"/>
          <w:color w:val="000000"/>
          <w:sz w:val="24"/>
          <w:szCs w:val="24"/>
          <w:lang w:eastAsia="en-NZ"/>
        </w:rPr>
        <w:t xml:space="preserve">who were acting </w:t>
      </w:r>
      <w:r w:rsidR="00FD6C4B" w:rsidRPr="0076222D">
        <w:rPr>
          <w:rFonts w:ascii="Arial" w:eastAsia="Times New Roman" w:hAnsi="Arial" w:cs="Arial"/>
          <w:color w:val="000000"/>
          <w:sz w:val="24"/>
          <w:szCs w:val="24"/>
          <w:lang w:eastAsia="en-NZ"/>
        </w:rPr>
        <w:t>in an official capacity against children in State institutions</w:t>
      </w:r>
      <w:r w:rsidR="008B006F" w:rsidRPr="0076222D">
        <w:rPr>
          <w:rFonts w:ascii="Arial" w:eastAsia="Times New Roman" w:hAnsi="Arial" w:cs="Arial"/>
          <w:color w:val="000000"/>
          <w:sz w:val="24"/>
          <w:szCs w:val="24"/>
          <w:lang w:eastAsia="en-NZ"/>
        </w:rPr>
        <w:t>, and</w:t>
      </w:r>
      <w:r w:rsidR="00FD6C4B" w:rsidRPr="0076222D">
        <w:rPr>
          <w:rFonts w:ascii="Arial" w:eastAsia="Times New Roman" w:hAnsi="Arial" w:cs="Arial"/>
          <w:color w:val="000000"/>
          <w:sz w:val="24"/>
          <w:szCs w:val="24"/>
          <w:lang w:eastAsia="en-NZ"/>
        </w:rPr>
        <w:t xml:space="preserve"> against patients in psychiatric </w:t>
      </w:r>
      <w:r w:rsidR="00BB456C" w:rsidRPr="0076222D">
        <w:rPr>
          <w:rFonts w:ascii="Arial" w:eastAsia="Times New Roman" w:hAnsi="Arial" w:cs="Arial"/>
          <w:color w:val="000000"/>
          <w:sz w:val="24"/>
          <w:szCs w:val="24"/>
          <w:lang w:eastAsia="en-NZ"/>
        </w:rPr>
        <w:t>institutions,</w:t>
      </w:r>
      <w:r w:rsidR="00FD6C4B" w:rsidRPr="0076222D">
        <w:rPr>
          <w:rFonts w:ascii="Arial" w:eastAsia="Times New Roman" w:hAnsi="Arial" w:cs="Arial"/>
          <w:color w:val="000000"/>
          <w:sz w:val="24"/>
          <w:szCs w:val="24"/>
          <w:lang w:eastAsia="en-NZ"/>
        </w:rPr>
        <w:t xml:space="preserve"> had not been investigated</w:t>
      </w:r>
      <w:r w:rsidR="00BB456C" w:rsidRPr="0076222D">
        <w:rPr>
          <w:rFonts w:ascii="Arial" w:eastAsia="Times New Roman" w:hAnsi="Arial" w:cs="Arial"/>
          <w:color w:val="000000"/>
          <w:sz w:val="24"/>
          <w:szCs w:val="24"/>
          <w:lang w:eastAsia="en-NZ"/>
        </w:rPr>
        <w:t>,</w:t>
      </w:r>
      <w:r w:rsidR="00FD6C4B" w:rsidRPr="0076222D">
        <w:rPr>
          <w:rFonts w:ascii="Arial" w:eastAsia="Times New Roman" w:hAnsi="Arial" w:cs="Arial"/>
          <w:color w:val="000000"/>
          <w:sz w:val="24"/>
          <w:szCs w:val="24"/>
          <w:lang w:eastAsia="en-NZ"/>
        </w:rPr>
        <w:t xml:space="preserve"> </w:t>
      </w:r>
      <w:r w:rsidR="00BB456C" w:rsidRPr="0076222D">
        <w:rPr>
          <w:rFonts w:ascii="Arial" w:eastAsia="Times New Roman" w:hAnsi="Arial" w:cs="Arial"/>
          <w:color w:val="000000"/>
          <w:sz w:val="24"/>
          <w:szCs w:val="24"/>
          <w:lang w:eastAsia="en-NZ"/>
        </w:rPr>
        <w:t xml:space="preserve">prosecutions had not been brought against </w:t>
      </w:r>
      <w:r w:rsidR="00FD6C4B" w:rsidRPr="00B66DCE">
        <w:rPr>
          <w:rFonts w:ascii="Arial" w:eastAsia="Times New Roman" w:hAnsi="Arial" w:cs="Arial"/>
          <w:color w:val="000000"/>
          <w:sz w:val="24"/>
          <w:szCs w:val="24"/>
          <w:lang w:eastAsia="en-NZ"/>
        </w:rPr>
        <w:t>perpetrators</w:t>
      </w:r>
      <w:r w:rsidR="00BB456C" w:rsidRPr="00B66DCE">
        <w:rPr>
          <w:rFonts w:ascii="Arial" w:eastAsia="Times New Roman" w:hAnsi="Arial" w:cs="Arial"/>
          <w:color w:val="000000"/>
          <w:sz w:val="24"/>
          <w:szCs w:val="24"/>
          <w:lang w:eastAsia="en-NZ"/>
        </w:rPr>
        <w:t>,</w:t>
      </w:r>
      <w:r w:rsidR="00FD6C4B" w:rsidRPr="00B66DCE">
        <w:rPr>
          <w:rFonts w:ascii="Arial" w:eastAsia="Times New Roman" w:hAnsi="Arial" w:cs="Arial"/>
          <w:color w:val="000000"/>
          <w:sz w:val="24"/>
          <w:szCs w:val="24"/>
          <w:lang w:eastAsia="en-NZ"/>
        </w:rPr>
        <w:t xml:space="preserve"> and victims </w:t>
      </w:r>
      <w:r w:rsidR="00BB456C" w:rsidRPr="00B66DCE">
        <w:rPr>
          <w:rFonts w:ascii="Arial" w:eastAsia="Times New Roman" w:hAnsi="Arial" w:cs="Arial"/>
          <w:color w:val="000000"/>
          <w:sz w:val="24"/>
          <w:szCs w:val="24"/>
          <w:lang w:eastAsia="en-NZ"/>
        </w:rPr>
        <w:t xml:space="preserve">had not been given </w:t>
      </w:r>
      <w:r w:rsidR="00FD6C4B" w:rsidRPr="00B66DCE">
        <w:rPr>
          <w:rFonts w:ascii="Arial" w:eastAsia="Times New Roman" w:hAnsi="Arial" w:cs="Arial"/>
          <w:color w:val="000000"/>
          <w:sz w:val="24"/>
          <w:szCs w:val="24"/>
          <w:lang w:eastAsia="en-NZ"/>
        </w:rPr>
        <w:t xml:space="preserve">redress, including </w:t>
      </w:r>
      <w:r w:rsidR="00BB456C" w:rsidRPr="00C71119">
        <w:rPr>
          <w:rFonts w:ascii="Arial" w:eastAsia="Times New Roman" w:hAnsi="Arial" w:cs="Arial"/>
          <w:color w:val="000000"/>
          <w:sz w:val="24"/>
          <w:szCs w:val="24"/>
          <w:lang w:eastAsia="en-NZ"/>
        </w:rPr>
        <w:t>“</w:t>
      </w:r>
      <w:r w:rsidR="00FD6C4B" w:rsidRPr="00C71119">
        <w:rPr>
          <w:rFonts w:ascii="Arial" w:eastAsia="Times New Roman" w:hAnsi="Arial" w:cs="Arial"/>
          <w:color w:val="000000"/>
          <w:sz w:val="24"/>
          <w:szCs w:val="24"/>
          <w:lang w:eastAsia="en-NZ"/>
        </w:rPr>
        <w:t>adequate compensation and rehabilitation</w:t>
      </w:r>
      <w:r w:rsidR="008B006F" w:rsidRPr="00C71119">
        <w:rPr>
          <w:rFonts w:ascii="Arial" w:eastAsia="Times New Roman" w:hAnsi="Arial" w:cs="Arial"/>
          <w:color w:val="000000"/>
          <w:sz w:val="24"/>
          <w:szCs w:val="24"/>
          <w:lang w:eastAsia="en-NZ"/>
        </w:rPr>
        <w:t>.</w:t>
      </w:r>
      <w:r w:rsidR="00BB456C" w:rsidRPr="002F034C">
        <w:rPr>
          <w:rFonts w:ascii="Arial" w:eastAsia="Times New Roman" w:hAnsi="Arial" w:cs="Arial"/>
          <w:color w:val="000000"/>
          <w:sz w:val="24"/>
          <w:szCs w:val="24"/>
          <w:lang w:eastAsia="en-NZ"/>
        </w:rPr>
        <w:t>”</w:t>
      </w:r>
      <w:r w:rsidR="008B006F" w:rsidRPr="002F034C">
        <w:rPr>
          <w:rFonts w:ascii="Arial" w:eastAsia="Times New Roman" w:hAnsi="Arial" w:cs="Arial"/>
          <w:color w:val="000000"/>
          <w:sz w:val="24"/>
          <w:szCs w:val="24"/>
          <w:lang w:eastAsia="en-NZ"/>
        </w:rPr>
        <w:t xml:space="preserve"> The Committee </w:t>
      </w:r>
      <w:r w:rsidR="00FD6C4B" w:rsidRPr="00570C7F">
        <w:rPr>
          <w:rFonts w:ascii="Arial" w:eastAsia="Times New Roman" w:hAnsi="Arial" w:cs="Arial"/>
          <w:color w:val="000000"/>
          <w:sz w:val="24"/>
          <w:szCs w:val="24"/>
          <w:lang w:eastAsia="en-NZ"/>
        </w:rPr>
        <w:t xml:space="preserve">recommended that New Zealand </w:t>
      </w:r>
      <w:r w:rsidR="00BB456C" w:rsidRPr="00570C7F">
        <w:rPr>
          <w:rFonts w:ascii="Arial" w:eastAsia="Times New Roman" w:hAnsi="Arial" w:cs="Arial"/>
          <w:color w:val="000000"/>
          <w:sz w:val="24"/>
          <w:szCs w:val="24"/>
          <w:lang w:eastAsia="en-NZ"/>
        </w:rPr>
        <w:t>carry out “prompt and impartial investigations”, prosecute perpetrators, and provide victims with appropriate redress</w:t>
      </w:r>
      <w:r w:rsidR="00FD6C4B" w:rsidRPr="002A4DA6">
        <w:rPr>
          <w:rFonts w:ascii="Arial" w:eastAsia="Times New Roman" w:hAnsi="Arial" w:cs="Arial"/>
          <w:color w:val="000000"/>
          <w:sz w:val="24"/>
          <w:szCs w:val="24"/>
          <w:lang w:eastAsia="en-NZ"/>
        </w:rPr>
        <w:t>.</w:t>
      </w:r>
      <w:r w:rsidR="00FD6C4B" w:rsidRPr="00C75AAF">
        <w:rPr>
          <w:rStyle w:val="FootnoteReference"/>
          <w:rFonts w:ascii="Arial" w:eastAsia="Times New Roman" w:hAnsi="Arial" w:cs="Arial"/>
          <w:color w:val="000000"/>
          <w:sz w:val="24"/>
          <w:szCs w:val="24"/>
          <w:lang w:eastAsia="en-NZ"/>
        </w:rPr>
        <w:footnoteReference w:id="194"/>
      </w:r>
      <w:r w:rsidR="00FD6C4B" w:rsidRPr="00C75AAF">
        <w:rPr>
          <w:rStyle w:val="FootnoteReference"/>
        </w:rPr>
        <w:t xml:space="preserve"> </w:t>
      </w:r>
      <w:r w:rsidR="00FD6C4B" w:rsidRPr="00C75AAF">
        <w:rPr>
          <w:rFonts w:ascii="Arial" w:eastAsia="Times New Roman" w:hAnsi="Arial" w:cs="Arial"/>
          <w:color w:val="000000"/>
          <w:sz w:val="24"/>
          <w:szCs w:val="24"/>
          <w:lang w:eastAsia="en-NZ"/>
        </w:rPr>
        <w:t xml:space="preserve"> </w:t>
      </w:r>
    </w:p>
    <w:p w14:paraId="61209510" w14:textId="5564FFE4" w:rsidR="00615EA9" w:rsidRPr="00C75AAF" w:rsidRDefault="00615EA9" w:rsidP="00900E8F">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C75AAF">
        <w:rPr>
          <w:rFonts w:ascii="Arial" w:eastAsia="Times New Roman" w:hAnsi="Arial" w:cs="Arial"/>
          <w:color w:val="000000"/>
          <w:sz w:val="24"/>
          <w:szCs w:val="24"/>
          <w:lang w:eastAsia="en-NZ"/>
        </w:rPr>
        <w:t>In its response to the Committee</w:t>
      </w:r>
      <w:r w:rsidR="0076222D">
        <w:rPr>
          <w:rFonts w:ascii="Arial" w:eastAsia="Times New Roman" w:hAnsi="Arial" w:cs="Arial"/>
          <w:color w:val="000000"/>
          <w:sz w:val="24"/>
          <w:szCs w:val="24"/>
          <w:lang w:eastAsia="en-NZ"/>
        </w:rPr>
        <w:t xml:space="preserve"> in 2010</w:t>
      </w:r>
      <w:r w:rsidRPr="00C75AAF">
        <w:rPr>
          <w:rFonts w:ascii="Arial" w:eastAsia="Times New Roman" w:hAnsi="Arial" w:cs="Arial"/>
          <w:color w:val="000000"/>
          <w:sz w:val="24"/>
          <w:szCs w:val="24"/>
          <w:lang w:eastAsia="en-NZ"/>
        </w:rPr>
        <w:t xml:space="preserve">, New Zealand </w:t>
      </w:r>
      <w:r w:rsidR="00695441" w:rsidRPr="00C75AAF">
        <w:rPr>
          <w:rFonts w:ascii="Arial" w:eastAsia="Times New Roman" w:hAnsi="Arial" w:cs="Arial"/>
          <w:color w:val="000000"/>
          <w:sz w:val="24"/>
          <w:szCs w:val="24"/>
          <w:lang w:eastAsia="en-NZ"/>
        </w:rPr>
        <w:t>stated allegations had been made in relation to children's homes, psychiatric institutions, and other types of State care</w:t>
      </w:r>
      <w:r w:rsidR="00695441">
        <w:rPr>
          <w:rFonts w:ascii="Arial" w:eastAsia="Times New Roman" w:hAnsi="Arial" w:cs="Arial"/>
          <w:color w:val="000000"/>
          <w:sz w:val="24"/>
          <w:szCs w:val="24"/>
          <w:lang w:eastAsia="en-NZ"/>
        </w:rPr>
        <w:t xml:space="preserve">, in periods ranging from 1950 to 1992.  New Zealand advised </w:t>
      </w:r>
      <w:r w:rsidRPr="00C75AAF">
        <w:rPr>
          <w:rFonts w:ascii="Arial" w:eastAsia="Times New Roman" w:hAnsi="Arial" w:cs="Arial"/>
          <w:color w:val="000000"/>
          <w:sz w:val="24"/>
          <w:szCs w:val="24"/>
          <w:lang w:eastAsia="en-NZ"/>
        </w:rPr>
        <w:t>that allegations of abuse had been engaged with systematically and on a case by case basis</w:t>
      </w:r>
      <w:r w:rsidR="00695441">
        <w:rPr>
          <w:rFonts w:ascii="Arial" w:eastAsia="Times New Roman" w:hAnsi="Arial" w:cs="Arial"/>
          <w:color w:val="000000"/>
          <w:sz w:val="24"/>
          <w:szCs w:val="24"/>
          <w:lang w:eastAsia="en-NZ"/>
        </w:rPr>
        <w:t>, and that thorough investigations were carried out of a</w:t>
      </w:r>
      <w:r w:rsidR="00C75AAF" w:rsidRPr="00C75AAF">
        <w:rPr>
          <w:rFonts w:ascii="Arial" w:eastAsia="Times New Roman" w:hAnsi="Arial" w:cs="Arial"/>
          <w:color w:val="000000"/>
          <w:sz w:val="24"/>
          <w:szCs w:val="24"/>
          <w:lang w:eastAsia="en-NZ"/>
        </w:rPr>
        <w:t>l</w:t>
      </w:r>
      <w:r w:rsidR="00695441">
        <w:rPr>
          <w:rFonts w:ascii="Arial" w:eastAsia="Times New Roman" w:hAnsi="Arial" w:cs="Arial"/>
          <w:color w:val="000000"/>
          <w:sz w:val="24"/>
          <w:szCs w:val="24"/>
          <w:lang w:eastAsia="en-NZ"/>
        </w:rPr>
        <w:t>l</w:t>
      </w:r>
      <w:r w:rsidR="00C75AAF" w:rsidRPr="00C75AAF">
        <w:rPr>
          <w:rFonts w:ascii="Arial" w:eastAsia="Times New Roman" w:hAnsi="Arial" w:cs="Arial"/>
          <w:color w:val="000000"/>
          <w:sz w:val="24"/>
          <w:szCs w:val="24"/>
          <w:lang w:eastAsia="en-NZ"/>
        </w:rPr>
        <w:t xml:space="preserve">egations of ill-treatment </w:t>
      </w:r>
      <w:r w:rsidR="00695441">
        <w:rPr>
          <w:rFonts w:ascii="Arial" w:eastAsia="Times New Roman" w:hAnsi="Arial" w:cs="Arial"/>
          <w:color w:val="000000"/>
          <w:sz w:val="24"/>
          <w:szCs w:val="24"/>
          <w:lang w:eastAsia="en-NZ"/>
        </w:rPr>
        <w:t xml:space="preserve">where those related to particular </w:t>
      </w:r>
      <w:r w:rsidR="00C75AAF" w:rsidRPr="00C75AAF">
        <w:rPr>
          <w:rFonts w:ascii="Arial" w:eastAsia="Times New Roman" w:hAnsi="Arial" w:cs="Arial"/>
          <w:color w:val="000000"/>
          <w:sz w:val="24"/>
          <w:szCs w:val="24"/>
          <w:lang w:eastAsia="en-NZ"/>
        </w:rPr>
        <w:t>institution</w:t>
      </w:r>
      <w:r w:rsidR="00695441">
        <w:rPr>
          <w:rFonts w:ascii="Arial" w:eastAsia="Times New Roman" w:hAnsi="Arial" w:cs="Arial"/>
          <w:color w:val="000000"/>
          <w:sz w:val="24"/>
          <w:szCs w:val="24"/>
          <w:lang w:eastAsia="en-NZ"/>
        </w:rPr>
        <w:t>s</w:t>
      </w:r>
      <w:r w:rsidR="00C75AAF">
        <w:rPr>
          <w:rFonts w:ascii="Arial" w:eastAsia="Times New Roman" w:hAnsi="Arial" w:cs="Arial"/>
          <w:color w:val="000000"/>
          <w:sz w:val="24"/>
          <w:szCs w:val="24"/>
          <w:lang w:eastAsia="en-NZ"/>
        </w:rPr>
        <w:t xml:space="preserve">.  </w:t>
      </w:r>
      <w:r w:rsidRPr="00C75AAF">
        <w:rPr>
          <w:rFonts w:ascii="Arial" w:eastAsia="Times New Roman" w:hAnsi="Arial" w:cs="Arial"/>
          <w:color w:val="000000"/>
          <w:sz w:val="24"/>
          <w:szCs w:val="24"/>
          <w:lang w:eastAsia="en-NZ"/>
        </w:rPr>
        <w:t xml:space="preserve">It referred to the possibility of criminal complaints being made to the Police, civil claims being taken in the Courts, and various other procedures.  It also referred to the Confidential Listening and </w:t>
      </w:r>
      <w:r w:rsidR="00900E8F">
        <w:rPr>
          <w:rFonts w:ascii="Arial" w:eastAsia="Times New Roman" w:hAnsi="Arial" w:cs="Arial"/>
          <w:color w:val="000000"/>
          <w:sz w:val="24"/>
          <w:szCs w:val="24"/>
          <w:lang w:eastAsia="en-NZ"/>
        </w:rPr>
        <w:t>Assistance</w:t>
      </w:r>
      <w:r w:rsidRPr="00C75AAF">
        <w:rPr>
          <w:rFonts w:ascii="Arial" w:eastAsia="Times New Roman" w:hAnsi="Arial" w:cs="Arial"/>
          <w:color w:val="000000"/>
          <w:sz w:val="24"/>
          <w:szCs w:val="24"/>
          <w:lang w:eastAsia="en-NZ"/>
        </w:rPr>
        <w:t xml:space="preserve"> </w:t>
      </w:r>
      <w:r w:rsidRPr="00695441">
        <w:rPr>
          <w:rFonts w:ascii="Arial" w:eastAsia="Times New Roman" w:hAnsi="Arial" w:cs="Arial"/>
          <w:color w:val="000000"/>
          <w:sz w:val="24"/>
          <w:szCs w:val="24"/>
          <w:lang w:eastAsia="en-NZ"/>
        </w:rPr>
        <w:t>Service, and an Alternative Resolution Process that "can provide compensation, apologies and other remedies."</w:t>
      </w:r>
      <w:r w:rsidR="00C75AAF" w:rsidRPr="00900E8F">
        <w:rPr>
          <w:rStyle w:val="FootnoteReference"/>
          <w:rFonts w:eastAsia="Times New Roman"/>
          <w:color w:val="000000"/>
          <w:lang w:eastAsia="en-NZ"/>
        </w:rPr>
        <w:footnoteReference w:id="195"/>
      </w:r>
    </w:p>
    <w:p w14:paraId="58CC707B" w14:textId="72062B8E" w:rsidR="00B14CC5" w:rsidRDefault="00615EA9" w:rsidP="0032200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New Zealand further </w:t>
      </w:r>
      <w:r w:rsidRPr="00615EA9">
        <w:rPr>
          <w:rFonts w:ascii="Arial" w:eastAsia="Times New Roman" w:hAnsi="Arial" w:cs="Arial"/>
          <w:color w:val="000000"/>
          <w:sz w:val="24"/>
          <w:szCs w:val="24"/>
          <w:lang w:eastAsia="en-NZ"/>
        </w:rPr>
        <w:t>stated that</w:t>
      </w:r>
      <w:r>
        <w:rPr>
          <w:rFonts w:ascii="Arial" w:eastAsia="Times New Roman" w:hAnsi="Arial" w:cs="Arial"/>
          <w:color w:val="000000"/>
          <w:sz w:val="24"/>
          <w:szCs w:val="24"/>
          <w:lang w:eastAsia="en-NZ"/>
        </w:rPr>
        <w:t xml:space="preserve"> allegations made in</w:t>
      </w:r>
      <w:r w:rsidRPr="00615EA9">
        <w:rPr>
          <w:rFonts w:ascii="Arial" w:eastAsia="Times New Roman" w:hAnsi="Arial" w:cs="Arial"/>
          <w:color w:val="000000"/>
          <w:sz w:val="24"/>
          <w:szCs w:val="24"/>
          <w:lang w:eastAsia="en-NZ"/>
        </w:rPr>
        <w:t xml:space="preserve"> civil claims which had by then proceeded to trial had not been upheld, </w:t>
      </w:r>
      <w:r>
        <w:rPr>
          <w:rFonts w:ascii="Arial" w:eastAsia="Times New Roman" w:hAnsi="Arial" w:cs="Arial"/>
          <w:color w:val="000000"/>
          <w:sz w:val="24"/>
          <w:szCs w:val="24"/>
          <w:lang w:eastAsia="en-NZ"/>
        </w:rPr>
        <w:t xml:space="preserve">and </w:t>
      </w:r>
      <w:r w:rsidRPr="00615EA9">
        <w:rPr>
          <w:rFonts w:ascii="Arial" w:eastAsia="Times New Roman" w:hAnsi="Arial" w:cs="Arial"/>
          <w:color w:val="000000"/>
          <w:sz w:val="24"/>
          <w:szCs w:val="24"/>
          <w:lang w:eastAsia="en-NZ"/>
        </w:rPr>
        <w:t xml:space="preserve">that while limitation defences </w:t>
      </w:r>
      <w:r>
        <w:rPr>
          <w:rFonts w:ascii="Arial" w:eastAsia="Times New Roman" w:hAnsi="Arial" w:cs="Arial"/>
          <w:color w:val="000000"/>
          <w:sz w:val="24"/>
          <w:szCs w:val="24"/>
          <w:lang w:eastAsia="en-NZ"/>
        </w:rPr>
        <w:t xml:space="preserve">were not raised </w:t>
      </w:r>
      <w:r w:rsidRPr="00615EA9">
        <w:rPr>
          <w:rFonts w:ascii="Arial" w:eastAsia="Times New Roman" w:hAnsi="Arial" w:cs="Arial"/>
          <w:color w:val="000000"/>
          <w:sz w:val="24"/>
          <w:szCs w:val="24"/>
          <w:lang w:eastAsia="en-NZ"/>
        </w:rPr>
        <w:t xml:space="preserve">as a barrier to settlement </w:t>
      </w:r>
      <w:r>
        <w:rPr>
          <w:rFonts w:ascii="Arial" w:eastAsia="Times New Roman" w:hAnsi="Arial" w:cs="Arial"/>
          <w:color w:val="000000"/>
          <w:sz w:val="24"/>
          <w:szCs w:val="24"/>
          <w:lang w:eastAsia="en-NZ"/>
        </w:rPr>
        <w:t xml:space="preserve">they were raised </w:t>
      </w:r>
      <w:r w:rsidRPr="00615EA9">
        <w:rPr>
          <w:rFonts w:ascii="Arial" w:eastAsia="Times New Roman" w:hAnsi="Arial" w:cs="Arial"/>
          <w:color w:val="000000"/>
          <w:sz w:val="24"/>
          <w:szCs w:val="24"/>
          <w:lang w:eastAsia="en-NZ"/>
        </w:rPr>
        <w:t xml:space="preserve">if claims proceeded to Court.  It also referred to the possibility of legal aid for civil claims, and that such aid could be withdrawn if the claim did not have sufficient prospects of success.  New Zealand further stated that with the exception of the claims relating to Lake Alice </w:t>
      </w:r>
      <w:r w:rsidR="00DC6A12">
        <w:rPr>
          <w:rFonts w:ascii="Arial" w:eastAsia="Times New Roman" w:hAnsi="Arial" w:cs="Arial"/>
          <w:color w:val="000000"/>
          <w:sz w:val="24"/>
          <w:szCs w:val="24"/>
          <w:lang w:eastAsia="en-NZ"/>
        </w:rPr>
        <w:t>H</w:t>
      </w:r>
      <w:r w:rsidRPr="00615EA9">
        <w:rPr>
          <w:rFonts w:ascii="Arial" w:eastAsia="Times New Roman" w:hAnsi="Arial" w:cs="Arial"/>
          <w:color w:val="000000"/>
          <w:sz w:val="24"/>
          <w:szCs w:val="24"/>
          <w:lang w:eastAsia="en-NZ"/>
        </w:rPr>
        <w:t xml:space="preserve">ospital, there was at that time "no evidence of systemic failure".  </w:t>
      </w:r>
      <w:r>
        <w:rPr>
          <w:rFonts w:ascii="Arial" w:eastAsia="Times New Roman" w:hAnsi="Arial" w:cs="Arial"/>
          <w:color w:val="000000"/>
          <w:sz w:val="24"/>
          <w:szCs w:val="24"/>
          <w:lang w:eastAsia="en-NZ"/>
        </w:rPr>
        <w:t>In addition</w:t>
      </w:r>
      <w:r w:rsidRPr="00615EA9">
        <w:rPr>
          <w:rFonts w:ascii="Arial" w:eastAsia="Times New Roman" w:hAnsi="Arial" w:cs="Arial"/>
          <w:color w:val="000000"/>
          <w:sz w:val="24"/>
          <w:szCs w:val="24"/>
          <w:lang w:eastAsia="en-NZ"/>
        </w:rPr>
        <w:t xml:space="preserve">, New Zealand advised that as </w:t>
      </w:r>
      <w:r>
        <w:rPr>
          <w:rFonts w:ascii="Arial" w:eastAsia="Times New Roman" w:hAnsi="Arial" w:cs="Arial"/>
          <w:color w:val="000000"/>
          <w:sz w:val="24"/>
          <w:szCs w:val="24"/>
          <w:lang w:eastAsia="en-NZ"/>
        </w:rPr>
        <w:t>“</w:t>
      </w:r>
      <w:r w:rsidRPr="00615EA9">
        <w:rPr>
          <w:rFonts w:ascii="Arial" w:eastAsia="Times New Roman" w:hAnsi="Arial" w:cs="Arial"/>
          <w:color w:val="000000"/>
          <w:sz w:val="24"/>
          <w:szCs w:val="24"/>
          <w:lang w:eastAsia="en-NZ"/>
        </w:rPr>
        <w:t xml:space="preserve">the claims generally do not involve claims of broad systemic or institutional failure", it did not consider it appropriate to hold a public inquiry.  It </w:t>
      </w:r>
      <w:r w:rsidR="00AE0842">
        <w:rPr>
          <w:rFonts w:ascii="Arial" w:eastAsia="Times New Roman" w:hAnsi="Arial" w:cs="Arial"/>
          <w:color w:val="000000"/>
          <w:sz w:val="24"/>
          <w:szCs w:val="24"/>
          <w:lang w:eastAsia="en-NZ"/>
        </w:rPr>
        <w:t xml:space="preserve">stated that it </w:t>
      </w:r>
      <w:r w:rsidRPr="00615EA9">
        <w:rPr>
          <w:rFonts w:ascii="Arial" w:eastAsia="Times New Roman" w:hAnsi="Arial" w:cs="Arial"/>
          <w:color w:val="000000"/>
          <w:sz w:val="24"/>
          <w:szCs w:val="24"/>
          <w:lang w:eastAsia="en-NZ"/>
        </w:rPr>
        <w:t>would however continue to review its approach to claim</w:t>
      </w:r>
      <w:r w:rsidR="00653A76">
        <w:rPr>
          <w:rFonts w:ascii="Arial" w:eastAsia="Times New Roman" w:hAnsi="Arial" w:cs="Arial"/>
          <w:color w:val="000000"/>
          <w:sz w:val="24"/>
          <w:szCs w:val="24"/>
          <w:lang w:eastAsia="en-NZ"/>
        </w:rPr>
        <w:t>s</w:t>
      </w:r>
      <w:r w:rsidRPr="00615EA9">
        <w:rPr>
          <w:rFonts w:ascii="Arial" w:eastAsia="Times New Roman" w:hAnsi="Arial" w:cs="Arial"/>
          <w:color w:val="000000"/>
          <w:sz w:val="24"/>
          <w:szCs w:val="24"/>
          <w:lang w:eastAsia="en-NZ"/>
        </w:rPr>
        <w:t xml:space="preserve"> resolution.</w:t>
      </w:r>
      <w:r w:rsidR="00C75AAF">
        <w:rPr>
          <w:rStyle w:val="FootnoteReference"/>
          <w:rFonts w:ascii="Arial" w:eastAsia="Times New Roman" w:hAnsi="Arial" w:cs="Arial"/>
          <w:color w:val="000000"/>
          <w:sz w:val="24"/>
          <w:szCs w:val="24"/>
          <w:lang w:eastAsia="en-NZ"/>
        </w:rPr>
        <w:footnoteReference w:id="196"/>
      </w:r>
      <w:r w:rsidRPr="00C75AAF">
        <w:rPr>
          <w:rStyle w:val="FootnoteReference"/>
        </w:rPr>
        <w:t xml:space="preserve">  </w:t>
      </w:r>
    </w:p>
    <w:p w14:paraId="75A4720D" w14:textId="2DD117E6" w:rsidR="0076222D" w:rsidRPr="00653A76" w:rsidRDefault="0076222D" w:rsidP="00653A76">
      <w:pPr>
        <w:autoSpaceDE w:val="0"/>
        <w:autoSpaceDN w:val="0"/>
        <w:adjustRightInd w:val="0"/>
        <w:spacing w:after="240" w:line="240" w:lineRule="auto"/>
        <w:jc w:val="both"/>
        <w:rPr>
          <w:rFonts w:ascii="Arial" w:eastAsia="Times New Roman" w:hAnsi="Arial" w:cs="Arial"/>
          <w:b/>
          <w:bCs/>
          <w:i/>
          <w:iCs/>
          <w:color w:val="000000"/>
          <w:sz w:val="24"/>
          <w:szCs w:val="24"/>
          <w:lang w:eastAsia="en-NZ"/>
        </w:rPr>
      </w:pPr>
      <w:r w:rsidRPr="00653A76">
        <w:rPr>
          <w:rFonts w:ascii="Arial" w:eastAsia="Times New Roman" w:hAnsi="Arial" w:cs="Arial"/>
          <w:b/>
          <w:bCs/>
          <w:i/>
          <w:iCs/>
          <w:color w:val="000000"/>
          <w:sz w:val="24"/>
          <w:szCs w:val="24"/>
          <w:lang w:eastAsia="en-NZ"/>
        </w:rPr>
        <w:t>2013-201</w:t>
      </w:r>
      <w:r w:rsidR="00570C7F">
        <w:rPr>
          <w:rFonts w:ascii="Arial" w:eastAsia="Times New Roman" w:hAnsi="Arial" w:cs="Arial"/>
          <w:b/>
          <w:bCs/>
          <w:i/>
          <w:iCs/>
          <w:color w:val="000000"/>
          <w:sz w:val="24"/>
          <w:szCs w:val="24"/>
          <w:lang w:eastAsia="en-NZ"/>
        </w:rPr>
        <w:t>6</w:t>
      </w:r>
    </w:p>
    <w:p w14:paraId="11E0D438" w14:textId="5FA13388" w:rsidR="0076222D" w:rsidRDefault="0076222D" w:rsidP="0032200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76222D">
        <w:rPr>
          <w:rFonts w:ascii="Arial" w:eastAsia="Times New Roman" w:hAnsi="Arial" w:cs="Arial"/>
          <w:color w:val="000000"/>
          <w:sz w:val="24"/>
          <w:szCs w:val="24"/>
          <w:lang w:eastAsia="en-NZ"/>
        </w:rPr>
        <w:t>In its sixth periodic report under CAT</w:t>
      </w:r>
      <w:r>
        <w:rPr>
          <w:rFonts w:ascii="Arial" w:eastAsia="Times New Roman" w:hAnsi="Arial" w:cs="Arial"/>
          <w:color w:val="000000"/>
          <w:sz w:val="24"/>
          <w:szCs w:val="24"/>
          <w:lang w:eastAsia="en-NZ"/>
        </w:rPr>
        <w:t xml:space="preserve"> in 2013</w:t>
      </w:r>
      <w:r w:rsidRPr="0076222D">
        <w:rPr>
          <w:rFonts w:ascii="Arial" w:eastAsia="Times New Roman" w:hAnsi="Arial" w:cs="Arial"/>
          <w:color w:val="000000"/>
          <w:sz w:val="24"/>
          <w:szCs w:val="24"/>
          <w:lang w:eastAsia="en-NZ"/>
        </w:rPr>
        <w:t>, New Zealand provided data to the Committee on civil claims for historic abuse, including data relating to settlements then reached.  New Zealand</w:t>
      </w:r>
      <w:r>
        <w:rPr>
          <w:rFonts w:ascii="Arial" w:eastAsia="Times New Roman" w:hAnsi="Arial" w:cs="Arial"/>
          <w:color w:val="000000"/>
          <w:sz w:val="24"/>
          <w:szCs w:val="24"/>
          <w:lang w:eastAsia="en-NZ"/>
        </w:rPr>
        <w:t xml:space="preserve"> also</w:t>
      </w:r>
      <w:r w:rsidRPr="0076222D">
        <w:rPr>
          <w:rFonts w:ascii="Arial" w:eastAsia="Times New Roman" w:hAnsi="Arial" w:cs="Arial"/>
          <w:color w:val="000000"/>
          <w:sz w:val="24"/>
          <w:szCs w:val="24"/>
          <w:lang w:eastAsia="en-NZ"/>
        </w:rPr>
        <w:t xml:space="preserve"> provided information regarding the Ministry of </w:t>
      </w:r>
      <w:r w:rsidRPr="0076222D">
        <w:rPr>
          <w:rFonts w:ascii="Arial" w:eastAsia="Times New Roman" w:hAnsi="Arial" w:cs="Arial"/>
          <w:color w:val="000000"/>
          <w:sz w:val="24"/>
          <w:szCs w:val="24"/>
          <w:lang w:eastAsia="en-NZ"/>
        </w:rPr>
        <w:lastRenderedPageBreak/>
        <w:t>Social Development's Historic Claims team</w:t>
      </w:r>
      <w:r>
        <w:rPr>
          <w:rFonts w:ascii="Arial" w:eastAsia="Times New Roman" w:hAnsi="Arial" w:cs="Arial"/>
          <w:color w:val="000000"/>
          <w:sz w:val="24"/>
          <w:szCs w:val="24"/>
          <w:lang w:eastAsia="en-NZ"/>
        </w:rPr>
        <w:t xml:space="preserve"> and</w:t>
      </w:r>
      <w:r w:rsidRPr="0076222D">
        <w:rPr>
          <w:rFonts w:ascii="Arial" w:eastAsia="Times New Roman" w:hAnsi="Arial" w:cs="Arial"/>
          <w:color w:val="000000"/>
          <w:sz w:val="24"/>
          <w:szCs w:val="24"/>
          <w:lang w:eastAsia="en-NZ"/>
        </w:rPr>
        <w:t xml:space="preserve"> delays then being experienced with claims resolution, and </w:t>
      </w:r>
      <w:r>
        <w:rPr>
          <w:rFonts w:ascii="Arial" w:eastAsia="Times New Roman" w:hAnsi="Arial" w:cs="Arial"/>
          <w:color w:val="000000"/>
          <w:sz w:val="24"/>
          <w:szCs w:val="24"/>
          <w:lang w:eastAsia="en-NZ"/>
        </w:rPr>
        <w:t xml:space="preserve">stated that the Ministry had committed to closing </w:t>
      </w:r>
      <w:r w:rsidRPr="0076222D">
        <w:rPr>
          <w:rFonts w:ascii="Arial" w:eastAsia="Times New Roman" w:hAnsi="Arial" w:cs="Arial"/>
          <w:color w:val="000000"/>
          <w:sz w:val="24"/>
          <w:szCs w:val="24"/>
          <w:lang w:eastAsia="en-NZ"/>
        </w:rPr>
        <w:t>all historic claims by 31 December 2020.  Further, New Zealand advised that Ministry staff encourage</w:t>
      </w:r>
      <w:r>
        <w:rPr>
          <w:rFonts w:ascii="Arial" w:eastAsia="Times New Roman" w:hAnsi="Arial" w:cs="Arial"/>
          <w:color w:val="000000"/>
          <w:sz w:val="24"/>
          <w:szCs w:val="24"/>
          <w:lang w:eastAsia="en-NZ"/>
        </w:rPr>
        <w:t>d</w:t>
      </w:r>
      <w:r w:rsidRPr="0076222D">
        <w:rPr>
          <w:rFonts w:ascii="Arial" w:eastAsia="Times New Roman" w:hAnsi="Arial" w:cs="Arial"/>
          <w:color w:val="000000"/>
          <w:sz w:val="24"/>
          <w:szCs w:val="24"/>
          <w:lang w:eastAsia="en-NZ"/>
        </w:rPr>
        <w:t xml:space="preserve"> and support</w:t>
      </w:r>
      <w:r>
        <w:rPr>
          <w:rFonts w:ascii="Arial" w:eastAsia="Times New Roman" w:hAnsi="Arial" w:cs="Arial"/>
          <w:color w:val="000000"/>
          <w:sz w:val="24"/>
          <w:szCs w:val="24"/>
          <w:lang w:eastAsia="en-NZ"/>
        </w:rPr>
        <w:t>ed</w:t>
      </w:r>
      <w:r w:rsidRPr="0076222D">
        <w:rPr>
          <w:rFonts w:ascii="Arial" w:eastAsia="Times New Roman" w:hAnsi="Arial" w:cs="Arial"/>
          <w:color w:val="000000"/>
          <w:sz w:val="24"/>
          <w:szCs w:val="24"/>
          <w:lang w:eastAsia="en-NZ"/>
        </w:rPr>
        <w:t xml:space="preserve"> claimants who</w:t>
      </w:r>
      <w:r>
        <w:rPr>
          <w:rFonts w:ascii="Arial" w:eastAsia="Times New Roman" w:hAnsi="Arial" w:cs="Arial"/>
          <w:color w:val="000000"/>
          <w:sz w:val="24"/>
          <w:szCs w:val="24"/>
          <w:lang w:eastAsia="en-NZ"/>
        </w:rPr>
        <w:t xml:space="preserve">se allegations raised issues of </w:t>
      </w:r>
      <w:r w:rsidRPr="0076222D">
        <w:rPr>
          <w:rFonts w:ascii="Arial" w:eastAsia="Times New Roman" w:hAnsi="Arial" w:cs="Arial"/>
          <w:color w:val="000000"/>
          <w:sz w:val="24"/>
          <w:szCs w:val="24"/>
          <w:lang w:eastAsia="en-NZ"/>
        </w:rPr>
        <w:t xml:space="preserve">criminal offending </w:t>
      </w:r>
      <w:r>
        <w:rPr>
          <w:rFonts w:ascii="Arial" w:eastAsia="Times New Roman" w:hAnsi="Arial" w:cs="Arial"/>
          <w:color w:val="000000"/>
          <w:sz w:val="24"/>
          <w:szCs w:val="24"/>
          <w:lang w:eastAsia="en-NZ"/>
        </w:rPr>
        <w:t xml:space="preserve">against them </w:t>
      </w:r>
      <w:r w:rsidRPr="0076222D">
        <w:rPr>
          <w:rFonts w:ascii="Arial" w:eastAsia="Times New Roman" w:hAnsi="Arial" w:cs="Arial"/>
          <w:color w:val="000000"/>
          <w:sz w:val="24"/>
          <w:szCs w:val="24"/>
          <w:lang w:eastAsia="en-NZ"/>
        </w:rPr>
        <w:t xml:space="preserve">to complain to the Police.  It referred to one prosecution/conviction relating to pre-1992 treatment in a psychiatric facility (Carrington Hospital), and advised that no disciplinary action had been taken against Ministry staff in respect of historic abuse claims.  </w:t>
      </w:r>
      <w:r>
        <w:rPr>
          <w:rFonts w:ascii="Arial" w:eastAsia="Times New Roman" w:hAnsi="Arial" w:cs="Arial"/>
          <w:color w:val="000000"/>
          <w:sz w:val="24"/>
          <w:szCs w:val="24"/>
          <w:lang w:eastAsia="en-NZ"/>
        </w:rPr>
        <w:t>I</w:t>
      </w:r>
      <w:r w:rsidRPr="0076222D">
        <w:rPr>
          <w:rFonts w:ascii="Arial" w:eastAsia="Times New Roman" w:hAnsi="Arial" w:cs="Arial"/>
          <w:color w:val="000000"/>
          <w:sz w:val="24"/>
          <w:szCs w:val="24"/>
          <w:lang w:eastAsia="en-NZ"/>
        </w:rPr>
        <w:t>nformation was provided about settlements for ps</w:t>
      </w:r>
      <w:r>
        <w:rPr>
          <w:rFonts w:ascii="Arial" w:eastAsia="Times New Roman" w:hAnsi="Arial" w:cs="Arial"/>
          <w:color w:val="000000"/>
          <w:sz w:val="24"/>
          <w:szCs w:val="24"/>
          <w:lang w:eastAsia="en-NZ"/>
        </w:rPr>
        <w:t>y</w:t>
      </w:r>
      <w:r w:rsidRPr="0076222D">
        <w:rPr>
          <w:rFonts w:ascii="Arial" w:eastAsia="Times New Roman" w:hAnsi="Arial" w:cs="Arial"/>
          <w:color w:val="000000"/>
          <w:sz w:val="24"/>
          <w:szCs w:val="24"/>
          <w:lang w:eastAsia="en-NZ"/>
        </w:rPr>
        <w:t>chiatric patients whose claims were barred by the Mental Health Act 1969, and payments to Lake Alice claimants.  In addition, New Zealand referred to a police investigation into complaints relating to Lake Alice</w:t>
      </w:r>
      <w:r>
        <w:rPr>
          <w:rFonts w:ascii="Arial" w:eastAsia="Times New Roman" w:hAnsi="Arial" w:cs="Arial"/>
          <w:color w:val="000000"/>
          <w:sz w:val="24"/>
          <w:szCs w:val="24"/>
          <w:lang w:eastAsia="en-NZ"/>
        </w:rPr>
        <w:t xml:space="preserve"> Hospital</w:t>
      </w:r>
      <w:r w:rsidRPr="0076222D">
        <w:rPr>
          <w:rFonts w:ascii="Arial" w:eastAsia="Times New Roman" w:hAnsi="Arial" w:cs="Arial"/>
          <w:color w:val="000000"/>
          <w:sz w:val="24"/>
          <w:szCs w:val="24"/>
          <w:lang w:eastAsia="en-NZ"/>
        </w:rPr>
        <w:t>, and</w:t>
      </w:r>
      <w:r>
        <w:rPr>
          <w:rFonts w:ascii="Arial" w:eastAsia="Times New Roman" w:hAnsi="Arial" w:cs="Arial"/>
          <w:color w:val="000000"/>
          <w:sz w:val="24"/>
          <w:szCs w:val="24"/>
          <w:lang w:eastAsia="en-NZ"/>
        </w:rPr>
        <w:t xml:space="preserve"> advised</w:t>
      </w:r>
      <w:r w:rsidRPr="0076222D">
        <w:rPr>
          <w:rFonts w:ascii="Arial" w:eastAsia="Times New Roman" w:hAnsi="Arial" w:cs="Arial"/>
          <w:color w:val="000000"/>
          <w:sz w:val="24"/>
          <w:szCs w:val="24"/>
          <w:lang w:eastAsia="en-NZ"/>
        </w:rPr>
        <w:t xml:space="preserve"> that no charges had been laid following that investigation.</w:t>
      </w:r>
      <w:r w:rsidR="00B66DCE">
        <w:rPr>
          <w:rStyle w:val="FootnoteReference"/>
          <w:rFonts w:ascii="Arial" w:eastAsia="Times New Roman" w:hAnsi="Arial" w:cs="Arial"/>
          <w:color w:val="000000"/>
          <w:sz w:val="24"/>
          <w:szCs w:val="24"/>
          <w:lang w:eastAsia="en-NZ"/>
        </w:rPr>
        <w:footnoteReference w:id="197"/>
      </w:r>
    </w:p>
    <w:p w14:paraId="77D9BF06" w14:textId="04D21D78" w:rsidR="002F034C" w:rsidRDefault="00C75AAF" w:rsidP="0032200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I</w:t>
      </w:r>
      <w:r w:rsidR="00FD6C4B">
        <w:rPr>
          <w:rFonts w:ascii="Arial" w:eastAsia="Times New Roman" w:hAnsi="Arial" w:cs="Arial"/>
          <w:color w:val="000000"/>
          <w:sz w:val="24"/>
          <w:szCs w:val="24"/>
          <w:lang w:eastAsia="en-NZ"/>
        </w:rPr>
        <w:t xml:space="preserve">n </w:t>
      </w:r>
      <w:r w:rsidR="00C71119">
        <w:rPr>
          <w:rFonts w:ascii="Arial" w:eastAsia="Times New Roman" w:hAnsi="Arial" w:cs="Arial"/>
          <w:color w:val="000000"/>
          <w:sz w:val="24"/>
          <w:szCs w:val="24"/>
          <w:lang w:eastAsia="en-NZ"/>
        </w:rPr>
        <w:t xml:space="preserve">its concluding observations on New Zealand’s sixth periodic report in </w:t>
      </w:r>
      <w:r w:rsidR="00322005" w:rsidRPr="003112B5">
        <w:rPr>
          <w:rFonts w:ascii="Arial" w:eastAsia="Times New Roman" w:hAnsi="Arial" w:cs="Arial"/>
          <w:color w:val="000000"/>
          <w:sz w:val="24"/>
          <w:szCs w:val="24"/>
          <w:lang w:eastAsia="en-NZ"/>
        </w:rPr>
        <w:t xml:space="preserve">2015, the Committee </w:t>
      </w:r>
      <w:r w:rsidR="00C71119">
        <w:rPr>
          <w:rFonts w:ascii="Arial" w:eastAsia="Times New Roman" w:hAnsi="Arial" w:cs="Arial"/>
          <w:color w:val="000000"/>
          <w:sz w:val="24"/>
          <w:szCs w:val="24"/>
          <w:lang w:eastAsia="en-NZ"/>
        </w:rPr>
        <w:t>set out its view that New Zealand had “</w:t>
      </w:r>
      <w:r w:rsidR="00C71119" w:rsidRPr="00C71119">
        <w:rPr>
          <w:rFonts w:ascii="Arial" w:eastAsia="Times New Roman" w:hAnsi="Arial" w:cs="Arial"/>
          <w:color w:val="000000"/>
          <w:sz w:val="24"/>
          <w:szCs w:val="24"/>
          <w:lang w:eastAsia="en-NZ"/>
        </w:rPr>
        <w:t>failed to investigate or hold any individual accountable for the nearly 200 allegations of torture and ill-treatment against minors at Lake Alice Hospital.</w:t>
      </w:r>
      <w:r w:rsidR="00C71119">
        <w:rPr>
          <w:rFonts w:ascii="Arial" w:eastAsia="Times New Roman" w:hAnsi="Arial" w:cs="Arial"/>
          <w:color w:val="000000"/>
          <w:sz w:val="24"/>
          <w:szCs w:val="24"/>
          <w:lang w:eastAsia="en-NZ"/>
        </w:rPr>
        <w:t>”</w:t>
      </w:r>
      <w:r w:rsidR="00C71119">
        <w:rPr>
          <w:rStyle w:val="FootnoteReference"/>
          <w:rFonts w:ascii="Arial" w:eastAsia="Times New Roman" w:hAnsi="Arial" w:cs="Arial"/>
          <w:color w:val="000000"/>
          <w:sz w:val="24"/>
          <w:szCs w:val="24"/>
          <w:lang w:eastAsia="en-NZ"/>
        </w:rPr>
        <w:footnoteReference w:id="198"/>
      </w:r>
      <w:r w:rsidR="00C71119" w:rsidRPr="00C71119">
        <w:rPr>
          <w:rFonts w:ascii="Arial" w:eastAsia="Times New Roman" w:hAnsi="Arial" w:cs="Arial"/>
          <w:color w:val="000000"/>
          <w:sz w:val="24"/>
          <w:szCs w:val="24"/>
          <w:lang w:eastAsia="en-NZ"/>
        </w:rPr>
        <w:t xml:space="preserve"> </w:t>
      </w:r>
      <w:r w:rsidR="00C71119">
        <w:rPr>
          <w:rFonts w:ascii="Arial" w:eastAsia="Times New Roman" w:hAnsi="Arial" w:cs="Arial"/>
          <w:color w:val="000000"/>
          <w:sz w:val="24"/>
          <w:szCs w:val="24"/>
          <w:lang w:eastAsia="en-NZ"/>
        </w:rPr>
        <w:t xml:space="preserve"> It recommended that </w:t>
      </w:r>
      <w:r w:rsidR="00C71119" w:rsidRPr="00C71119">
        <w:rPr>
          <w:rFonts w:ascii="Arial" w:eastAsia="Times New Roman" w:hAnsi="Arial" w:cs="Arial"/>
          <w:color w:val="000000"/>
          <w:sz w:val="24"/>
          <w:szCs w:val="24"/>
          <w:lang w:eastAsia="en-NZ"/>
        </w:rPr>
        <w:t xml:space="preserve">New Zealand conduct "prompt, impartial and thorough investigations" into all allegations of ill-treatment in State care, </w:t>
      </w:r>
      <w:r w:rsidR="009F11EC">
        <w:rPr>
          <w:rFonts w:ascii="Arial" w:eastAsia="Times New Roman" w:hAnsi="Arial" w:cs="Arial"/>
          <w:color w:val="000000"/>
          <w:sz w:val="24"/>
          <w:szCs w:val="24"/>
          <w:lang w:eastAsia="en-NZ"/>
        </w:rPr>
        <w:t xml:space="preserve">that </w:t>
      </w:r>
      <w:r w:rsidR="00C71119" w:rsidRPr="00C71119">
        <w:rPr>
          <w:rFonts w:ascii="Arial" w:eastAsia="Times New Roman" w:hAnsi="Arial" w:cs="Arial"/>
          <w:color w:val="000000"/>
          <w:sz w:val="24"/>
          <w:szCs w:val="24"/>
          <w:lang w:eastAsia="en-NZ"/>
        </w:rPr>
        <w:t xml:space="preserve">prosecutions be brought against suspected perpetrators of ill-treatment, </w:t>
      </w:r>
      <w:r w:rsidR="00C71119">
        <w:rPr>
          <w:rFonts w:ascii="Arial" w:eastAsia="Times New Roman" w:hAnsi="Arial" w:cs="Arial"/>
          <w:color w:val="000000"/>
          <w:sz w:val="24"/>
          <w:szCs w:val="24"/>
          <w:lang w:eastAsia="en-NZ"/>
        </w:rPr>
        <w:t xml:space="preserve">that </w:t>
      </w:r>
      <w:r w:rsidR="002F034C">
        <w:rPr>
          <w:rFonts w:ascii="Arial" w:eastAsia="Times New Roman" w:hAnsi="Arial" w:cs="Arial"/>
          <w:color w:val="000000"/>
          <w:sz w:val="24"/>
          <w:szCs w:val="24"/>
          <w:lang w:eastAsia="en-NZ"/>
        </w:rPr>
        <w:t xml:space="preserve">those found guilty of such acts be punished in a manner </w:t>
      </w:r>
      <w:r w:rsidR="00C71119" w:rsidRPr="00C71119">
        <w:rPr>
          <w:rFonts w:ascii="Arial" w:eastAsia="Times New Roman" w:hAnsi="Arial" w:cs="Arial"/>
          <w:color w:val="000000"/>
          <w:sz w:val="24"/>
          <w:szCs w:val="24"/>
          <w:lang w:eastAsia="en-NZ"/>
        </w:rPr>
        <w:t xml:space="preserve">consistent with the </w:t>
      </w:r>
      <w:r w:rsidR="002F034C">
        <w:rPr>
          <w:rFonts w:ascii="Arial" w:eastAsia="Times New Roman" w:hAnsi="Arial" w:cs="Arial"/>
          <w:color w:val="000000"/>
          <w:sz w:val="24"/>
          <w:szCs w:val="24"/>
          <w:lang w:eastAsia="en-NZ"/>
        </w:rPr>
        <w:t>gravity of their conduct</w:t>
      </w:r>
      <w:r w:rsidR="00C71119" w:rsidRPr="00C71119">
        <w:rPr>
          <w:rFonts w:ascii="Arial" w:eastAsia="Times New Roman" w:hAnsi="Arial" w:cs="Arial"/>
          <w:color w:val="000000"/>
          <w:sz w:val="24"/>
          <w:szCs w:val="24"/>
          <w:lang w:eastAsia="en-NZ"/>
        </w:rPr>
        <w:t>, and that victims be provided with effective redress.</w:t>
      </w:r>
      <w:r w:rsidR="002F034C">
        <w:rPr>
          <w:rStyle w:val="FootnoteReference"/>
          <w:rFonts w:ascii="Arial" w:eastAsia="Times New Roman" w:hAnsi="Arial" w:cs="Arial"/>
          <w:color w:val="000000"/>
          <w:sz w:val="24"/>
          <w:szCs w:val="24"/>
          <w:lang w:eastAsia="en-NZ"/>
        </w:rPr>
        <w:footnoteReference w:id="199"/>
      </w:r>
      <w:r w:rsidR="00C71119" w:rsidRPr="00C71119">
        <w:rPr>
          <w:rFonts w:ascii="Arial" w:eastAsia="Times New Roman" w:hAnsi="Arial" w:cs="Arial"/>
          <w:color w:val="000000"/>
          <w:sz w:val="24"/>
          <w:szCs w:val="24"/>
          <w:lang w:eastAsia="en-NZ"/>
        </w:rPr>
        <w:t xml:space="preserve">  </w:t>
      </w:r>
    </w:p>
    <w:p w14:paraId="1D9BC426" w14:textId="45C4D980" w:rsidR="00322005" w:rsidRPr="003112B5" w:rsidRDefault="002F034C" w:rsidP="0032200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The Committee </w:t>
      </w:r>
      <w:r w:rsidR="00C71119">
        <w:rPr>
          <w:rFonts w:ascii="Arial" w:eastAsia="Times New Roman" w:hAnsi="Arial" w:cs="Arial"/>
          <w:color w:val="000000"/>
          <w:sz w:val="24"/>
          <w:szCs w:val="24"/>
          <w:lang w:eastAsia="en-NZ"/>
        </w:rPr>
        <w:t>“welcomed” New Zealand’s commitment to compensate victims of historic abuse</w:t>
      </w:r>
      <w:r>
        <w:rPr>
          <w:rFonts w:ascii="Arial" w:eastAsia="Times New Roman" w:hAnsi="Arial" w:cs="Arial"/>
          <w:color w:val="000000"/>
          <w:sz w:val="24"/>
          <w:szCs w:val="24"/>
          <w:lang w:eastAsia="en-NZ"/>
        </w:rPr>
        <w:t xml:space="preserve">, but stated it was “concerned at the fact” </w:t>
      </w:r>
      <w:r w:rsidR="00322005" w:rsidRPr="003112B5">
        <w:rPr>
          <w:rFonts w:ascii="Arial" w:eastAsia="Times New Roman" w:hAnsi="Arial" w:cs="Arial"/>
          <w:color w:val="000000"/>
          <w:sz w:val="24"/>
          <w:szCs w:val="24"/>
          <w:lang w:eastAsia="en-NZ"/>
        </w:rPr>
        <w:t xml:space="preserve">that </w:t>
      </w:r>
      <w:r>
        <w:rPr>
          <w:rFonts w:ascii="Arial" w:eastAsia="Times New Roman" w:hAnsi="Arial" w:cs="Arial"/>
          <w:color w:val="000000"/>
          <w:sz w:val="24"/>
          <w:szCs w:val="24"/>
          <w:lang w:eastAsia="en-NZ"/>
        </w:rPr>
        <w:t xml:space="preserve">such </w:t>
      </w:r>
      <w:r w:rsidR="00322005" w:rsidRPr="003112B5">
        <w:rPr>
          <w:rFonts w:ascii="Arial" w:eastAsia="Times New Roman" w:hAnsi="Arial" w:cs="Arial"/>
          <w:color w:val="000000"/>
          <w:sz w:val="24"/>
          <w:szCs w:val="24"/>
          <w:lang w:eastAsia="en-NZ"/>
        </w:rPr>
        <w:t>victims had not been provided “full redress”.</w:t>
      </w:r>
      <w:r w:rsidRPr="003112B5">
        <w:rPr>
          <w:rStyle w:val="FootnoteReference"/>
          <w:rFonts w:ascii="Arial" w:eastAsia="Times New Roman" w:hAnsi="Arial" w:cs="Arial"/>
          <w:color w:val="000000"/>
          <w:sz w:val="24"/>
          <w:szCs w:val="24"/>
          <w:lang w:eastAsia="en-NZ"/>
        </w:rPr>
        <w:footnoteReference w:id="200"/>
      </w:r>
      <w:r w:rsidR="00322005" w:rsidRPr="003112B5">
        <w:rPr>
          <w:rFonts w:ascii="Arial" w:eastAsia="Times New Roman" w:hAnsi="Arial" w:cs="Arial"/>
          <w:color w:val="000000"/>
          <w:sz w:val="24"/>
          <w:szCs w:val="24"/>
          <w:lang w:eastAsia="en-NZ"/>
        </w:rPr>
        <w:t xml:space="preserve">  The Committee recommended that New Zealand take legislative and other measures required to ensure that all those who suffered torture are provided redress, “including medical and psychological assistance, full compensation and the means for full rehabilitation.”</w:t>
      </w:r>
      <w:r w:rsidR="00322005" w:rsidRPr="003112B5">
        <w:rPr>
          <w:rStyle w:val="FootnoteReference"/>
          <w:rFonts w:ascii="Arial" w:eastAsia="Times New Roman" w:hAnsi="Arial" w:cs="Arial"/>
          <w:color w:val="000000"/>
          <w:sz w:val="24"/>
          <w:szCs w:val="24"/>
          <w:lang w:eastAsia="en-NZ"/>
        </w:rPr>
        <w:footnoteReference w:id="201"/>
      </w:r>
    </w:p>
    <w:p w14:paraId="49BAE92B" w14:textId="2EAED49C" w:rsidR="002A4DA6" w:rsidRPr="002A4DA6" w:rsidRDefault="002A4DA6" w:rsidP="002A4DA6">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In 2016, </w:t>
      </w:r>
      <w:r w:rsidR="00570C7F">
        <w:rPr>
          <w:rFonts w:ascii="Arial" w:eastAsia="Times New Roman" w:hAnsi="Arial" w:cs="Arial"/>
          <w:color w:val="000000"/>
          <w:sz w:val="24"/>
          <w:szCs w:val="24"/>
          <w:lang w:eastAsia="en-NZ"/>
        </w:rPr>
        <w:t xml:space="preserve">New Zealand </w:t>
      </w:r>
      <w:r w:rsidR="005E66F2">
        <w:rPr>
          <w:rFonts w:ascii="Arial" w:eastAsia="Times New Roman" w:hAnsi="Arial" w:cs="Arial"/>
          <w:color w:val="000000"/>
          <w:sz w:val="24"/>
          <w:szCs w:val="24"/>
          <w:lang w:eastAsia="en-NZ"/>
        </w:rPr>
        <w:t>provided information in</w:t>
      </w:r>
      <w:r>
        <w:rPr>
          <w:rFonts w:ascii="Arial" w:eastAsia="Times New Roman" w:hAnsi="Arial" w:cs="Arial"/>
          <w:color w:val="000000"/>
          <w:sz w:val="24"/>
          <w:szCs w:val="24"/>
          <w:lang w:eastAsia="en-NZ"/>
        </w:rPr>
        <w:t xml:space="preserve"> response </w:t>
      </w:r>
      <w:r w:rsidR="00570C7F">
        <w:rPr>
          <w:rFonts w:ascii="Arial" w:eastAsia="Times New Roman" w:hAnsi="Arial" w:cs="Arial"/>
          <w:color w:val="000000"/>
          <w:sz w:val="24"/>
          <w:szCs w:val="24"/>
          <w:lang w:eastAsia="en-NZ"/>
        </w:rPr>
        <w:t>to</w:t>
      </w:r>
      <w:r>
        <w:rPr>
          <w:rFonts w:ascii="Arial" w:eastAsia="Times New Roman" w:hAnsi="Arial" w:cs="Arial"/>
          <w:color w:val="000000"/>
          <w:sz w:val="24"/>
          <w:szCs w:val="24"/>
          <w:lang w:eastAsia="en-NZ"/>
        </w:rPr>
        <w:t xml:space="preserve"> some of</w:t>
      </w:r>
      <w:r w:rsidR="00570C7F">
        <w:rPr>
          <w:rFonts w:ascii="Arial" w:eastAsia="Times New Roman" w:hAnsi="Arial" w:cs="Arial"/>
          <w:color w:val="000000"/>
          <w:sz w:val="24"/>
          <w:szCs w:val="24"/>
          <w:lang w:eastAsia="en-NZ"/>
        </w:rPr>
        <w:t xml:space="preserve"> the Committee’s observations.  </w:t>
      </w:r>
      <w:r>
        <w:rPr>
          <w:rFonts w:ascii="Arial" w:eastAsia="Times New Roman" w:hAnsi="Arial" w:cs="Arial"/>
          <w:color w:val="000000"/>
          <w:sz w:val="24"/>
          <w:szCs w:val="24"/>
          <w:lang w:eastAsia="en-NZ"/>
        </w:rPr>
        <w:t xml:space="preserve">With regard to historic abuse, New Zealand advised that there were nearly </w:t>
      </w:r>
      <w:r w:rsidRPr="002A4DA6">
        <w:rPr>
          <w:rFonts w:ascii="Arial" w:eastAsia="Times New Roman" w:hAnsi="Arial" w:cs="Arial"/>
          <w:color w:val="000000"/>
          <w:sz w:val="24"/>
          <w:szCs w:val="24"/>
          <w:lang w:eastAsia="en-NZ"/>
        </w:rPr>
        <w:t xml:space="preserve">200 claims about ill-treatment at Lake Alice </w:t>
      </w:r>
      <w:r>
        <w:rPr>
          <w:rFonts w:ascii="Arial" w:eastAsia="Times New Roman" w:hAnsi="Arial" w:cs="Arial"/>
          <w:color w:val="000000"/>
          <w:sz w:val="24"/>
          <w:szCs w:val="24"/>
          <w:lang w:eastAsia="en-NZ"/>
        </w:rPr>
        <w:t>H</w:t>
      </w:r>
      <w:r w:rsidRPr="002A4DA6">
        <w:rPr>
          <w:rFonts w:ascii="Arial" w:eastAsia="Times New Roman" w:hAnsi="Arial" w:cs="Arial"/>
          <w:color w:val="000000"/>
          <w:sz w:val="24"/>
          <w:szCs w:val="24"/>
          <w:lang w:eastAsia="en-NZ"/>
        </w:rPr>
        <w:t xml:space="preserve">ospital </w:t>
      </w:r>
      <w:r>
        <w:rPr>
          <w:rFonts w:ascii="Arial" w:eastAsia="Times New Roman" w:hAnsi="Arial" w:cs="Arial"/>
          <w:color w:val="000000"/>
          <w:sz w:val="24"/>
          <w:szCs w:val="24"/>
          <w:lang w:eastAsia="en-NZ"/>
        </w:rPr>
        <w:t xml:space="preserve">which </w:t>
      </w:r>
      <w:r w:rsidRPr="002A4DA6">
        <w:rPr>
          <w:rFonts w:ascii="Arial" w:eastAsia="Times New Roman" w:hAnsi="Arial" w:cs="Arial"/>
          <w:color w:val="000000"/>
          <w:sz w:val="24"/>
          <w:szCs w:val="24"/>
          <w:lang w:eastAsia="en-NZ"/>
        </w:rPr>
        <w:t>relate</w:t>
      </w:r>
      <w:r>
        <w:rPr>
          <w:rFonts w:ascii="Arial" w:eastAsia="Times New Roman" w:hAnsi="Arial" w:cs="Arial"/>
          <w:color w:val="000000"/>
          <w:sz w:val="24"/>
          <w:szCs w:val="24"/>
          <w:lang w:eastAsia="en-NZ"/>
        </w:rPr>
        <w:t>d</w:t>
      </w:r>
      <w:r w:rsidRPr="002A4DA6">
        <w:rPr>
          <w:rFonts w:ascii="Arial" w:eastAsia="Times New Roman" w:hAnsi="Arial" w:cs="Arial"/>
          <w:color w:val="000000"/>
          <w:sz w:val="24"/>
          <w:szCs w:val="24"/>
          <w:lang w:eastAsia="en-NZ"/>
        </w:rPr>
        <w:t xml:space="preserve"> </w:t>
      </w:r>
      <w:r>
        <w:rPr>
          <w:rFonts w:ascii="Arial" w:eastAsia="Times New Roman" w:hAnsi="Arial" w:cs="Arial"/>
          <w:color w:val="000000"/>
          <w:sz w:val="24"/>
          <w:szCs w:val="24"/>
          <w:lang w:eastAsia="en-NZ"/>
        </w:rPr>
        <w:t>“</w:t>
      </w:r>
      <w:r w:rsidRPr="002A4DA6">
        <w:rPr>
          <w:rFonts w:ascii="Arial" w:eastAsia="Times New Roman" w:hAnsi="Arial" w:cs="Arial"/>
          <w:color w:val="000000"/>
          <w:sz w:val="24"/>
          <w:szCs w:val="24"/>
          <w:lang w:eastAsia="en-NZ"/>
        </w:rPr>
        <w:t>to the civil resolution process</w:t>
      </w:r>
      <w:r>
        <w:rPr>
          <w:rFonts w:ascii="Arial" w:eastAsia="Times New Roman" w:hAnsi="Arial" w:cs="Arial"/>
          <w:color w:val="000000"/>
          <w:sz w:val="24"/>
          <w:szCs w:val="24"/>
          <w:lang w:eastAsia="en-NZ"/>
        </w:rPr>
        <w:t xml:space="preserve">”, and that </w:t>
      </w:r>
      <w:r w:rsidRPr="002A4DA6">
        <w:rPr>
          <w:rFonts w:ascii="Arial" w:eastAsia="Times New Roman" w:hAnsi="Arial" w:cs="Arial"/>
          <w:color w:val="000000"/>
          <w:sz w:val="24"/>
          <w:szCs w:val="24"/>
          <w:lang w:eastAsia="en-NZ"/>
        </w:rPr>
        <w:t xml:space="preserve">individuals </w:t>
      </w:r>
      <w:r>
        <w:rPr>
          <w:rFonts w:ascii="Arial" w:eastAsia="Times New Roman" w:hAnsi="Arial" w:cs="Arial"/>
          <w:color w:val="000000"/>
          <w:sz w:val="24"/>
          <w:szCs w:val="24"/>
          <w:lang w:eastAsia="en-NZ"/>
        </w:rPr>
        <w:t xml:space="preserve">had the option of </w:t>
      </w:r>
      <w:r w:rsidRPr="002A4DA6">
        <w:rPr>
          <w:rFonts w:ascii="Arial" w:eastAsia="Times New Roman" w:hAnsi="Arial" w:cs="Arial"/>
          <w:color w:val="000000"/>
          <w:sz w:val="24"/>
          <w:szCs w:val="24"/>
          <w:lang w:eastAsia="en-NZ"/>
        </w:rPr>
        <w:t>complain</w:t>
      </w:r>
      <w:r>
        <w:rPr>
          <w:rFonts w:ascii="Arial" w:eastAsia="Times New Roman" w:hAnsi="Arial" w:cs="Arial"/>
          <w:color w:val="000000"/>
          <w:sz w:val="24"/>
          <w:szCs w:val="24"/>
          <w:lang w:eastAsia="en-NZ"/>
        </w:rPr>
        <w:t>ing</w:t>
      </w:r>
      <w:r w:rsidRPr="002A4DA6">
        <w:rPr>
          <w:rFonts w:ascii="Arial" w:eastAsia="Times New Roman" w:hAnsi="Arial" w:cs="Arial"/>
          <w:color w:val="000000"/>
          <w:sz w:val="24"/>
          <w:szCs w:val="24"/>
          <w:lang w:eastAsia="en-NZ"/>
        </w:rPr>
        <w:t xml:space="preserve"> to the Police. </w:t>
      </w:r>
      <w:r>
        <w:rPr>
          <w:rFonts w:ascii="Arial" w:eastAsia="Times New Roman" w:hAnsi="Arial" w:cs="Arial"/>
          <w:color w:val="000000"/>
          <w:sz w:val="24"/>
          <w:szCs w:val="24"/>
          <w:lang w:eastAsia="en-NZ"/>
        </w:rPr>
        <w:t xml:space="preserve"> New Zealand also advised that after complaints were made, </w:t>
      </w:r>
      <w:r w:rsidRPr="002A4DA6">
        <w:rPr>
          <w:rFonts w:ascii="Arial" w:eastAsia="Times New Roman" w:hAnsi="Arial" w:cs="Arial"/>
          <w:color w:val="000000"/>
          <w:sz w:val="24"/>
          <w:szCs w:val="24"/>
          <w:lang w:eastAsia="en-NZ"/>
        </w:rPr>
        <w:t xml:space="preserve">the Police </w:t>
      </w:r>
      <w:r>
        <w:rPr>
          <w:rFonts w:ascii="Arial" w:eastAsia="Times New Roman" w:hAnsi="Arial" w:cs="Arial"/>
          <w:color w:val="000000"/>
          <w:sz w:val="24"/>
          <w:szCs w:val="24"/>
          <w:lang w:eastAsia="en-NZ"/>
        </w:rPr>
        <w:t xml:space="preserve">considered whether </w:t>
      </w:r>
      <w:r w:rsidRPr="002A4DA6">
        <w:rPr>
          <w:rFonts w:ascii="Arial" w:eastAsia="Times New Roman" w:hAnsi="Arial" w:cs="Arial"/>
          <w:color w:val="000000"/>
          <w:sz w:val="24"/>
          <w:szCs w:val="24"/>
          <w:lang w:eastAsia="en-NZ"/>
        </w:rPr>
        <w:t xml:space="preserve">there was sufficient evidence to </w:t>
      </w:r>
      <w:r>
        <w:rPr>
          <w:rFonts w:ascii="Arial" w:eastAsia="Times New Roman" w:hAnsi="Arial" w:cs="Arial"/>
          <w:color w:val="000000"/>
          <w:sz w:val="24"/>
          <w:szCs w:val="24"/>
          <w:lang w:eastAsia="en-NZ"/>
        </w:rPr>
        <w:t xml:space="preserve">charge the </w:t>
      </w:r>
      <w:r w:rsidRPr="002A4DA6">
        <w:rPr>
          <w:rFonts w:ascii="Arial" w:eastAsia="Times New Roman" w:hAnsi="Arial" w:cs="Arial"/>
          <w:color w:val="000000"/>
          <w:sz w:val="24"/>
          <w:szCs w:val="24"/>
          <w:lang w:eastAsia="en-NZ"/>
        </w:rPr>
        <w:t>alleged perpetrators</w:t>
      </w:r>
      <w:r>
        <w:rPr>
          <w:rFonts w:ascii="Arial" w:eastAsia="Times New Roman" w:hAnsi="Arial" w:cs="Arial"/>
          <w:color w:val="000000"/>
          <w:sz w:val="24"/>
          <w:szCs w:val="24"/>
          <w:lang w:eastAsia="en-NZ"/>
        </w:rPr>
        <w:t xml:space="preserve">, and decided </w:t>
      </w:r>
      <w:r w:rsidRPr="002A4DA6">
        <w:rPr>
          <w:rFonts w:ascii="Arial" w:eastAsia="Times New Roman" w:hAnsi="Arial" w:cs="Arial"/>
          <w:color w:val="000000"/>
          <w:sz w:val="24"/>
          <w:szCs w:val="24"/>
          <w:lang w:eastAsia="en-NZ"/>
        </w:rPr>
        <w:t>not to lay charges.</w:t>
      </w:r>
      <w:r>
        <w:rPr>
          <w:rStyle w:val="FootnoteReference"/>
          <w:rFonts w:ascii="Arial" w:eastAsia="Times New Roman" w:hAnsi="Arial" w:cs="Arial"/>
          <w:color w:val="000000"/>
          <w:sz w:val="24"/>
          <w:szCs w:val="24"/>
          <w:lang w:eastAsia="en-NZ"/>
        </w:rPr>
        <w:footnoteReference w:id="202"/>
      </w:r>
    </w:p>
    <w:p w14:paraId="06259AC2" w14:textId="20DE6003" w:rsidR="002A4DA6" w:rsidRPr="00653A76" w:rsidRDefault="002A4DA6" w:rsidP="00653A76">
      <w:pPr>
        <w:autoSpaceDE w:val="0"/>
        <w:autoSpaceDN w:val="0"/>
        <w:adjustRightInd w:val="0"/>
        <w:spacing w:after="240" w:line="240" w:lineRule="auto"/>
        <w:jc w:val="both"/>
        <w:rPr>
          <w:rFonts w:ascii="Arial" w:eastAsia="Times New Roman" w:hAnsi="Arial" w:cs="Arial"/>
          <w:b/>
          <w:bCs/>
          <w:i/>
          <w:iCs/>
          <w:color w:val="000000"/>
          <w:sz w:val="24"/>
          <w:szCs w:val="24"/>
          <w:lang w:eastAsia="en-NZ"/>
        </w:rPr>
      </w:pPr>
      <w:r>
        <w:rPr>
          <w:rFonts w:ascii="Arial" w:eastAsia="Times New Roman" w:hAnsi="Arial" w:cs="Arial"/>
          <w:b/>
          <w:bCs/>
          <w:i/>
          <w:iCs/>
          <w:color w:val="000000"/>
          <w:sz w:val="24"/>
          <w:szCs w:val="24"/>
          <w:lang w:eastAsia="en-NZ"/>
        </w:rPr>
        <w:t>2017-201</w:t>
      </w:r>
      <w:r w:rsidR="00DD7E55">
        <w:rPr>
          <w:rFonts w:ascii="Arial" w:eastAsia="Times New Roman" w:hAnsi="Arial" w:cs="Arial"/>
          <w:b/>
          <w:bCs/>
          <w:i/>
          <w:iCs/>
          <w:color w:val="000000"/>
          <w:sz w:val="24"/>
          <w:szCs w:val="24"/>
          <w:lang w:eastAsia="en-NZ"/>
        </w:rPr>
        <w:t>9</w:t>
      </w:r>
    </w:p>
    <w:p w14:paraId="7BC0ADCF" w14:textId="3D465BA7" w:rsidR="00322005" w:rsidRPr="003112B5" w:rsidRDefault="00322005" w:rsidP="0032200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 201</w:t>
      </w:r>
      <w:r w:rsidR="002A4DA6">
        <w:rPr>
          <w:rFonts w:ascii="Arial" w:eastAsia="Times New Roman" w:hAnsi="Arial" w:cs="Arial"/>
          <w:color w:val="000000"/>
          <w:sz w:val="24"/>
          <w:szCs w:val="24"/>
          <w:lang w:eastAsia="en-NZ"/>
        </w:rPr>
        <w:t>7</w:t>
      </w:r>
      <w:r w:rsidRPr="003112B5">
        <w:rPr>
          <w:rFonts w:ascii="Arial" w:eastAsia="Times New Roman" w:hAnsi="Arial" w:cs="Arial"/>
          <w:color w:val="000000"/>
          <w:sz w:val="24"/>
          <w:szCs w:val="24"/>
          <w:lang w:eastAsia="en-NZ"/>
        </w:rPr>
        <w:t xml:space="preserve">, the Committee requested that New Zealand provide information relating to the recommendations referred to </w:t>
      </w:r>
      <w:r w:rsidR="002A4DA6">
        <w:rPr>
          <w:rFonts w:ascii="Arial" w:eastAsia="Times New Roman" w:hAnsi="Arial" w:cs="Arial"/>
          <w:color w:val="000000"/>
          <w:sz w:val="24"/>
          <w:szCs w:val="24"/>
          <w:lang w:eastAsia="en-NZ"/>
        </w:rPr>
        <w:t xml:space="preserve">in paragraph 6 </w:t>
      </w:r>
      <w:r w:rsidRPr="003112B5">
        <w:rPr>
          <w:rFonts w:ascii="Arial" w:eastAsia="Times New Roman" w:hAnsi="Arial" w:cs="Arial"/>
          <w:color w:val="000000"/>
          <w:sz w:val="24"/>
          <w:szCs w:val="24"/>
          <w:lang w:eastAsia="en-NZ"/>
        </w:rPr>
        <w:t>above.</w:t>
      </w:r>
      <w:r w:rsidRPr="003112B5">
        <w:rPr>
          <w:rStyle w:val="FootnoteReference"/>
          <w:rFonts w:ascii="Arial" w:eastAsia="Times New Roman" w:hAnsi="Arial" w:cs="Arial"/>
          <w:color w:val="000000"/>
          <w:sz w:val="24"/>
          <w:szCs w:val="24"/>
          <w:lang w:eastAsia="en-NZ"/>
        </w:rPr>
        <w:footnoteReference w:id="203"/>
      </w:r>
      <w:r w:rsidRPr="003112B5">
        <w:rPr>
          <w:rFonts w:ascii="Arial" w:eastAsia="Times New Roman" w:hAnsi="Arial" w:cs="Arial"/>
          <w:color w:val="000000"/>
          <w:sz w:val="24"/>
          <w:szCs w:val="24"/>
          <w:lang w:eastAsia="en-NZ"/>
        </w:rPr>
        <w:t xml:space="preserve">  In its seventh </w:t>
      </w:r>
      <w:r w:rsidRPr="003112B5">
        <w:rPr>
          <w:rFonts w:ascii="Arial" w:eastAsia="Times New Roman" w:hAnsi="Arial" w:cs="Arial"/>
          <w:color w:val="000000"/>
          <w:sz w:val="24"/>
          <w:szCs w:val="24"/>
          <w:lang w:eastAsia="en-NZ"/>
        </w:rPr>
        <w:lastRenderedPageBreak/>
        <w:t>periodic report, New Zealand referred to the establishment of this Inquiry, and stated this was an acknowledgment that historic abuse had occurred.</w:t>
      </w:r>
      <w:r w:rsidRPr="003112B5">
        <w:rPr>
          <w:rStyle w:val="FootnoteReference"/>
          <w:rFonts w:ascii="Arial" w:eastAsia="Times New Roman" w:hAnsi="Arial" w:cs="Arial"/>
          <w:color w:val="000000"/>
          <w:sz w:val="24"/>
          <w:szCs w:val="24"/>
          <w:lang w:eastAsia="en-NZ"/>
        </w:rPr>
        <w:footnoteReference w:id="204"/>
      </w:r>
      <w:r w:rsidRPr="003112B5">
        <w:rPr>
          <w:rFonts w:ascii="Arial" w:eastAsia="Times New Roman" w:hAnsi="Arial" w:cs="Arial"/>
          <w:color w:val="000000"/>
          <w:sz w:val="24"/>
          <w:szCs w:val="24"/>
          <w:lang w:eastAsia="en-NZ"/>
        </w:rPr>
        <w:t xml:space="preserve">  It also referred to the Inquiry’s terms of reference, including that the Inquiry will make recommendations on redress.</w:t>
      </w:r>
      <w:r w:rsidRPr="003112B5">
        <w:rPr>
          <w:rStyle w:val="FootnoteReference"/>
          <w:rFonts w:ascii="Arial" w:eastAsia="Times New Roman" w:hAnsi="Arial" w:cs="Arial"/>
          <w:color w:val="000000"/>
          <w:sz w:val="24"/>
          <w:szCs w:val="24"/>
          <w:lang w:eastAsia="en-NZ"/>
        </w:rPr>
        <w:footnoteReference w:id="205"/>
      </w:r>
      <w:r w:rsidRPr="003112B5">
        <w:rPr>
          <w:rFonts w:ascii="Arial" w:eastAsia="Times New Roman" w:hAnsi="Arial" w:cs="Arial"/>
          <w:color w:val="000000"/>
          <w:sz w:val="24"/>
          <w:szCs w:val="24"/>
          <w:lang w:eastAsia="en-NZ"/>
        </w:rPr>
        <w:t xml:space="preserve">  In addition, New Zealand referred to:</w:t>
      </w:r>
    </w:p>
    <w:p w14:paraId="29D8CD65" w14:textId="77777777" w:rsidR="00322005" w:rsidRPr="003112B5" w:rsidRDefault="00322005" w:rsidP="007209F1">
      <w:pPr>
        <w:pStyle w:val="ListParagraph"/>
        <w:numPr>
          <w:ilvl w:val="0"/>
          <w:numId w:val="15"/>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payments and apologies made by the Ministry of Social Development’s Historic Claims Team, and endeavours to resolve claims more quickly;</w:t>
      </w:r>
      <w:r w:rsidRPr="003112B5">
        <w:rPr>
          <w:rStyle w:val="FootnoteReference"/>
          <w:rFonts w:ascii="Arial" w:eastAsia="Times New Roman" w:hAnsi="Arial" w:cs="Arial"/>
          <w:color w:val="000000"/>
          <w:sz w:val="24"/>
          <w:szCs w:val="24"/>
          <w:lang w:eastAsia="en-NZ"/>
        </w:rPr>
        <w:footnoteReference w:id="206"/>
      </w:r>
    </w:p>
    <w:p w14:paraId="7D4C6472" w14:textId="77777777" w:rsidR="00322005" w:rsidRPr="003112B5" w:rsidRDefault="00322005" w:rsidP="007209F1">
      <w:pPr>
        <w:pStyle w:val="ListParagraph"/>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p>
    <w:p w14:paraId="76B65190" w14:textId="77777777" w:rsidR="00322005" w:rsidRPr="003112B5" w:rsidRDefault="00322005" w:rsidP="007209F1">
      <w:pPr>
        <w:pStyle w:val="ListParagraph"/>
        <w:numPr>
          <w:ilvl w:val="0"/>
          <w:numId w:val="15"/>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payments made by the Ministry of Health’s Historic Abuse Resolution Service, and related apologies;</w:t>
      </w:r>
      <w:r w:rsidRPr="003112B5">
        <w:rPr>
          <w:rStyle w:val="FootnoteReference"/>
          <w:rFonts w:ascii="Arial" w:eastAsia="Times New Roman" w:hAnsi="Arial" w:cs="Arial"/>
          <w:color w:val="000000"/>
          <w:sz w:val="24"/>
          <w:szCs w:val="24"/>
          <w:lang w:eastAsia="en-NZ"/>
        </w:rPr>
        <w:footnoteReference w:id="207"/>
      </w:r>
    </w:p>
    <w:p w14:paraId="4B63EDBC" w14:textId="77777777" w:rsidR="00322005" w:rsidRPr="003112B5" w:rsidRDefault="00322005" w:rsidP="007209F1">
      <w:pPr>
        <w:pStyle w:val="ListParagraph"/>
        <w:ind w:left="1134" w:hanging="634"/>
        <w:rPr>
          <w:rFonts w:ascii="Arial" w:eastAsia="Times New Roman" w:hAnsi="Arial" w:cs="Arial"/>
          <w:color w:val="000000"/>
          <w:sz w:val="24"/>
          <w:szCs w:val="24"/>
          <w:lang w:eastAsia="en-NZ"/>
        </w:rPr>
      </w:pPr>
    </w:p>
    <w:p w14:paraId="53A418D7" w14:textId="602C34E9" w:rsidR="00322005" w:rsidRDefault="00322005" w:rsidP="007209F1">
      <w:pPr>
        <w:pStyle w:val="ListParagraph"/>
        <w:numPr>
          <w:ilvl w:val="0"/>
          <w:numId w:val="15"/>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new claims, and related settlements, concerning Lake Alice</w:t>
      </w:r>
      <w:r w:rsidR="00EB2F80">
        <w:rPr>
          <w:rFonts w:ascii="Arial" w:eastAsia="Times New Roman" w:hAnsi="Arial" w:cs="Arial"/>
          <w:color w:val="000000"/>
          <w:sz w:val="24"/>
          <w:szCs w:val="24"/>
          <w:lang w:eastAsia="en-NZ"/>
        </w:rPr>
        <w:t xml:space="preserve"> Hospital</w:t>
      </w:r>
      <w:r w:rsidRPr="003112B5">
        <w:rPr>
          <w:rFonts w:ascii="Arial" w:eastAsia="Times New Roman" w:hAnsi="Arial" w:cs="Arial"/>
          <w:color w:val="000000"/>
          <w:sz w:val="24"/>
          <w:szCs w:val="24"/>
          <w:lang w:eastAsia="en-NZ"/>
        </w:rPr>
        <w:t>.</w:t>
      </w:r>
      <w:r w:rsidRPr="003112B5">
        <w:rPr>
          <w:rStyle w:val="FootnoteReference"/>
          <w:rFonts w:ascii="Arial" w:eastAsia="Times New Roman" w:hAnsi="Arial" w:cs="Arial"/>
          <w:color w:val="000000"/>
          <w:sz w:val="24"/>
          <w:szCs w:val="24"/>
          <w:lang w:eastAsia="en-NZ"/>
        </w:rPr>
        <w:footnoteReference w:id="208"/>
      </w:r>
      <w:r w:rsidR="00EB2F80">
        <w:rPr>
          <w:rFonts w:ascii="Arial" w:eastAsia="Times New Roman" w:hAnsi="Arial" w:cs="Arial"/>
          <w:color w:val="000000"/>
          <w:sz w:val="24"/>
          <w:szCs w:val="24"/>
          <w:lang w:eastAsia="en-NZ"/>
        </w:rPr>
        <w:t xml:space="preserve">  </w:t>
      </w:r>
    </w:p>
    <w:p w14:paraId="08E7F5B8" w14:textId="0E216724" w:rsidR="00CA78AB" w:rsidRDefault="00EB2F80" w:rsidP="00EB2F80">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New Zealand </w:t>
      </w:r>
      <w:r w:rsidR="00CA78AB">
        <w:rPr>
          <w:rFonts w:ascii="Arial" w:eastAsia="Times New Roman" w:hAnsi="Arial" w:cs="Arial"/>
          <w:color w:val="000000"/>
          <w:sz w:val="24"/>
          <w:szCs w:val="24"/>
          <w:lang w:eastAsia="en-NZ"/>
        </w:rPr>
        <w:t xml:space="preserve">also </w:t>
      </w:r>
      <w:r>
        <w:rPr>
          <w:rFonts w:ascii="Arial" w:eastAsia="Times New Roman" w:hAnsi="Arial" w:cs="Arial"/>
          <w:color w:val="000000"/>
          <w:sz w:val="24"/>
          <w:szCs w:val="24"/>
          <w:lang w:eastAsia="en-NZ"/>
        </w:rPr>
        <w:t xml:space="preserve">referred to a communication to the Committee regarding Lake Alice Hospital by Paul </w:t>
      </w:r>
      <w:proofErr w:type="spellStart"/>
      <w:r>
        <w:rPr>
          <w:rFonts w:ascii="Arial" w:eastAsia="Times New Roman" w:hAnsi="Arial" w:cs="Arial"/>
          <w:color w:val="000000"/>
          <w:sz w:val="24"/>
          <w:szCs w:val="24"/>
          <w:lang w:eastAsia="en-NZ"/>
        </w:rPr>
        <w:t>Zentveld</w:t>
      </w:r>
      <w:proofErr w:type="spellEnd"/>
      <w:r>
        <w:rPr>
          <w:rFonts w:ascii="Arial" w:eastAsia="Times New Roman" w:hAnsi="Arial" w:cs="Arial"/>
          <w:color w:val="000000"/>
          <w:sz w:val="24"/>
          <w:szCs w:val="24"/>
          <w:lang w:eastAsia="en-NZ"/>
        </w:rPr>
        <w:t>.</w:t>
      </w:r>
      <w:r>
        <w:rPr>
          <w:rStyle w:val="FootnoteReference"/>
          <w:rFonts w:ascii="Arial" w:eastAsia="Times New Roman" w:hAnsi="Arial" w:cs="Arial"/>
          <w:color w:val="000000"/>
          <w:sz w:val="24"/>
          <w:szCs w:val="24"/>
          <w:lang w:eastAsia="en-NZ"/>
        </w:rPr>
        <w:footnoteReference w:id="209"/>
      </w:r>
      <w:r>
        <w:rPr>
          <w:rFonts w:ascii="Arial" w:eastAsia="Times New Roman" w:hAnsi="Arial" w:cs="Arial"/>
          <w:color w:val="000000"/>
          <w:sz w:val="24"/>
          <w:szCs w:val="24"/>
          <w:lang w:eastAsia="en-NZ"/>
        </w:rPr>
        <w:t xml:space="preserve">  </w:t>
      </w:r>
      <w:r w:rsidR="00CA78AB">
        <w:rPr>
          <w:rFonts w:ascii="Arial" w:eastAsia="Times New Roman" w:hAnsi="Arial" w:cs="Arial"/>
          <w:color w:val="000000"/>
          <w:sz w:val="24"/>
          <w:szCs w:val="24"/>
          <w:lang w:eastAsia="en-NZ"/>
        </w:rPr>
        <w:t>New Zealand has recognised the Committee’s competence to receive and consider communications from individuals under New Zealand’s jurisdiction alleging that New Zealand has violated their rights under CAT.</w:t>
      </w:r>
      <w:r w:rsidR="00CA78AB">
        <w:rPr>
          <w:rStyle w:val="FootnoteReference"/>
          <w:rFonts w:ascii="Arial" w:eastAsia="Times New Roman" w:hAnsi="Arial" w:cs="Arial"/>
          <w:color w:val="000000"/>
          <w:sz w:val="24"/>
          <w:szCs w:val="24"/>
          <w:lang w:eastAsia="en-NZ"/>
        </w:rPr>
        <w:footnoteReference w:id="210"/>
      </w:r>
      <w:r w:rsidR="00CA78AB">
        <w:rPr>
          <w:rFonts w:ascii="Arial" w:eastAsia="Times New Roman" w:hAnsi="Arial" w:cs="Arial"/>
          <w:color w:val="000000"/>
          <w:sz w:val="24"/>
          <w:szCs w:val="24"/>
          <w:lang w:eastAsia="en-NZ"/>
        </w:rPr>
        <w:t xml:space="preserve">  The Committee’s decision on this communication was adopted on 4 December 2019, and is summarised below.</w:t>
      </w:r>
    </w:p>
    <w:p w14:paraId="327E8ECB" w14:textId="57EE4340" w:rsidR="00CA78AB" w:rsidRPr="00345D15" w:rsidRDefault="00CA78AB" w:rsidP="00345D15">
      <w:pPr>
        <w:autoSpaceDE w:val="0"/>
        <w:autoSpaceDN w:val="0"/>
        <w:adjustRightInd w:val="0"/>
        <w:spacing w:after="240" w:line="240" w:lineRule="auto"/>
        <w:jc w:val="both"/>
        <w:rPr>
          <w:rFonts w:ascii="Arial" w:eastAsia="Times New Roman" w:hAnsi="Arial" w:cs="Arial"/>
          <w:b/>
          <w:bCs/>
          <w:color w:val="000000"/>
          <w:sz w:val="24"/>
          <w:szCs w:val="24"/>
          <w:lang w:eastAsia="en-NZ"/>
        </w:rPr>
      </w:pPr>
      <w:proofErr w:type="spellStart"/>
      <w:r>
        <w:rPr>
          <w:rFonts w:ascii="Arial" w:eastAsia="Times New Roman" w:hAnsi="Arial" w:cs="Arial"/>
          <w:b/>
          <w:bCs/>
          <w:i/>
          <w:iCs/>
          <w:color w:val="000000"/>
          <w:sz w:val="24"/>
          <w:szCs w:val="24"/>
          <w:lang w:eastAsia="en-NZ"/>
        </w:rPr>
        <w:t>Zentveld</w:t>
      </w:r>
      <w:proofErr w:type="spellEnd"/>
      <w:r>
        <w:rPr>
          <w:rFonts w:ascii="Arial" w:eastAsia="Times New Roman" w:hAnsi="Arial" w:cs="Arial"/>
          <w:b/>
          <w:bCs/>
          <w:i/>
          <w:iCs/>
          <w:color w:val="000000"/>
          <w:sz w:val="24"/>
          <w:szCs w:val="24"/>
          <w:lang w:eastAsia="en-NZ"/>
        </w:rPr>
        <w:t xml:space="preserve"> </w:t>
      </w:r>
      <w:r w:rsidR="00092FF1">
        <w:rPr>
          <w:rFonts w:ascii="Arial" w:eastAsia="Times New Roman" w:hAnsi="Arial" w:cs="Arial"/>
          <w:b/>
          <w:bCs/>
          <w:i/>
          <w:iCs/>
          <w:color w:val="000000"/>
          <w:sz w:val="24"/>
          <w:szCs w:val="24"/>
          <w:lang w:eastAsia="en-NZ"/>
        </w:rPr>
        <w:t>v New Zealand</w:t>
      </w:r>
      <w:r w:rsidR="00092FF1" w:rsidRPr="00FB711C">
        <w:rPr>
          <w:rStyle w:val="FootnoteReference"/>
          <w:rFonts w:ascii="Arial" w:eastAsia="Times New Roman" w:hAnsi="Arial" w:cs="Arial"/>
          <w:color w:val="000000"/>
          <w:sz w:val="24"/>
          <w:szCs w:val="24"/>
          <w:lang w:eastAsia="en-NZ"/>
        </w:rPr>
        <w:footnoteReference w:id="211"/>
      </w:r>
    </w:p>
    <w:p w14:paraId="75A36C8C" w14:textId="532AC084" w:rsidR="00065E45" w:rsidRDefault="00EB2F80" w:rsidP="00092FF1">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Mr </w:t>
      </w:r>
      <w:proofErr w:type="spellStart"/>
      <w:r>
        <w:rPr>
          <w:rFonts w:ascii="Arial" w:eastAsia="Times New Roman" w:hAnsi="Arial" w:cs="Arial"/>
          <w:color w:val="000000"/>
          <w:sz w:val="24"/>
          <w:szCs w:val="24"/>
          <w:lang w:eastAsia="en-NZ"/>
        </w:rPr>
        <w:t>Zentveld</w:t>
      </w:r>
      <w:proofErr w:type="spellEnd"/>
      <w:r>
        <w:rPr>
          <w:rFonts w:ascii="Arial" w:eastAsia="Times New Roman" w:hAnsi="Arial" w:cs="Arial"/>
          <w:color w:val="000000"/>
          <w:sz w:val="24"/>
          <w:szCs w:val="24"/>
          <w:lang w:eastAsia="en-NZ"/>
        </w:rPr>
        <w:t xml:space="preserve"> was first admitted to Lake Alice</w:t>
      </w:r>
      <w:r w:rsidR="00FD2D13">
        <w:rPr>
          <w:rFonts w:ascii="Arial" w:eastAsia="Times New Roman" w:hAnsi="Arial" w:cs="Arial"/>
          <w:color w:val="000000"/>
          <w:sz w:val="24"/>
          <w:szCs w:val="24"/>
          <w:lang w:eastAsia="en-NZ"/>
        </w:rPr>
        <w:t xml:space="preserve"> Hospital</w:t>
      </w:r>
      <w:r>
        <w:rPr>
          <w:rFonts w:ascii="Arial" w:eastAsia="Times New Roman" w:hAnsi="Arial" w:cs="Arial"/>
          <w:color w:val="000000"/>
          <w:sz w:val="24"/>
          <w:szCs w:val="24"/>
          <w:lang w:eastAsia="en-NZ"/>
        </w:rPr>
        <w:t xml:space="preserve"> in 1974</w:t>
      </w:r>
      <w:r w:rsidR="00CA78AB">
        <w:rPr>
          <w:rFonts w:ascii="Arial" w:eastAsia="Times New Roman" w:hAnsi="Arial" w:cs="Arial"/>
          <w:color w:val="000000"/>
          <w:sz w:val="24"/>
          <w:szCs w:val="24"/>
          <w:lang w:eastAsia="en-NZ"/>
        </w:rPr>
        <w:t xml:space="preserve"> at age 13, and spent a total period of two years and 10 months </w:t>
      </w:r>
      <w:r w:rsidR="00FD2D13">
        <w:rPr>
          <w:rFonts w:ascii="Arial" w:eastAsia="Times New Roman" w:hAnsi="Arial" w:cs="Arial"/>
          <w:color w:val="000000"/>
          <w:sz w:val="24"/>
          <w:szCs w:val="24"/>
          <w:lang w:eastAsia="en-NZ"/>
        </w:rPr>
        <w:t>in the Hospital</w:t>
      </w:r>
      <w:r w:rsidR="00CA78AB">
        <w:rPr>
          <w:rFonts w:ascii="Arial" w:eastAsia="Times New Roman" w:hAnsi="Arial" w:cs="Arial"/>
          <w:color w:val="000000"/>
          <w:sz w:val="24"/>
          <w:szCs w:val="24"/>
          <w:lang w:eastAsia="en-NZ"/>
        </w:rPr>
        <w:t>.  H</w:t>
      </w:r>
      <w:r w:rsidR="00092FF1">
        <w:rPr>
          <w:rFonts w:ascii="Arial" w:eastAsia="Times New Roman" w:hAnsi="Arial" w:cs="Arial"/>
          <w:color w:val="000000"/>
          <w:sz w:val="24"/>
          <w:szCs w:val="24"/>
          <w:lang w:eastAsia="en-NZ"/>
        </w:rPr>
        <w:t>is treatment at the Hospital, then being operated under Dr Selwyn Leeks, included unmodified electro-convulsive therapy</w:t>
      </w:r>
      <w:r w:rsidR="00BE186C">
        <w:rPr>
          <w:rFonts w:ascii="Arial" w:eastAsia="Times New Roman" w:hAnsi="Arial" w:cs="Arial"/>
          <w:color w:val="000000"/>
          <w:sz w:val="24"/>
          <w:szCs w:val="24"/>
          <w:lang w:eastAsia="en-NZ"/>
        </w:rPr>
        <w:t xml:space="preserve"> (ECT)</w:t>
      </w:r>
      <w:r w:rsidR="00092FF1">
        <w:rPr>
          <w:rFonts w:ascii="Arial" w:eastAsia="Times New Roman" w:hAnsi="Arial" w:cs="Arial"/>
          <w:color w:val="000000"/>
          <w:sz w:val="24"/>
          <w:szCs w:val="24"/>
          <w:lang w:eastAsia="en-NZ"/>
        </w:rPr>
        <w:t xml:space="preserve">, drugs, and solitary confinement.  </w:t>
      </w:r>
      <w:r w:rsidR="00065E45">
        <w:rPr>
          <w:rFonts w:ascii="Arial" w:eastAsia="Times New Roman" w:hAnsi="Arial" w:cs="Arial"/>
          <w:color w:val="000000"/>
          <w:sz w:val="24"/>
          <w:szCs w:val="24"/>
          <w:lang w:eastAsia="en-NZ"/>
        </w:rPr>
        <w:t xml:space="preserve">Mr </w:t>
      </w:r>
      <w:proofErr w:type="spellStart"/>
      <w:r w:rsidR="00065E45">
        <w:rPr>
          <w:rFonts w:ascii="Arial" w:eastAsia="Times New Roman" w:hAnsi="Arial" w:cs="Arial"/>
          <w:color w:val="000000"/>
          <w:sz w:val="24"/>
          <w:szCs w:val="24"/>
          <w:lang w:eastAsia="en-NZ"/>
        </w:rPr>
        <w:t>Zentveld</w:t>
      </w:r>
      <w:proofErr w:type="spellEnd"/>
      <w:r w:rsidR="00065E45">
        <w:rPr>
          <w:rFonts w:ascii="Arial" w:eastAsia="Times New Roman" w:hAnsi="Arial" w:cs="Arial"/>
          <w:color w:val="000000"/>
          <w:sz w:val="24"/>
          <w:szCs w:val="24"/>
          <w:lang w:eastAsia="en-NZ"/>
        </w:rPr>
        <w:t xml:space="preserve"> was one of the Lake Alice claimants who reached a settlement with the New Zealand Government.  As part of this, Mr </w:t>
      </w:r>
      <w:proofErr w:type="spellStart"/>
      <w:r w:rsidR="00065E45">
        <w:rPr>
          <w:rFonts w:ascii="Arial" w:eastAsia="Times New Roman" w:hAnsi="Arial" w:cs="Arial"/>
          <w:color w:val="000000"/>
          <w:sz w:val="24"/>
          <w:szCs w:val="24"/>
          <w:lang w:eastAsia="en-NZ"/>
        </w:rPr>
        <w:t>Zentveld</w:t>
      </w:r>
      <w:proofErr w:type="spellEnd"/>
      <w:r w:rsidR="00065E45">
        <w:rPr>
          <w:rFonts w:ascii="Arial" w:eastAsia="Times New Roman" w:hAnsi="Arial" w:cs="Arial"/>
          <w:color w:val="000000"/>
          <w:sz w:val="24"/>
          <w:szCs w:val="24"/>
          <w:lang w:eastAsia="en-NZ"/>
        </w:rPr>
        <w:t xml:space="preserve"> received a letter of apology and </w:t>
      </w:r>
      <w:r w:rsidR="005848A3">
        <w:rPr>
          <w:rFonts w:ascii="Arial" w:eastAsia="Times New Roman" w:hAnsi="Arial" w:cs="Arial"/>
          <w:color w:val="000000"/>
          <w:sz w:val="24"/>
          <w:szCs w:val="24"/>
          <w:lang w:eastAsia="en-NZ"/>
        </w:rPr>
        <w:t xml:space="preserve">a </w:t>
      </w:r>
      <w:r w:rsidR="00065E45">
        <w:rPr>
          <w:rFonts w:ascii="Arial" w:eastAsia="Times New Roman" w:hAnsi="Arial" w:cs="Arial"/>
          <w:color w:val="000000"/>
          <w:sz w:val="24"/>
          <w:szCs w:val="24"/>
          <w:lang w:eastAsia="en-NZ"/>
        </w:rPr>
        <w:t>$115,000</w:t>
      </w:r>
      <w:r w:rsidR="005848A3">
        <w:rPr>
          <w:rFonts w:ascii="Arial" w:eastAsia="Times New Roman" w:hAnsi="Arial" w:cs="Arial"/>
          <w:color w:val="000000"/>
          <w:sz w:val="24"/>
          <w:szCs w:val="24"/>
          <w:lang w:eastAsia="en-NZ"/>
        </w:rPr>
        <w:t xml:space="preserve"> </w:t>
      </w:r>
      <w:r w:rsidR="005848A3">
        <w:rPr>
          <w:rFonts w:ascii="Arial" w:eastAsia="Times New Roman" w:hAnsi="Arial" w:cs="Arial"/>
          <w:i/>
          <w:iCs/>
          <w:color w:val="000000"/>
          <w:sz w:val="24"/>
          <w:szCs w:val="24"/>
          <w:lang w:eastAsia="en-NZ"/>
        </w:rPr>
        <w:t xml:space="preserve">ex gratia </w:t>
      </w:r>
      <w:r w:rsidR="005848A3">
        <w:rPr>
          <w:rFonts w:ascii="Arial" w:eastAsia="Times New Roman" w:hAnsi="Arial" w:cs="Arial"/>
          <w:color w:val="000000"/>
          <w:sz w:val="24"/>
          <w:szCs w:val="24"/>
          <w:lang w:eastAsia="en-NZ"/>
        </w:rPr>
        <w:t>payment</w:t>
      </w:r>
      <w:r w:rsidR="00065E45">
        <w:rPr>
          <w:rFonts w:ascii="Arial" w:eastAsia="Times New Roman" w:hAnsi="Arial" w:cs="Arial"/>
          <w:color w:val="000000"/>
          <w:sz w:val="24"/>
          <w:szCs w:val="24"/>
          <w:lang w:eastAsia="en-NZ"/>
        </w:rPr>
        <w:t>.</w:t>
      </w:r>
      <w:r w:rsidR="00065E45">
        <w:rPr>
          <w:rStyle w:val="FootnoteReference"/>
          <w:rFonts w:ascii="Arial" w:eastAsia="Times New Roman" w:hAnsi="Arial" w:cs="Arial"/>
          <w:color w:val="000000"/>
          <w:sz w:val="24"/>
          <w:szCs w:val="24"/>
          <w:lang w:eastAsia="en-NZ"/>
        </w:rPr>
        <w:footnoteReference w:id="212"/>
      </w:r>
    </w:p>
    <w:p w14:paraId="03352325" w14:textId="56938BF1" w:rsidR="00DD7E55" w:rsidRDefault="00065E45" w:rsidP="00092FF1">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In his communication to CAT,</w:t>
      </w:r>
      <w:r w:rsidR="00DD7E55">
        <w:rPr>
          <w:rFonts w:ascii="Arial" w:eastAsia="Times New Roman" w:hAnsi="Arial" w:cs="Arial"/>
          <w:color w:val="000000"/>
          <w:sz w:val="24"/>
          <w:szCs w:val="24"/>
          <w:lang w:eastAsia="en-NZ"/>
        </w:rPr>
        <w:t xml:space="preserve"> </w:t>
      </w:r>
      <w:r>
        <w:rPr>
          <w:rFonts w:ascii="Arial" w:eastAsia="Times New Roman" w:hAnsi="Arial" w:cs="Arial"/>
          <w:color w:val="000000"/>
          <w:sz w:val="24"/>
          <w:szCs w:val="24"/>
          <w:lang w:eastAsia="en-NZ"/>
        </w:rPr>
        <w:t xml:space="preserve">Mr </w:t>
      </w:r>
      <w:proofErr w:type="spellStart"/>
      <w:r>
        <w:rPr>
          <w:rFonts w:ascii="Arial" w:eastAsia="Times New Roman" w:hAnsi="Arial" w:cs="Arial"/>
          <w:color w:val="000000"/>
          <w:sz w:val="24"/>
          <w:szCs w:val="24"/>
          <w:lang w:eastAsia="en-NZ"/>
        </w:rPr>
        <w:t>Zentveld</w:t>
      </w:r>
      <w:proofErr w:type="spellEnd"/>
      <w:r>
        <w:rPr>
          <w:rFonts w:ascii="Arial" w:eastAsia="Times New Roman" w:hAnsi="Arial" w:cs="Arial"/>
          <w:color w:val="000000"/>
          <w:sz w:val="24"/>
          <w:szCs w:val="24"/>
          <w:lang w:eastAsia="en-NZ"/>
        </w:rPr>
        <w:t xml:space="preserve"> claimed that New Zealand had violated a number of his rights an</w:t>
      </w:r>
      <w:r w:rsidR="005848A3">
        <w:rPr>
          <w:rFonts w:ascii="Arial" w:eastAsia="Times New Roman" w:hAnsi="Arial" w:cs="Arial"/>
          <w:color w:val="000000"/>
          <w:sz w:val="24"/>
          <w:szCs w:val="24"/>
          <w:lang w:eastAsia="en-NZ"/>
        </w:rPr>
        <w:t>d</w:t>
      </w:r>
      <w:r>
        <w:rPr>
          <w:rFonts w:ascii="Arial" w:eastAsia="Times New Roman" w:hAnsi="Arial" w:cs="Arial"/>
          <w:color w:val="000000"/>
          <w:sz w:val="24"/>
          <w:szCs w:val="24"/>
          <w:lang w:eastAsia="en-NZ"/>
        </w:rPr>
        <w:t xml:space="preserve"> its obligations under CAT.  These included</w:t>
      </w:r>
      <w:r w:rsidR="00DD7E55">
        <w:rPr>
          <w:rFonts w:ascii="Arial" w:eastAsia="Times New Roman" w:hAnsi="Arial" w:cs="Arial"/>
          <w:color w:val="000000"/>
          <w:sz w:val="24"/>
          <w:szCs w:val="24"/>
          <w:lang w:eastAsia="en-NZ"/>
        </w:rPr>
        <w:t>:</w:t>
      </w:r>
    </w:p>
    <w:p w14:paraId="7A82CA74" w14:textId="36D6EAFA" w:rsidR="00DD7E55" w:rsidRDefault="0039521C" w:rsidP="00345D15">
      <w:pPr>
        <w:pStyle w:val="ListParagraph"/>
        <w:numPr>
          <w:ilvl w:val="0"/>
          <w:numId w:val="21"/>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w:t>
      </w:r>
      <w:r w:rsidR="00DD7E55">
        <w:rPr>
          <w:rFonts w:ascii="Arial" w:eastAsia="Times New Roman" w:hAnsi="Arial" w:cs="Arial"/>
          <w:color w:val="000000"/>
          <w:sz w:val="24"/>
          <w:szCs w:val="24"/>
          <w:lang w:eastAsia="en-NZ"/>
        </w:rPr>
        <w:t>he</w:t>
      </w:r>
      <w:r w:rsidR="00065E45" w:rsidRPr="00345D15">
        <w:rPr>
          <w:rFonts w:ascii="Arial" w:eastAsia="Times New Roman" w:hAnsi="Arial" w:cs="Arial"/>
          <w:color w:val="000000"/>
          <w:sz w:val="24"/>
          <w:szCs w:val="24"/>
          <w:lang w:eastAsia="en-NZ"/>
        </w:rPr>
        <w:t xml:space="preserve"> obligation to carry out a “prompt and impartial investigation” when there are reasonable grounds to believe that an act of torture has occurred in New Zealand</w:t>
      </w:r>
      <w:r w:rsidR="00DD7E55" w:rsidRPr="00345D15">
        <w:rPr>
          <w:rFonts w:ascii="Arial" w:eastAsia="Times New Roman" w:hAnsi="Arial" w:cs="Arial"/>
          <w:color w:val="000000"/>
          <w:sz w:val="24"/>
          <w:szCs w:val="24"/>
          <w:lang w:eastAsia="en-NZ"/>
        </w:rPr>
        <w:t>;</w:t>
      </w:r>
      <w:r w:rsidR="00DD7E55">
        <w:rPr>
          <w:rStyle w:val="FootnoteReference"/>
          <w:rFonts w:ascii="Arial" w:eastAsia="Times New Roman" w:hAnsi="Arial" w:cs="Arial"/>
          <w:color w:val="000000"/>
          <w:sz w:val="24"/>
          <w:szCs w:val="24"/>
          <w:lang w:eastAsia="en-NZ"/>
        </w:rPr>
        <w:footnoteReference w:id="213"/>
      </w:r>
      <w:r w:rsidR="00DD7E55" w:rsidRPr="00345D15">
        <w:rPr>
          <w:rFonts w:ascii="Arial" w:eastAsia="Times New Roman" w:hAnsi="Arial" w:cs="Arial"/>
          <w:color w:val="000000"/>
          <w:sz w:val="24"/>
          <w:szCs w:val="24"/>
          <w:lang w:eastAsia="en-NZ"/>
        </w:rPr>
        <w:t xml:space="preserve"> </w:t>
      </w:r>
    </w:p>
    <w:p w14:paraId="6B434F94" w14:textId="77777777" w:rsidR="00DD7E55" w:rsidRDefault="00DD7E55" w:rsidP="00B00A43">
      <w:pPr>
        <w:pStyle w:val="ListParagraph"/>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p>
    <w:p w14:paraId="4DCAD0B0" w14:textId="0F1FAAF1" w:rsidR="00DD7E55" w:rsidRDefault="00065E45" w:rsidP="00B00A43">
      <w:pPr>
        <w:pStyle w:val="ListParagraph"/>
        <w:numPr>
          <w:ilvl w:val="0"/>
          <w:numId w:val="21"/>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sidRPr="00345D15">
        <w:rPr>
          <w:rFonts w:ascii="Arial" w:eastAsia="Times New Roman" w:hAnsi="Arial" w:cs="Arial"/>
          <w:color w:val="000000"/>
          <w:sz w:val="24"/>
          <w:szCs w:val="24"/>
          <w:lang w:eastAsia="en-NZ"/>
        </w:rPr>
        <w:t>the right of an individual alleging he or she has been subjected to torture to complain to, and have one’s case promptly and impartially examined by, competent authorities</w:t>
      </w:r>
      <w:r w:rsidR="00DD7E55">
        <w:rPr>
          <w:rFonts w:ascii="Arial" w:eastAsia="Times New Roman" w:hAnsi="Arial" w:cs="Arial"/>
          <w:color w:val="000000"/>
          <w:sz w:val="24"/>
          <w:szCs w:val="24"/>
          <w:lang w:eastAsia="en-NZ"/>
        </w:rPr>
        <w:t>;</w:t>
      </w:r>
      <w:r w:rsidR="00DD7E55">
        <w:rPr>
          <w:rStyle w:val="FootnoteReference"/>
          <w:rFonts w:ascii="Arial" w:eastAsia="Times New Roman" w:hAnsi="Arial" w:cs="Arial"/>
          <w:color w:val="000000"/>
          <w:sz w:val="24"/>
          <w:szCs w:val="24"/>
          <w:lang w:eastAsia="en-NZ"/>
        </w:rPr>
        <w:footnoteReference w:id="214"/>
      </w:r>
      <w:r w:rsidR="00DD7E55">
        <w:rPr>
          <w:rFonts w:ascii="Arial" w:eastAsia="Times New Roman" w:hAnsi="Arial" w:cs="Arial"/>
          <w:color w:val="000000"/>
          <w:sz w:val="24"/>
          <w:szCs w:val="24"/>
          <w:lang w:eastAsia="en-NZ"/>
        </w:rPr>
        <w:t xml:space="preserve"> and</w:t>
      </w:r>
    </w:p>
    <w:p w14:paraId="78B4C055" w14:textId="77777777" w:rsidR="00DD7E55" w:rsidRPr="00345D15" w:rsidRDefault="00DD7E55" w:rsidP="00B00A43">
      <w:pPr>
        <w:pStyle w:val="ListParagraph"/>
        <w:ind w:left="1134" w:hanging="634"/>
        <w:rPr>
          <w:rFonts w:ascii="Arial" w:eastAsia="Times New Roman" w:hAnsi="Arial" w:cs="Arial"/>
          <w:color w:val="000000"/>
          <w:sz w:val="24"/>
          <w:szCs w:val="24"/>
          <w:lang w:eastAsia="en-NZ"/>
        </w:rPr>
      </w:pPr>
    </w:p>
    <w:p w14:paraId="1AF6A62A" w14:textId="34DE99F9" w:rsidR="00EB2F80" w:rsidRDefault="00065E45" w:rsidP="00B00A43">
      <w:pPr>
        <w:pStyle w:val="ListParagraph"/>
        <w:numPr>
          <w:ilvl w:val="0"/>
          <w:numId w:val="21"/>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sidRPr="00345D15">
        <w:rPr>
          <w:rFonts w:ascii="Arial" w:eastAsia="Times New Roman" w:hAnsi="Arial" w:cs="Arial"/>
          <w:color w:val="000000"/>
          <w:sz w:val="24"/>
          <w:szCs w:val="24"/>
          <w:lang w:eastAsia="en-NZ"/>
        </w:rPr>
        <w:lastRenderedPageBreak/>
        <w:t>the right of a victim of torture to obtain redress</w:t>
      </w:r>
      <w:r w:rsidR="00DD7E55">
        <w:rPr>
          <w:rFonts w:ascii="Arial" w:eastAsia="Times New Roman" w:hAnsi="Arial" w:cs="Arial"/>
          <w:color w:val="000000"/>
          <w:sz w:val="24"/>
          <w:szCs w:val="24"/>
          <w:lang w:eastAsia="en-NZ"/>
        </w:rPr>
        <w:t>.</w:t>
      </w:r>
      <w:r w:rsidR="00DD7E55">
        <w:rPr>
          <w:rStyle w:val="FootnoteReference"/>
          <w:rFonts w:ascii="Arial" w:eastAsia="Times New Roman" w:hAnsi="Arial" w:cs="Arial"/>
          <w:color w:val="000000"/>
          <w:sz w:val="24"/>
          <w:szCs w:val="24"/>
          <w:lang w:eastAsia="en-NZ"/>
        </w:rPr>
        <w:footnoteReference w:id="215"/>
      </w:r>
    </w:p>
    <w:p w14:paraId="0F8351C8" w14:textId="07B8196D" w:rsidR="00244509" w:rsidRDefault="00BE186C" w:rsidP="00DD7E5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The Committee decided that New Zealand had breached the above rights and obligations.  </w:t>
      </w:r>
      <w:r w:rsidR="0039521C">
        <w:rPr>
          <w:rFonts w:ascii="Arial" w:eastAsia="Times New Roman" w:hAnsi="Arial" w:cs="Arial"/>
          <w:color w:val="000000"/>
          <w:sz w:val="24"/>
          <w:szCs w:val="24"/>
          <w:lang w:eastAsia="en-NZ"/>
        </w:rPr>
        <w:t xml:space="preserve">The Committee referred to </w:t>
      </w:r>
      <w:r>
        <w:rPr>
          <w:rFonts w:ascii="Arial" w:eastAsia="Times New Roman" w:hAnsi="Arial" w:cs="Arial"/>
          <w:color w:val="000000"/>
          <w:sz w:val="24"/>
          <w:szCs w:val="24"/>
          <w:lang w:eastAsia="en-NZ"/>
        </w:rPr>
        <w:t xml:space="preserve">complaints by Mr </w:t>
      </w:r>
      <w:proofErr w:type="spellStart"/>
      <w:r>
        <w:rPr>
          <w:rFonts w:ascii="Arial" w:eastAsia="Times New Roman" w:hAnsi="Arial" w:cs="Arial"/>
          <w:color w:val="000000"/>
          <w:sz w:val="24"/>
          <w:szCs w:val="24"/>
          <w:lang w:eastAsia="en-NZ"/>
        </w:rPr>
        <w:t>Zentveld</w:t>
      </w:r>
      <w:proofErr w:type="spellEnd"/>
      <w:r>
        <w:rPr>
          <w:rFonts w:ascii="Arial" w:eastAsia="Times New Roman" w:hAnsi="Arial" w:cs="Arial"/>
          <w:color w:val="000000"/>
          <w:sz w:val="24"/>
          <w:szCs w:val="24"/>
          <w:lang w:eastAsia="en-NZ"/>
        </w:rPr>
        <w:t xml:space="preserve"> and others to the Police, and the </w:t>
      </w:r>
      <w:r w:rsidR="0013412D">
        <w:rPr>
          <w:rFonts w:ascii="Arial" w:eastAsia="Times New Roman" w:hAnsi="Arial" w:cs="Arial"/>
          <w:color w:val="000000"/>
          <w:sz w:val="24"/>
          <w:szCs w:val="24"/>
          <w:lang w:eastAsia="en-NZ"/>
        </w:rPr>
        <w:t xml:space="preserve">subsequent </w:t>
      </w:r>
      <w:r>
        <w:rPr>
          <w:rFonts w:ascii="Arial" w:eastAsia="Times New Roman" w:hAnsi="Arial" w:cs="Arial"/>
          <w:color w:val="000000"/>
          <w:sz w:val="24"/>
          <w:szCs w:val="24"/>
          <w:lang w:eastAsia="en-NZ"/>
        </w:rPr>
        <w:t>Police investigation</w:t>
      </w:r>
      <w:r w:rsidR="0013412D">
        <w:rPr>
          <w:rFonts w:ascii="Arial" w:eastAsia="Times New Roman" w:hAnsi="Arial" w:cs="Arial"/>
          <w:color w:val="000000"/>
          <w:sz w:val="24"/>
          <w:szCs w:val="24"/>
          <w:lang w:eastAsia="en-NZ"/>
        </w:rPr>
        <w:t xml:space="preserve">.  </w:t>
      </w:r>
      <w:r w:rsidR="0039521C">
        <w:rPr>
          <w:rFonts w:ascii="Arial" w:eastAsia="Times New Roman" w:hAnsi="Arial" w:cs="Arial"/>
          <w:color w:val="000000"/>
          <w:sz w:val="24"/>
          <w:szCs w:val="24"/>
          <w:lang w:eastAsia="en-NZ"/>
        </w:rPr>
        <w:t>Amongst other matters, t</w:t>
      </w:r>
      <w:r w:rsidR="0013412D">
        <w:rPr>
          <w:rFonts w:ascii="Arial" w:eastAsia="Times New Roman" w:hAnsi="Arial" w:cs="Arial"/>
          <w:color w:val="000000"/>
          <w:sz w:val="24"/>
          <w:szCs w:val="24"/>
          <w:lang w:eastAsia="en-NZ"/>
        </w:rPr>
        <w:t>he Committee</w:t>
      </w:r>
      <w:r w:rsidR="00244509">
        <w:rPr>
          <w:rFonts w:ascii="Arial" w:eastAsia="Times New Roman" w:hAnsi="Arial" w:cs="Arial"/>
          <w:color w:val="000000"/>
          <w:sz w:val="24"/>
          <w:szCs w:val="24"/>
          <w:lang w:eastAsia="en-NZ"/>
        </w:rPr>
        <w:t xml:space="preserve"> considered that:</w:t>
      </w:r>
    </w:p>
    <w:p w14:paraId="1BD1EB59" w14:textId="70303724" w:rsidR="00244509" w:rsidRDefault="00244509" w:rsidP="00B00A43">
      <w:pPr>
        <w:numPr>
          <w:ilvl w:val="0"/>
          <w:numId w:val="22"/>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sidRPr="00244509">
        <w:rPr>
          <w:rFonts w:ascii="Arial" w:eastAsia="Times New Roman" w:hAnsi="Arial" w:cs="Arial"/>
          <w:color w:val="000000"/>
          <w:sz w:val="24"/>
          <w:szCs w:val="24"/>
          <w:lang w:eastAsia="en-NZ"/>
        </w:rPr>
        <w:t>the Police’s investigation was deficient because it did not determine whether alleged treatment had been administered as a punishment, despite findings in 2001 by retired High Court judge Sir Rodney Gallen that unmodified ECT had been administered for this purpose</w:t>
      </w:r>
      <w:r>
        <w:rPr>
          <w:rFonts w:ascii="Arial" w:eastAsia="Times New Roman" w:hAnsi="Arial" w:cs="Arial"/>
          <w:color w:val="000000"/>
          <w:sz w:val="24"/>
          <w:szCs w:val="24"/>
          <w:lang w:eastAsia="en-NZ"/>
        </w:rPr>
        <w:t>;</w:t>
      </w:r>
      <w:r>
        <w:rPr>
          <w:rStyle w:val="FootnoteReference"/>
          <w:rFonts w:ascii="Arial" w:eastAsia="Times New Roman" w:hAnsi="Arial" w:cs="Arial"/>
          <w:color w:val="000000"/>
          <w:sz w:val="24"/>
          <w:szCs w:val="24"/>
          <w:lang w:eastAsia="en-NZ"/>
        </w:rPr>
        <w:footnoteReference w:id="216"/>
      </w:r>
      <w:r w:rsidRPr="00244509">
        <w:rPr>
          <w:rFonts w:ascii="Arial" w:eastAsia="Times New Roman" w:hAnsi="Arial" w:cs="Arial"/>
          <w:color w:val="000000"/>
          <w:sz w:val="24"/>
          <w:szCs w:val="24"/>
          <w:lang w:eastAsia="en-NZ"/>
        </w:rPr>
        <w:t xml:space="preserve">  </w:t>
      </w:r>
    </w:p>
    <w:p w14:paraId="336E82A1" w14:textId="60FE0ED7" w:rsidR="00DD7E55" w:rsidRDefault="00244509" w:rsidP="00B00A43">
      <w:pPr>
        <w:numPr>
          <w:ilvl w:val="0"/>
          <w:numId w:val="22"/>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sidRPr="00244509">
        <w:rPr>
          <w:rFonts w:ascii="Arial" w:eastAsia="Times New Roman" w:hAnsi="Arial" w:cs="Arial"/>
          <w:color w:val="000000"/>
          <w:sz w:val="24"/>
          <w:szCs w:val="24"/>
          <w:lang w:eastAsia="en-NZ"/>
        </w:rPr>
        <w:t xml:space="preserve">New Zealand authorities had </w:t>
      </w:r>
      <w:r w:rsidR="005848A3">
        <w:rPr>
          <w:rFonts w:ascii="Arial" w:eastAsia="Times New Roman" w:hAnsi="Arial" w:cs="Arial"/>
          <w:color w:val="000000"/>
          <w:sz w:val="24"/>
          <w:szCs w:val="24"/>
          <w:lang w:eastAsia="en-NZ"/>
        </w:rPr>
        <w:t xml:space="preserve">not </w:t>
      </w:r>
      <w:r w:rsidRPr="00244509">
        <w:rPr>
          <w:rFonts w:ascii="Arial" w:eastAsia="Times New Roman" w:hAnsi="Arial" w:cs="Arial"/>
          <w:color w:val="000000"/>
          <w:sz w:val="24"/>
          <w:szCs w:val="24"/>
          <w:lang w:eastAsia="en-NZ"/>
        </w:rPr>
        <w:t xml:space="preserve">made </w:t>
      </w:r>
      <w:r w:rsidR="005848A3">
        <w:rPr>
          <w:rFonts w:ascii="Arial" w:eastAsia="Times New Roman" w:hAnsi="Arial" w:cs="Arial"/>
          <w:color w:val="000000"/>
          <w:sz w:val="24"/>
          <w:szCs w:val="24"/>
          <w:lang w:eastAsia="en-NZ"/>
        </w:rPr>
        <w:t>“</w:t>
      </w:r>
      <w:r w:rsidRPr="00244509">
        <w:rPr>
          <w:rFonts w:ascii="Arial" w:eastAsia="Times New Roman" w:hAnsi="Arial" w:cs="Arial"/>
          <w:color w:val="000000"/>
          <w:sz w:val="24"/>
          <w:szCs w:val="24"/>
          <w:lang w:eastAsia="en-NZ"/>
        </w:rPr>
        <w:t>consistent efforts to establish the facts of such a sensitive historical issue involving abuse of children in State care”.</w:t>
      </w:r>
      <w:r>
        <w:rPr>
          <w:rStyle w:val="FootnoteReference"/>
          <w:rFonts w:ascii="Arial" w:eastAsia="Times New Roman" w:hAnsi="Arial" w:cs="Arial"/>
          <w:color w:val="000000"/>
          <w:sz w:val="24"/>
          <w:szCs w:val="24"/>
          <w:lang w:eastAsia="en-NZ"/>
        </w:rPr>
        <w:footnoteReference w:id="217"/>
      </w:r>
    </w:p>
    <w:p w14:paraId="7ADFA0FE" w14:textId="41E5C901" w:rsidR="00244509" w:rsidRDefault="00244509" w:rsidP="00B00A43">
      <w:pPr>
        <w:numPr>
          <w:ilvl w:val="0"/>
          <w:numId w:val="22"/>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New Zealand had not provided a convincing explanation of why, as the Police had decided, there was no countervailing public interest in proceeding with a prosecution against Dr Leeks (the Police having also decided that there was unlikely to be sufficient evidence to prosecute </w:t>
      </w:r>
      <w:r w:rsidR="0039521C">
        <w:rPr>
          <w:rFonts w:ascii="Arial" w:eastAsia="Times New Roman" w:hAnsi="Arial" w:cs="Arial"/>
          <w:color w:val="000000"/>
          <w:sz w:val="24"/>
          <w:szCs w:val="24"/>
          <w:lang w:eastAsia="en-NZ"/>
        </w:rPr>
        <w:t>him</w:t>
      </w:r>
      <w:r>
        <w:rPr>
          <w:rFonts w:ascii="Arial" w:eastAsia="Times New Roman" w:hAnsi="Arial" w:cs="Arial"/>
          <w:color w:val="000000"/>
          <w:sz w:val="24"/>
          <w:szCs w:val="24"/>
          <w:lang w:eastAsia="en-NZ"/>
        </w:rPr>
        <w:t xml:space="preserve"> under the Crimes Act 1961 for wilfully ill-treating a child).</w:t>
      </w:r>
      <w:r>
        <w:rPr>
          <w:rStyle w:val="FootnoteReference"/>
          <w:rFonts w:ascii="Arial" w:eastAsia="Times New Roman" w:hAnsi="Arial" w:cs="Arial"/>
          <w:color w:val="000000"/>
          <w:sz w:val="24"/>
          <w:szCs w:val="24"/>
          <w:lang w:eastAsia="en-NZ"/>
        </w:rPr>
        <w:footnoteReference w:id="218"/>
      </w:r>
      <w:r>
        <w:rPr>
          <w:rFonts w:ascii="Arial" w:eastAsia="Times New Roman" w:hAnsi="Arial" w:cs="Arial"/>
          <w:color w:val="000000"/>
          <w:sz w:val="24"/>
          <w:szCs w:val="24"/>
          <w:lang w:eastAsia="en-NZ"/>
        </w:rPr>
        <w:t xml:space="preserve">  In this regard, the Committee considered it significant that the allegations concerned “violence in State care inflicted upon a vulnerable group”.</w:t>
      </w:r>
      <w:r>
        <w:rPr>
          <w:rStyle w:val="FootnoteReference"/>
          <w:rFonts w:ascii="Arial" w:eastAsia="Times New Roman" w:hAnsi="Arial" w:cs="Arial"/>
          <w:color w:val="000000"/>
          <w:sz w:val="24"/>
          <w:szCs w:val="24"/>
          <w:lang w:eastAsia="en-NZ"/>
        </w:rPr>
        <w:footnoteReference w:id="219"/>
      </w:r>
    </w:p>
    <w:p w14:paraId="79415EAD" w14:textId="4CD5D54C" w:rsidR="00244509" w:rsidRDefault="00244509" w:rsidP="00B00A43">
      <w:pPr>
        <w:numPr>
          <w:ilvl w:val="0"/>
          <w:numId w:val="22"/>
        </w:numPr>
        <w:autoSpaceDE w:val="0"/>
        <w:autoSpaceDN w:val="0"/>
        <w:adjustRightInd w:val="0"/>
        <w:spacing w:after="240" w:line="240" w:lineRule="auto"/>
        <w:ind w:left="1134" w:hanging="634"/>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New Zealand authorities had not attempted to determine whether </w:t>
      </w:r>
      <w:r w:rsidR="0039521C">
        <w:rPr>
          <w:rFonts w:ascii="Arial" w:eastAsia="Times New Roman" w:hAnsi="Arial" w:cs="Arial"/>
          <w:color w:val="000000"/>
          <w:sz w:val="24"/>
          <w:szCs w:val="24"/>
          <w:lang w:eastAsia="en-NZ"/>
        </w:rPr>
        <w:t xml:space="preserve">anybody other than Dr Leeks could be prosecuted, which in the Committee’s view raised </w:t>
      </w:r>
      <w:r w:rsidR="000E0E3B">
        <w:rPr>
          <w:rFonts w:ascii="Arial" w:eastAsia="Times New Roman" w:hAnsi="Arial" w:cs="Arial"/>
          <w:color w:val="000000"/>
          <w:sz w:val="24"/>
          <w:szCs w:val="24"/>
          <w:lang w:eastAsia="en-NZ"/>
        </w:rPr>
        <w:t xml:space="preserve">doubts </w:t>
      </w:r>
      <w:r w:rsidR="0039521C">
        <w:rPr>
          <w:rFonts w:ascii="Arial" w:eastAsia="Times New Roman" w:hAnsi="Arial" w:cs="Arial"/>
          <w:color w:val="000000"/>
          <w:sz w:val="24"/>
          <w:szCs w:val="24"/>
          <w:lang w:eastAsia="en-NZ"/>
        </w:rPr>
        <w:t>about the effectiveness of the Police’s investigation.</w:t>
      </w:r>
      <w:r w:rsidR="0039521C">
        <w:rPr>
          <w:rStyle w:val="FootnoteReference"/>
          <w:rFonts w:ascii="Arial" w:eastAsia="Times New Roman" w:hAnsi="Arial" w:cs="Arial"/>
          <w:color w:val="000000"/>
          <w:sz w:val="24"/>
          <w:szCs w:val="24"/>
          <w:lang w:eastAsia="en-NZ"/>
        </w:rPr>
        <w:footnoteReference w:id="220"/>
      </w:r>
      <w:r w:rsidR="0039521C">
        <w:rPr>
          <w:rFonts w:ascii="Arial" w:eastAsia="Times New Roman" w:hAnsi="Arial" w:cs="Arial"/>
          <w:color w:val="000000"/>
          <w:sz w:val="24"/>
          <w:szCs w:val="24"/>
          <w:lang w:eastAsia="en-NZ"/>
        </w:rPr>
        <w:t xml:space="preserve"> </w:t>
      </w:r>
    </w:p>
    <w:p w14:paraId="42E139AC" w14:textId="426490E3" w:rsidR="0039521C" w:rsidRDefault="00E56803" w:rsidP="00E56803">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Earlier in its decision, the Committee referred to the establishment of this Inquiry.  It noted however that the Inquiry has no power to determine criminal liability (and could not therefore replace a Police investigation into Mr </w:t>
      </w:r>
      <w:proofErr w:type="spellStart"/>
      <w:r>
        <w:rPr>
          <w:rFonts w:ascii="Arial" w:eastAsia="Times New Roman" w:hAnsi="Arial" w:cs="Arial"/>
          <w:color w:val="000000"/>
          <w:sz w:val="24"/>
          <w:szCs w:val="24"/>
          <w:lang w:eastAsia="en-NZ"/>
        </w:rPr>
        <w:t>Zentveld’s</w:t>
      </w:r>
      <w:proofErr w:type="spellEnd"/>
      <w:r>
        <w:rPr>
          <w:rFonts w:ascii="Arial" w:eastAsia="Times New Roman" w:hAnsi="Arial" w:cs="Arial"/>
          <w:color w:val="000000"/>
          <w:sz w:val="24"/>
          <w:szCs w:val="24"/>
          <w:lang w:eastAsia="en-NZ"/>
        </w:rPr>
        <w:t xml:space="preserve"> allegations).</w:t>
      </w:r>
      <w:r>
        <w:rPr>
          <w:rStyle w:val="FootnoteReference"/>
          <w:rFonts w:ascii="Arial" w:eastAsia="Times New Roman" w:hAnsi="Arial" w:cs="Arial"/>
          <w:color w:val="000000"/>
          <w:sz w:val="24"/>
          <w:szCs w:val="24"/>
          <w:lang w:eastAsia="en-NZ"/>
        </w:rPr>
        <w:footnoteReference w:id="221"/>
      </w:r>
    </w:p>
    <w:p w14:paraId="337EFCEF" w14:textId="07E3EC85" w:rsidR="00E56803" w:rsidRPr="00345D15" w:rsidRDefault="00E56803" w:rsidP="00345D1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Amongst other matters, the Committee “urged” New Zealand to carry out “a prompt, impartial and independent investigation</w:t>
      </w:r>
      <w:r w:rsidR="00EC5172">
        <w:rPr>
          <w:rFonts w:ascii="Arial" w:eastAsia="Times New Roman" w:hAnsi="Arial" w:cs="Arial"/>
          <w:color w:val="000000"/>
          <w:sz w:val="24"/>
          <w:szCs w:val="24"/>
          <w:lang w:eastAsia="en-NZ"/>
        </w:rPr>
        <w:t xml:space="preserve">” of Mr </w:t>
      </w:r>
      <w:proofErr w:type="spellStart"/>
      <w:r w:rsidR="00EC5172">
        <w:rPr>
          <w:rFonts w:ascii="Arial" w:eastAsia="Times New Roman" w:hAnsi="Arial" w:cs="Arial"/>
          <w:color w:val="000000"/>
          <w:sz w:val="24"/>
          <w:szCs w:val="24"/>
          <w:lang w:eastAsia="en-NZ"/>
        </w:rPr>
        <w:t>Zentveld’s</w:t>
      </w:r>
      <w:proofErr w:type="spellEnd"/>
      <w:r>
        <w:rPr>
          <w:rFonts w:ascii="Arial" w:eastAsia="Times New Roman" w:hAnsi="Arial" w:cs="Arial"/>
          <w:color w:val="000000"/>
          <w:sz w:val="24"/>
          <w:szCs w:val="24"/>
          <w:lang w:eastAsia="en-NZ"/>
        </w:rPr>
        <w:t xml:space="preserve"> allegations </w:t>
      </w:r>
      <w:r w:rsidR="00EC5172">
        <w:rPr>
          <w:rFonts w:ascii="Arial" w:eastAsia="Times New Roman" w:hAnsi="Arial" w:cs="Arial"/>
          <w:color w:val="000000"/>
          <w:sz w:val="24"/>
          <w:szCs w:val="24"/>
          <w:lang w:eastAsia="en-NZ"/>
        </w:rPr>
        <w:t>and “</w:t>
      </w:r>
      <w:r>
        <w:rPr>
          <w:rFonts w:ascii="Arial" w:eastAsia="Times New Roman" w:hAnsi="Arial" w:cs="Arial"/>
          <w:color w:val="000000"/>
          <w:sz w:val="24"/>
          <w:szCs w:val="24"/>
          <w:lang w:eastAsia="en-NZ"/>
        </w:rPr>
        <w:t>where appropriate, the filing of specific torture and/or ill-treatment charges against perpetrators […].”</w:t>
      </w:r>
      <w:r>
        <w:rPr>
          <w:rStyle w:val="FootnoteReference"/>
          <w:rFonts w:ascii="Arial" w:eastAsia="Times New Roman" w:hAnsi="Arial" w:cs="Arial"/>
          <w:color w:val="000000"/>
          <w:sz w:val="24"/>
          <w:szCs w:val="24"/>
          <w:lang w:eastAsia="en-NZ"/>
        </w:rPr>
        <w:footnoteReference w:id="222"/>
      </w:r>
      <w:r>
        <w:rPr>
          <w:rFonts w:ascii="Arial" w:eastAsia="Times New Roman" w:hAnsi="Arial" w:cs="Arial"/>
          <w:color w:val="000000"/>
          <w:sz w:val="24"/>
          <w:szCs w:val="24"/>
          <w:lang w:eastAsia="en-NZ"/>
        </w:rPr>
        <w:t xml:space="preserve">  It also urged New Zealand to provide Mr </w:t>
      </w:r>
      <w:proofErr w:type="spellStart"/>
      <w:r>
        <w:rPr>
          <w:rFonts w:ascii="Arial" w:eastAsia="Times New Roman" w:hAnsi="Arial" w:cs="Arial"/>
          <w:color w:val="000000"/>
          <w:sz w:val="24"/>
          <w:szCs w:val="24"/>
          <w:lang w:eastAsia="en-NZ"/>
        </w:rPr>
        <w:t>Zentveld</w:t>
      </w:r>
      <w:proofErr w:type="spellEnd"/>
      <w:r>
        <w:rPr>
          <w:rFonts w:ascii="Arial" w:eastAsia="Times New Roman" w:hAnsi="Arial" w:cs="Arial"/>
          <w:color w:val="000000"/>
          <w:sz w:val="24"/>
          <w:szCs w:val="24"/>
          <w:lang w:eastAsia="en-NZ"/>
        </w:rPr>
        <w:t xml:space="preserve"> with </w:t>
      </w:r>
      <w:r w:rsidR="00EC5172">
        <w:rPr>
          <w:rFonts w:ascii="Arial" w:eastAsia="Times New Roman" w:hAnsi="Arial" w:cs="Arial"/>
          <w:color w:val="000000"/>
          <w:sz w:val="24"/>
          <w:szCs w:val="24"/>
          <w:lang w:eastAsia="en-NZ"/>
        </w:rPr>
        <w:t>“</w:t>
      </w:r>
      <w:r>
        <w:rPr>
          <w:rFonts w:ascii="Arial" w:eastAsia="Times New Roman" w:hAnsi="Arial" w:cs="Arial"/>
          <w:color w:val="000000"/>
          <w:sz w:val="24"/>
          <w:szCs w:val="24"/>
          <w:lang w:eastAsia="en-NZ"/>
        </w:rPr>
        <w:t xml:space="preserve">appropriate </w:t>
      </w:r>
      <w:r w:rsidR="00EC5172">
        <w:rPr>
          <w:rFonts w:ascii="Arial" w:eastAsia="Times New Roman" w:hAnsi="Arial" w:cs="Arial"/>
          <w:color w:val="000000"/>
          <w:sz w:val="24"/>
          <w:szCs w:val="24"/>
          <w:lang w:eastAsia="en-NZ"/>
        </w:rPr>
        <w:t>redress, including fair compensation and access to the truth, in line with the outcome of the investigation”.</w:t>
      </w:r>
      <w:r w:rsidR="00EC5172">
        <w:rPr>
          <w:rStyle w:val="FootnoteReference"/>
          <w:rFonts w:ascii="Arial" w:eastAsia="Times New Roman" w:hAnsi="Arial" w:cs="Arial"/>
          <w:color w:val="000000"/>
          <w:sz w:val="24"/>
          <w:szCs w:val="24"/>
          <w:lang w:eastAsia="en-NZ"/>
        </w:rPr>
        <w:footnoteReference w:id="223"/>
      </w:r>
    </w:p>
    <w:p w14:paraId="5959DE40" w14:textId="77777777" w:rsidR="00322005" w:rsidRPr="003112B5" w:rsidRDefault="00322005" w:rsidP="00345D15">
      <w:pPr>
        <w:keepNext/>
        <w:autoSpaceDE w:val="0"/>
        <w:autoSpaceDN w:val="0"/>
        <w:adjustRightInd w:val="0"/>
        <w:spacing w:after="240" w:line="240" w:lineRule="auto"/>
        <w:jc w:val="both"/>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lastRenderedPageBreak/>
        <w:t>CERD</w:t>
      </w:r>
    </w:p>
    <w:p w14:paraId="67B01789" w14:textId="20F57D08" w:rsidR="00322005" w:rsidRPr="003112B5" w:rsidRDefault="00322005" w:rsidP="00DD7E5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 2017</w:t>
      </w:r>
      <w:r w:rsidR="00F846B7">
        <w:rPr>
          <w:rFonts w:ascii="Arial" w:eastAsia="Times New Roman" w:hAnsi="Arial" w:cs="Arial"/>
          <w:color w:val="000000"/>
          <w:sz w:val="24"/>
          <w:szCs w:val="24"/>
          <w:lang w:eastAsia="en-NZ"/>
        </w:rPr>
        <w:t>,</w:t>
      </w:r>
      <w:r w:rsidRPr="003112B5">
        <w:rPr>
          <w:rFonts w:ascii="Arial" w:eastAsia="Times New Roman" w:hAnsi="Arial" w:cs="Arial"/>
          <w:color w:val="000000"/>
          <w:sz w:val="24"/>
          <w:szCs w:val="24"/>
          <w:lang w:eastAsia="en-NZ"/>
        </w:rPr>
        <w:t xml:space="preserve"> the Committee on the Elimination of Racial Discrimination stated that it was alarmed about allegations of abuse of children in foster and state care, noting that the majority of children in care over the relevant period were Māori.  The Committee stated its understanding that New Zealand intended to compensate victims, but went on to say that it was concerned the approach being taken would not expose any systemic problems.  It recommended that New Zealand establish an independent inquiry into alleged abuse in State care of children and adults with disabilities from 1950 to 1990.  It also recommended that the inquiry have the power to “determine redress, rehabilitation and reparations for victims, including an apology from the State party”.</w:t>
      </w:r>
      <w:r w:rsidRPr="003112B5">
        <w:rPr>
          <w:rStyle w:val="FootnoteReference"/>
          <w:rFonts w:ascii="Arial" w:eastAsia="Times New Roman" w:hAnsi="Arial" w:cs="Arial"/>
          <w:color w:val="000000"/>
          <w:sz w:val="24"/>
          <w:szCs w:val="24"/>
          <w:lang w:eastAsia="en-NZ"/>
        </w:rPr>
        <w:footnoteReference w:id="224"/>
      </w:r>
      <w:r w:rsidRPr="003112B5">
        <w:rPr>
          <w:rFonts w:ascii="Arial" w:eastAsia="Times New Roman" w:hAnsi="Arial" w:cs="Arial"/>
          <w:color w:val="000000"/>
          <w:sz w:val="24"/>
          <w:szCs w:val="24"/>
          <w:lang w:eastAsia="en-NZ"/>
        </w:rPr>
        <w:t xml:space="preserve">  Further, the Committee recommended that New Zealand adopt effective measures to reduce the numbers of Māori and Pasifika children in State care, including by implementing a “whanau-first” placement policy for Māori children.</w:t>
      </w:r>
      <w:r w:rsidRPr="003112B5">
        <w:rPr>
          <w:rStyle w:val="FootnoteReference"/>
          <w:rFonts w:ascii="Arial" w:eastAsia="Times New Roman" w:hAnsi="Arial" w:cs="Arial"/>
          <w:color w:val="000000"/>
          <w:sz w:val="24"/>
          <w:szCs w:val="24"/>
          <w:lang w:eastAsia="en-NZ"/>
        </w:rPr>
        <w:footnoteReference w:id="225"/>
      </w:r>
    </w:p>
    <w:p w14:paraId="6983DE40" w14:textId="77777777" w:rsidR="00322005" w:rsidRPr="003112B5" w:rsidRDefault="00322005" w:rsidP="00DD7E5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New Zealand’s response to those recommendations included reference to the establishment of this Inquiry and the Inquiry’s then draft terms of reference, as well as stating that the Inquiry will make recommendations on redress.</w:t>
      </w:r>
      <w:r w:rsidRPr="003112B5">
        <w:rPr>
          <w:rStyle w:val="FootnoteReference"/>
          <w:rFonts w:ascii="Arial" w:eastAsia="Times New Roman" w:hAnsi="Arial" w:cs="Arial"/>
          <w:color w:val="000000"/>
          <w:sz w:val="24"/>
          <w:szCs w:val="24"/>
          <w:lang w:eastAsia="en-NZ"/>
        </w:rPr>
        <w:footnoteReference w:id="226"/>
      </w:r>
      <w:r w:rsidRPr="003112B5">
        <w:rPr>
          <w:rFonts w:ascii="Arial" w:eastAsia="Times New Roman" w:hAnsi="Arial" w:cs="Arial"/>
          <w:color w:val="000000"/>
          <w:sz w:val="24"/>
          <w:szCs w:val="24"/>
          <w:lang w:eastAsia="en-NZ"/>
        </w:rPr>
        <w:t xml:space="preserve">  The response also referred to the establishment of Oranga Tamariki, and goals and obligations of Oranga Tamariki in relation to Māori and Pasifika children.</w:t>
      </w:r>
      <w:r w:rsidRPr="003112B5">
        <w:rPr>
          <w:rStyle w:val="FootnoteReference"/>
          <w:rFonts w:ascii="Arial" w:eastAsia="Times New Roman" w:hAnsi="Arial" w:cs="Arial"/>
          <w:color w:val="000000"/>
          <w:sz w:val="24"/>
          <w:szCs w:val="24"/>
          <w:lang w:eastAsia="en-NZ"/>
        </w:rPr>
        <w:footnoteReference w:id="227"/>
      </w:r>
    </w:p>
    <w:p w14:paraId="02F22448" w14:textId="77777777" w:rsidR="00322005" w:rsidRPr="003112B5" w:rsidRDefault="00322005" w:rsidP="00322005">
      <w:pPr>
        <w:autoSpaceDE w:val="0"/>
        <w:autoSpaceDN w:val="0"/>
        <w:adjustRightInd w:val="0"/>
        <w:spacing w:after="240" w:line="240" w:lineRule="auto"/>
        <w:jc w:val="both"/>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CRPD</w:t>
      </w:r>
    </w:p>
    <w:p w14:paraId="39B9804A" w14:textId="77777777" w:rsidR="00E91F35" w:rsidRDefault="00322005" w:rsidP="00DD7E5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In 2018 the Committee on the Rights of Persons with Disabilities requested that New Zealand provide it with information about steps it was taking to prevent abuse in State care, address complaints and provide redress for survivors of historic abuse in State care.  It also asked New Zealand to advise the Committee of any criminal investigations carried out in relation to allegations of abuse in State care.</w:t>
      </w:r>
      <w:r w:rsidRPr="003112B5">
        <w:rPr>
          <w:rStyle w:val="FootnoteReference"/>
          <w:rFonts w:ascii="Arial" w:eastAsia="Times New Roman" w:hAnsi="Arial" w:cs="Arial"/>
          <w:color w:val="000000"/>
          <w:sz w:val="24"/>
          <w:szCs w:val="24"/>
          <w:lang w:eastAsia="en-NZ"/>
        </w:rPr>
        <w:footnoteReference w:id="228"/>
      </w:r>
      <w:r w:rsidRPr="003112B5">
        <w:rPr>
          <w:rFonts w:ascii="Arial" w:eastAsia="Times New Roman" w:hAnsi="Arial" w:cs="Arial"/>
          <w:color w:val="000000"/>
          <w:sz w:val="24"/>
          <w:szCs w:val="24"/>
          <w:lang w:eastAsia="en-NZ"/>
        </w:rPr>
        <w:t xml:space="preserve">  </w:t>
      </w:r>
    </w:p>
    <w:p w14:paraId="1E668845" w14:textId="5D41A08F" w:rsidR="00322005" w:rsidRPr="003112B5" w:rsidRDefault="00322005" w:rsidP="00DD7E5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New Zealand’s response referred to this Inquiry’s establishment, and to the Health and Disability Commissioner, the Office of the Ombudsman, and the Office of the Inspectorate.  It was not able to advise the Committee of any relevant criminal investigations, including because its data did not differentiate complaints about abuse in state care from investigations relating to historic physical or sexual abuse.</w:t>
      </w:r>
      <w:r w:rsidRPr="003112B5">
        <w:rPr>
          <w:rStyle w:val="FootnoteReference"/>
          <w:rFonts w:ascii="Arial" w:eastAsia="Times New Roman" w:hAnsi="Arial" w:cs="Arial"/>
          <w:color w:val="000000"/>
          <w:sz w:val="24"/>
          <w:szCs w:val="24"/>
          <w:lang w:eastAsia="en-NZ"/>
        </w:rPr>
        <w:footnoteReference w:id="229"/>
      </w:r>
    </w:p>
    <w:p w14:paraId="5E8675B1" w14:textId="77777777" w:rsidR="00322005" w:rsidRPr="003112B5" w:rsidRDefault="00322005" w:rsidP="00322005">
      <w:pPr>
        <w:autoSpaceDE w:val="0"/>
        <w:autoSpaceDN w:val="0"/>
        <w:adjustRightInd w:val="0"/>
        <w:spacing w:after="240" w:line="240" w:lineRule="auto"/>
        <w:jc w:val="both"/>
        <w:rPr>
          <w:rFonts w:ascii="Arial" w:eastAsia="Times New Roman" w:hAnsi="Arial" w:cs="Arial"/>
          <w:b/>
          <w:bCs/>
          <w:color w:val="000000"/>
          <w:sz w:val="24"/>
          <w:szCs w:val="24"/>
          <w:lang w:eastAsia="en-NZ"/>
        </w:rPr>
      </w:pPr>
      <w:r w:rsidRPr="003112B5">
        <w:rPr>
          <w:rFonts w:ascii="Arial" w:eastAsia="Times New Roman" w:hAnsi="Arial" w:cs="Arial"/>
          <w:b/>
          <w:bCs/>
          <w:color w:val="000000"/>
          <w:sz w:val="24"/>
          <w:szCs w:val="24"/>
          <w:lang w:eastAsia="en-NZ"/>
        </w:rPr>
        <w:t>ICESCR</w:t>
      </w:r>
    </w:p>
    <w:p w14:paraId="2B556C04" w14:textId="675DE1BD" w:rsidR="000A5762" w:rsidRPr="003112B5" w:rsidRDefault="00322005" w:rsidP="00345D15">
      <w:pPr>
        <w:numPr>
          <w:ilvl w:val="0"/>
          <w:numId w:val="17"/>
        </w:numPr>
        <w:autoSpaceDE w:val="0"/>
        <w:autoSpaceDN w:val="0"/>
        <w:adjustRightInd w:val="0"/>
        <w:spacing w:after="240" w:line="240" w:lineRule="auto"/>
        <w:ind w:left="500" w:hanging="500"/>
        <w:jc w:val="both"/>
        <w:rPr>
          <w:rFonts w:ascii="Arial" w:eastAsia="Times New Roman" w:hAnsi="Arial" w:cs="Arial"/>
          <w:color w:val="000000"/>
          <w:sz w:val="24"/>
          <w:szCs w:val="24"/>
          <w:lang w:eastAsia="en-NZ"/>
        </w:rPr>
      </w:pPr>
      <w:r w:rsidRPr="003112B5">
        <w:rPr>
          <w:rFonts w:ascii="Arial" w:eastAsia="Times New Roman" w:hAnsi="Arial" w:cs="Arial"/>
          <w:color w:val="000000"/>
          <w:sz w:val="24"/>
          <w:szCs w:val="24"/>
          <w:lang w:eastAsia="en-NZ"/>
        </w:rPr>
        <w:t xml:space="preserve">Also in 2018, the Committee on Economic, Social and Cultural Rights expressed concern that allegations of abuse against children in State care had not been effectively investigated.  It recommended that New Zealand ensure that this </w:t>
      </w:r>
      <w:r w:rsidRPr="003112B5">
        <w:rPr>
          <w:rFonts w:ascii="Arial" w:eastAsia="Times New Roman" w:hAnsi="Arial" w:cs="Arial"/>
          <w:color w:val="000000"/>
          <w:sz w:val="24"/>
          <w:szCs w:val="24"/>
          <w:lang w:eastAsia="en-NZ"/>
        </w:rPr>
        <w:lastRenderedPageBreak/>
        <w:t>occur, that it “operationalize” this Inquiry, and that it ensure the Inquiry had the necessary resources to carry out its mandate efficiently.</w:t>
      </w:r>
      <w:r w:rsidRPr="003112B5">
        <w:rPr>
          <w:rStyle w:val="FootnoteReference"/>
          <w:rFonts w:ascii="Arial" w:eastAsia="Times New Roman" w:hAnsi="Arial" w:cs="Arial"/>
          <w:color w:val="000000"/>
          <w:sz w:val="24"/>
          <w:szCs w:val="24"/>
          <w:lang w:eastAsia="en-NZ"/>
        </w:rPr>
        <w:footnoteReference w:id="230"/>
      </w:r>
    </w:p>
    <w:sectPr w:rsidR="000A5762" w:rsidRPr="003112B5" w:rsidSect="00E72D0E">
      <w:footerReference w:type="default" r:id="rId9"/>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85320" w14:textId="77777777" w:rsidR="00882E86" w:rsidRDefault="00882E86" w:rsidP="003779A5">
      <w:pPr>
        <w:spacing w:after="0" w:line="240" w:lineRule="auto"/>
      </w:pPr>
      <w:r>
        <w:separator/>
      </w:r>
    </w:p>
  </w:endnote>
  <w:endnote w:type="continuationSeparator" w:id="0">
    <w:p w14:paraId="66719340" w14:textId="77777777" w:rsidR="00882E86" w:rsidRDefault="00882E86" w:rsidP="0037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84020"/>
      <w:docPartObj>
        <w:docPartGallery w:val="Page Numbers (Bottom of Page)"/>
        <w:docPartUnique/>
      </w:docPartObj>
    </w:sdtPr>
    <w:sdtEndPr>
      <w:rPr>
        <w:noProof/>
      </w:rPr>
    </w:sdtEndPr>
    <w:sdtContent>
      <w:p w14:paraId="1A60D84D" w14:textId="6A2B268F" w:rsidR="00DF4D1E" w:rsidRDefault="00DF4D1E">
        <w:pPr>
          <w:pStyle w:val="Footer"/>
          <w:jc w:val="right"/>
        </w:pPr>
        <w:r w:rsidRPr="003B042C">
          <w:rPr>
            <w:rFonts w:ascii="Arial" w:hAnsi="Arial" w:cs="Arial"/>
            <w:sz w:val="20"/>
            <w:szCs w:val="20"/>
          </w:rPr>
          <w:fldChar w:fldCharType="begin"/>
        </w:r>
        <w:r w:rsidRPr="003B042C">
          <w:rPr>
            <w:rFonts w:ascii="Arial" w:hAnsi="Arial" w:cs="Arial"/>
            <w:sz w:val="20"/>
            <w:szCs w:val="20"/>
          </w:rPr>
          <w:instrText xml:space="preserve"> PAGE   \* MERGEFORMAT </w:instrText>
        </w:r>
        <w:r w:rsidRPr="003B042C">
          <w:rPr>
            <w:rFonts w:ascii="Arial" w:hAnsi="Arial" w:cs="Arial"/>
            <w:sz w:val="20"/>
            <w:szCs w:val="20"/>
          </w:rPr>
          <w:fldChar w:fldCharType="separate"/>
        </w:r>
        <w:r w:rsidRPr="003B042C">
          <w:rPr>
            <w:rFonts w:ascii="Arial" w:hAnsi="Arial" w:cs="Arial"/>
            <w:noProof/>
            <w:sz w:val="20"/>
            <w:szCs w:val="20"/>
          </w:rPr>
          <w:t>2</w:t>
        </w:r>
        <w:r w:rsidRPr="003B042C">
          <w:rPr>
            <w:rFonts w:ascii="Arial" w:hAnsi="Arial" w:cs="Arial"/>
            <w:noProof/>
            <w:sz w:val="20"/>
            <w:szCs w:val="20"/>
          </w:rPr>
          <w:fldChar w:fldCharType="end"/>
        </w:r>
      </w:p>
    </w:sdtContent>
  </w:sdt>
  <w:p w14:paraId="0BC0763B" w14:textId="77777777" w:rsidR="00DF4D1E" w:rsidRDefault="00DF4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96F84" w14:textId="77777777" w:rsidR="00882E86" w:rsidRDefault="00882E86" w:rsidP="003779A5">
      <w:pPr>
        <w:spacing w:after="0" w:line="240" w:lineRule="auto"/>
      </w:pPr>
      <w:r>
        <w:separator/>
      </w:r>
    </w:p>
  </w:footnote>
  <w:footnote w:type="continuationSeparator" w:id="0">
    <w:p w14:paraId="545037B9" w14:textId="77777777" w:rsidR="00882E86" w:rsidRDefault="00882E86" w:rsidP="003779A5">
      <w:pPr>
        <w:spacing w:after="0" w:line="240" w:lineRule="auto"/>
      </w:pPr>
      <w:r>
        <w:continuationSeparator/>
      </w:r>
    </w:p>
  </w:footnote>
  <w:footnote w:id="1">
    <w:p w14:paraId="64ECC043" w14:textId="4657C1D7" w:rsidR="00DF4D1E" w:rsidRPr="00C55C28" w:rsidRDefault="00DF4D1E" w:rsidP="00BF40C6">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050043">
        <w:rPr>
          <w:rFonts w:ascii="Arial" w:hAnsi="Arial" w:cs="Arial"/>
          <w:sz w:val="18"/>
          <w:szCs w:val="18"/>
        </w:rPr>
        <w:tab/>
      </w:r>
      <w:r w:rsidRPr="00C55C28">
        <w:rPr>
          <w:rFonts w:ascii="Arial" w:hAnsi="Arial" w:cs="Arial"/>
          <w:sz w:val="18"/>
          <w:szCs w:val="18"/>
        </w:rPr>
        <w:t>Royal Commission of Inquiry into Historical Abuse in State Care and in the Care of Faith-based Institutions Order 2018, cl 16.</w:t>
      </w:r>
    </w:p>
  </w:footnote>
  <w:footnote w:id="2">
    <w:p w14:paraId="244EF2E0" w14:textId="63E902FB"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050043">
        <w:rPr>
          <w:rFonts w:ascii="Arial" w:hAnsi="Arial" w:cs="Arial"/>
          <w:sz w:val="18"/>
          <w:szCs w:val="18"/>
        </w:rPr>
        <w:tab/>
      </w:r>
      <w:r w:rsidRPr="00C55C28">
        <w:rPr>
          <w:rFonts w:ascii="Arial" w:hAnsi="Arial" w:cs="Arial"/>
          <w:sz w:val="18"/>
          <w:szCs w:val="18"/>
        </w:rPr>
        <w:t xml:space="preserve">Clauses 10.1(a)-(c).  </w:t>
      </w:r>
    </w:p>
  </w:footnote>
  <w:footnote w:id="3">
    <w:p w14:paraId="52BC3D0D" w14:textId="120F0A8E"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1A67D0">
        <w:rPr>
          <w:rFonts w:ascii="Arial" w:hAnsi="Arial" w:cs="Arial"/>
          <w:sz w:val="18"/>
          <w:szCs w:val="18"/>
        </w:rPr>
        <w:tab/>
      </w:r>
      <w:r w:rsidRPr="00C55C28">
        <w:rPr>
          <w:rFonts w:ascii="Arial" w:hAnsi="Arial" w:cs="Arial"/>
          <w:sz w:val="18"/>
          <w:szCs w:val="18"/>
        </w:rPr>
        <w:t xml:space="preserve">See for example Dinah Shelton </w:t>
      </w:r>
      <w:r w:rsidRPr="00C55C28">
        <w:rPr>
          <w:rFonts w:ascii="Arial" w:hAnsi="Arial" w:cs="Arial"/>
          <w:i/>
          <w:iCs/>
          <w:sz w:val="18"/>
          <w:szCs w:val="18"/>
        </w:rPr>
        <w:t xml:space="preserve">Remedies in International Human Rights Law </w:t>
      </w:r>
      <w:r w:rsidRPr="00C55C28">
        <w:rPr>
          <w:rFonts w:ascii="Arial" w:hAnsi="Arial" w:cs="Arial"/>
          <w:sz w:val="18"/>
          <w:szCs w:val="18"/>
        </w:rPr>
        <w:t>(3</w:t>
      </w:r>
      <w:r w:rsidRPr="00C55C28">
        <w:rPr>
          <w:rFonts w:ascii="Arial" w:hAnsi="Arial" w:cs="Arial"/>
          <w:sz w:val="18"/>
          <w:szCs w:val="18"/>
          <w:vertAlign w:val="superscript"/>
        </w:rPr>
        <w:t>rd</w:t>
      </w:r>
      <w:r w:rsidRPr="00C55C28">
        <w:rPr>
          <w:rFonts w:ascii="Arial" w:hAnsi="Arial" w:cs="Arial"/>
          <w:sz w:val="18"/>
          <w:szCs w:val="18"/>
        </w:rPr>
        <w:t xml:space="preserve"> ed, Oxford University Press, New York, 2015), who states at 17 that “[b]</w:t>
      </w:r>
      <w:proofErr w:type="spellStart"/>
      <w:r w:rsidRPr="00C55C28">
        <w:rPr>
          <w:rFonts w:ascii="Arial" w:hAnsi="Arial" w:cs="Arial"/>
          <w:sz w:val="18"/>
          <w:szCs w:val="18"/>
        </w:rPr>
        <w:t>oth</w:t>
      </w:r>
      <w:proofErr w:type="spellEnd"/>
      <w:r w:rsidRPr="00C55C28">
        <w:rPr>
          <w:rFonts w:ascii="Arial" w:hAnsi="Arial" w:cs="Arial"/>
          <w:sz w:val="18"/>
          <w:szCs w:val="18"/>
        </w:rPr>
        <w:t xml:space="preserve"> the right of access to justice and to substantive redress are now widely recognized. […]  Not everyone agrees, however, that substantive redress is a requirement of human rights law. […] [H]</w:t>
      </w:r>
      <w:proofErr w:type="spellStart"/>
      <w:r w:rsidRPr="00C55C28">
        <w:rPr>
          <w:rFonts w:ascii="Arial" w:hAnsi="Arial" w:cs="Arial"/>
          <w:sz w:val="18"/>
          <w:szCs w:val="18"/>
        </w:rPr>
        <w:t>uman</w:t>
      </w:r>
      <w:proofErr w:type="spellEnd"/>
      <w:r w:rsidRPr="00C55C28">
        <w:rPr>
          <w:rFonts w:ascii="Arial" w:hAnsi="Arial" w:cs="Arial"/>
          <w:sz w:val="18"/>
          <w:szCs w:val="18"/>
        </w:rPr>
        <w:t xml:space="preserve"> rights tribunals insist on remedies that are real, adequate and effective. It is less clear that ‘full’ or ‘integral’ reparations are always required.”</w:t>
      </w:r>
    </w:p>
  </w:footnote>
  <w:footnote w:id="4">
    <w:p w14:paraId="2ED5D63B" w14:textId="2902BBB4"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Note in this regard the discussion of “continuing violations” at</w:t>
      </w:r>
      <w:r>
        <w:rPr>
          <w:rFonts w:ascii="Arial" w:hAnsi="Arial" w:cs="Arial"/>
          <w:sz w:val="18"/>
          <w:szCs w:val="18"/>
        </w:rPr>
        <w:t xml:space="preserve"> </w:t>
      </w:r>
      <w:r w:rsidRPr="003268A5">
        <w:rPr>
          <w:rFonts w:ascii="Arial" w:hAnsi="Arial" w:cs="Arial"/>
          <w:sz w:val="18"/>
          <w:szCs w:val="18"/>
        </w:rPr>
        <w:t>[42]</w:t>
      </w:r>
      <w:r w:rsidRPr="00C55C28">
        <w:rPr>
          <w:rFonts w:ascii="Arial" w:hAnsi="Arial" w:cs="Arial"/>
          <w:sz w:val="18"/>
          <w:szCs w:val="18"/>
        </w:rPr>
        <w:t xml:space="preserve"> of the main text below</w:t>
      </w:r>
      <w:r>
        <w:rPr>
          <w:rFonts w:ascii="Arial" w:hAnsi="Arial" w:cs="Arial"/>
          <w:sz w:val="18"/>
          <w:szCs w:val="18"/>
        </w:rPr>
        <w:t>.  See also footnote 43 below</w:t>
      </w:r>
      <w:r w:rsidRPr="00C55C28">
        <w:rPr>
          <w:rFonts w:ascii="Arial" w:hAnsi="Arial" w:cs="Arial"/>
          <w:sz w:val="18"/>
          <w:szCs w:val="18"/>
        </w:rPr>
        <w:t>.</w:t>
      </w:r>
    </w:p>
  </w:footnote>
  <w:footnote w:id="5">
    <w:p w14:paraId="77DE56B2" w14:textId="68E7B3C4"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Pr>
          <w:rFonts w:ascii="Arial" w:hAnsi="Arial" w:cs="Arial"/>
          <w:sz w:val="18"/>
          <w:szCs w:val="18"/>
        </w:rPr>
        <w:t>Human Rights Commission “International Reporting” &lt;www.hrc.co.nz&gt;</w:t>
      </w:r>
      <w:r w:rsidRPr="00C55C28">
        <w:rPr>
          <w:rFonts w:ascii="Arial" w:hAnsi="Arial" w:cs="Arial"/>
          <w:sz w:val="18"/>
          <w:szCs w:val="18"/>
        </w:rPr>
        <w:t xml:space="preserve">. </w:t>
      </w:r>
    </w:p>
  </w:footnote>
  <w:footnote w:id="6">
    <w:p w14:paraId="626E41F2" w14:textId="1BE85C11"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Hurst </w:t>
      </w:r>
      <w:proofErr w:type="spellStart"/>
      <w:r w:rsidRPr="00C55C28">
        <w:rPr>
          <w:rFonts w:ascii="Arial" w:hAnsi="Arial" w:cs="Arial"/>
          <w:sz w:val="18"/>
          <w:szCs w:val="18"/>
        </w:rPr>
        <w:t>Hannum</w:t>
      </w:r>
      <w:proofErr w:type="spellEnd"/>
      <w:r w:rsidRPr="00C55C28">
        <w:rPr>
          <w:rFonts w:ascii="Arial" w:hAnsi="Arial" w:cs="Arial"/>
          <w:sz w:val="18"/>
          <w:szCs w:val="18"/>
        </w:rPr>
        <w:t xml:space="preserve"> “The UDHR in National and International Law” (1998) 3(2) Health and Human Rights: An International Journal 144 at 147.  </w:t>
      </w:r>
    </w:p>
  </w:footnote>
  <w:footnote w:id="7">
    <w:p w14:paraId="3AE4BA14" w14:textId="7394D2F4"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At 147. </w:t>
      </w:r>
    </w:p>
  </w:footnote>
  <w:footnote w:id="8">
    <w:p w14:paraId="73C370F2" w14:textId="2F6DDE71"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UDHR</w:t>
      </w:r>
      <w:r>
        <w:rPr>
          <w:rFonts w:ascii="Arial" w:hAnsi="Arial" w:cs="Arial"/>
          <w:sz w:val="18"/>
          <w:szCs w:val="18"/>
        </w:rPr>
        <w:t>, Preamble</w:t>
      </w:r>
      <w:r w:rsidRPr="00C55C28">
        <w:rPr>
          <w:rFonts w:ascii="Arial" w:hAnsi="Arial" w:cs="Arial"/>
          <w:sz w:val="18"/>
          <w:szCs w:val="18"/>
        </w:rPr>
        <w:t xml:space="preserve">. </w:t>
      </w:r>
    </w:p>
  </w:footnote>
  <w:footnote w:id="9">
    <w:p w14:paraId="47498C15" w14:textId="24FB5C03"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See for example </w:t>
      </w:r>
      <w:proofErr w:type="spellStart"/>
      <w:r w:rsidRPr="00C55C28">
        <w:rPr>
          <w:rFonts w:ascii="Arial" w:hAnsi="Arial" w:cs="Arial"/>
          <w:sz w:val="18"/>
          <w:szCs w:val="18"/>
        </w:rPr>
        <w:t>Hannum</w:t>
      </w:r>
      <w:proofErr w:type="spellEnd"/>
      <w:r w:rsidRPr="00C55C28">
        <w:rPr>
          <w:rFonts w:ascii="Arial" w:hAnsi="Arial" w:cs="Arial"/>
          <w:sz w:val="18"/>
          <w:szCs w:val="18"/>
        </w:rPr>
        <w:t>, above n</w:t>
      </w:r>
      <w:r>
        <w:rPr>
          <w:rFonts w:ascii="Arial" w:hAnsi="Arial" w:cs="Arial"/>
          <w:sz w:val="18"/>
          <w:szCs w:val="18"/>
        </w:rPr>
        <w:t xml:space="preserve"> 6</w:t>
      </w:r>
      <w:r w:rsidRPr="00C55C28">
        <w:rPr>
          <w:rFonts w:ascii="Arial" w:hAnsi="Arial" w:cs="Arial"/>
          <w:sz w:val="18"/>
          <w:szCs w:val="18"/>
        </w:rPr>
        <w:t>, at 147-149.</w:t>
      </w:r>
    </w:p>
  </w:footnote>
  <w:footnote w:id="10">
    <w:p w14:paraId="50D50946" w14:textId="5A059317"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For an explanation of customary international law, see James Crawford </w:t>
      </w:r>
      <w:proofErr w:type="spellStart"/>
      <w:r w:rsidRPr="00C55C28">
        <w:rPr>
          <w:rFonts w:ascii="Arial" w:hAnsi="Arial" w:cs="Arial"/>
          <w:i/>
          <w:iCs/>
          <w:sz w:val="18"/>
          <w:szCs w:val="18"/>
        </w:rPr>
        <w:t>Brownlie’s</w:t>
      </w:r>
      <w:proofErr w:type="spellEnd"/>
      <w:r w:rsidRPr="00C55C28">
        <w:rPr>
          <w:rFonts w:ascii="Arial" w:hAnsi="Arial" w:cs="Arial"/>
          <w:i/>
          <w:iCs/>
          <w:sz w:val="18"/>
          <w:szCs w:val="18"/>
        </w:rPr>
        <w:t xml:space="preserve"> Principles of Public International Law </w:t>
      </w:r>
      <w:r w:rsidRPr="00C55C28">
        <w:rPr>
          <w:rFonts w:ascii="Arial" w:hAnsi="Arial" w:cs="Arial"/>
          <w:sz w:val="18"/>
          <w:szCs w:val="18"/>
        </w:rPr>
        <w:t>(8</w:t>
      </w:r>
      <w:r w:rsidRPr="00C55C28">
        <w:rPr>
          <w:rFonts w:ascii="Arial" w:hAnsi="Arial" w:cs="Arial"/>
          <w:sz w:val="18"/>
          <w:szCs w:val="18"/>
          <w:vertAlign w:val="superscript"/>
        </w:rPr>
        <w:t>th</w:t>
      </w:r>
      <w:r w:rsidRPr="00C55C28">
        <w:rPr>
          <w:rFonts w:ascii="Arial" w:hAnsi="Arial" w:cs="Arial"/>
          <w:sz w:val="18"/>
          <w:szCs w:val="18"/>
        </w:rPr>
        <w:t xml:space="preserve"> ed, Oxford University Press, Great Britain, 2012) at 23-30.</w:t>
      </w:r>
    </w:p>
  </w:footnote>
  <w:footnote w:id="11">
    <w:p w14:paraId="6C65C164" w14:textId="3DDF31A9"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Declaration of Basic Principles of Justice for Victims of Crime and Abuse of Power</w:t>
      </w:r>
      <w:r>
        <w:rPr>
          <w:rFonts w:ascii="Arial" w:hAnsi="Arial" w:cs="Arial"/>
          <w:sz w:val="18"/>
          <w:szCs w:val="18"/>
        </w:rPr>
        <w:t>, a</w:t>
      </w:r>
      <w:r w:rsidRPr="00C55C28">
        <w:rPr>
          <w:rFonts w:ascii="Arial" w:hAnsi="Arial" w:cs="Arial"/>
          <w:sz w:val="18"/>
          <w:szCs w:val="18"/>
        </w:rPr>
        <w:t>rt</w:t>
      </w:r>
      <w:r>
        <w:rPr>
          <w:rFonts w:ascii="Arial" w:hAnsi="Arial" w:cs="Arial"/>
          <w:sz w:val="18"/>
          <w:szCs w:val="18"/>
        </w:rPr>
        <w:t xml:space="preserve">s </w:t>
      </w:r>
      <w:r w:rsidRPr="00C55C28">
        <w:rPr>
          <w:rFonts w:ascii="Arial" w:hAnsi="Arial" w:cs="Arial"/>
          <w:sz w:val="18"/>
          <w:szCs w:val="18"/>
        </w:rPr>
        <w:t xml:space="preserve">1 and 18. </w:t>
      </w:r>
    </w:p>
  </w:footnote>
  <w:footnote w:id="12">
    <w:p w14:paraId="16B91A22" w14:textId="3680F597"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 4.</w:t>
      </w:r>
    </w:p>
  </w:footnote>
  <w:footnote w:id="13">
    <w:p w14:paraId="562C471E" w14:textId="0C5A697E"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 5.</w:t>
      </w:r>
    </w:p>
  </w:footnote>
  <w:footnote w:id="14">
    <w:p w14:paraId="7BB12FA6" w14:textId="038DACC4"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Articles 8-17.</w:t>
      </w:r>
    </w:p>
  </w:footnote>
  <w:footnote w:id="15">
    <w:p w14:paraId="40068D00" w14:textId="6D299233"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New Zealand ratified the Vienna Convention on the Law of Treaties on 4 August 1971.</w:t>
      </w:r>
    </w:p>
  </w:footnote>
  <w:footnote w:id="16">
    <w:p w14:paraId="4E1D5843" w14:textId="6EDA94CD"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See Vienna Convention on the Law of Treaties</w:t>
      </w:r>
      <w:r>
        <w:rPr>
          <w:rFonts w:ascii="Arial" w:hAnsi="Arial" w:cs="Arial"/>
          <w:sz w:val="18"/>
          <w:szCs w:val="18"/>
        </w:rPr>
        <w:t xml:space="preserve">, </w:t>
      </w:r>
      <w:r w:rsidRPr="00C55C28">
        <w:rPr>
          <w:rFonts w:ascii="Arial" w:hAnsi="Arial" w:cs="Arial"/>
          <w:sz w:val="18"/>
          <w:szCs w:val="18"/>
        </w:rPr>
        <w:t>art 46 for the exception to this rule.</w:t>
      </w:r>
    </w:p>
  </w:footnote>
  <w:footnote w:id="17">
    <w:p w14:paraId="44D150AF" w14:textId="528B7A6D"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Pr>
          <w:rFonts w:ascii="Arial" w:hAnsi="Arial" w:cs="Arial"/>
          <w:sz w:val="18"/>
          <w:szCs w:val="18"/>
        </w:rPr>
        <w:t>(</w:t>
      </w:r>
      <w:r w:rsidRPr="008A7667">
        <w:rPr>
          <w:rFonts w:ascii="Arial" w:hAnsi="Arial" w:cs="Arial"/>
          <w:sz w:val="18"/>
          <w:szCs w:val="18"/>
        </w:rPr>
        <w:t>20 Apr</w:t>
      </w:r>
      <w:r>
        <w:rPr>
          <w:rFonts w:ascii="Arial" w:hAnsi="Arial" w:cs="Arial"/>
          <w:sz w:val="18"/>
          <w:szCs w:val="18"/>
        </w:rPr>
        <w:t>il</w:t>
      </w:r>
      <w:r w:rsidRPr="008A7667">
        <w:rPr>
          <w:rFonts w:ascii="Arial" w:hAnsi="Arial" w:cs="Arial"/>
          <w:sz w:val="18"/>
          <w:szCs w:val="18"/>
        </w:rPr>
        <w:t xml:space="preserve"> 2010</w:t>
      </w:r>
      <w:r>
        <w:rPr>
          <w:rFonts w:ascii="Arial" w:hAnsi="Arial" w:cs="Arial"/>
          <w:sz w:val="18"/>
          <w:szCs w:val="18"/>
        </w:rPr>
        <w:t xml:space="preserve">) 662 NZPD </w:t>
      </w:r>
      <w:r w:rsidRPr="008A7667">
        <w:rPr>
          <w:rFonts w:ascii="Arial" w:hAnsi="Arial" w:cs="Arial"/>
          <w:sz w:val="18"/>
          <w:szCs w:val="18"/>
        </w:rPr>
        <w:t>10229</w:t>
      </w:r>
      <w:r>
        <w:rPr>
          <w:rFonts w:ascii="Arial" w:hAnsi="Arial" w:cs="Arial"/>
          <w:sz w:val="18"/>
          <w:szCs w:val="18"/>
        </w:rPr>
        <w:t>.</w:t>
      </w:r>
    </w:p>
  </w:footnote>
  <w:footnote w:id="18">
    <w:p w14:paraId="7BEBBB3C" w14:textId="4BE48E79"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Waitangi Tribunal </w:t>
      </w:r>
      <w:r w:rsidRPr="00C55C28">
        <w:rPr>
          <w:rFonts w:ascii="Arial" w:hAnsi="Arial" w:cs="Arial"/>
          <w:i/>
          <w:iCs/>
          <w:sz w:val="18"/>
          <w:szCs w:val="18"/>
        </w:rPr>
        <w:t>Whaia te Mana Motuhake - In Pursuit of Mana Motuhake</w:t>
      </w:r>
      <w:r w:rsidRPr="00C55C28">
        <w:rPr>
          <w:rFonts w:ascii="Arial" w:hAnsi="Arial" w:cs="Arial"/>
          <w:sz w:val="18"/>
          <w:szCs w:val="18"/>
        </w:rPr>
        <w:t xml:space="preserve">: </w:t>
      </w:r>
      <w:r w:rsidRPr="00C55C28">
        <w:rPr>
          <w:rFonts w:ascii="Arial" w:hAnsi="Arial" w:cs="Arial"/>
          <w:i/>
          <w:iCs/>
          <w:sz w:val="18"/>
          <w:szCs w:val="18"/>
        </w:rPr>
        <w:t>Report on the Maori Community Development Act Claim</w:t>
      </w:r>
      <w:r w:rsidRPr="00C55C28">
        <w:rPr>
          <w:rFonts w:ascii="Arial" w:hAnsi="Arial" w:cs="Arial"/>
          <w:sz w:val="18"/>
          <w:szCs w:val="18"/>
        </w:rPr>
        <w:t xml:space="preserve"> (Legislation Direct, Lower Hutt, 2015) at 34.</w:t>
      </w:r>
    </w:p>
  </w:footnote>
  <w:footnote w:id="19">
    <w:p w14:paraId="1D7AE642" w14:textId="1A3AA0DC"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At 38.</w:t>
      </w:r>
    </w:p>
  </w:footnote>
  <w:footnote w:id="20">
    <w:p w14:paraId="0EE03664" w14:textId="5639D6C9"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At 39.</w:t>
      </w:r>
    </w:p>
  </w:footnote>
  <w:footnote w:id="21">
    <w:p w14:paraId="02A3228E" w14:textId="03F1C613" w:rsidR="00DF4D1E" w:rsidRPr="00C55C28" w:rsidRDefault="00DF4D1E" w:rsidP="00A5174B">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A97986">
        <w:rPr>
          <w:rFonts w:ascii="Arial" w:hAnsi="Arial" w:cs="Arial"/>
          <w:i/>
          <w:iCs/>
          <w:sz w:val="18"/>
          <w:szCs w:val="18"/>
        </w:rPr>
        <w:t>Responsibility of States for Internationally Wrongful Acts</w:t>
      </w:r>
      <w:r>
        <w:rPr>
          <w:rFonts w:ascii="Arial" w:hAnsi="Arial" w:cs="Arial"/>
          <w:sz w:val="18"/>
          <w:szCs w:val="18"/>
        </w:rPr>
        <w:t xml:space="preserve"> GA Res </w:t>
      </w:r>
      <w:r w:rsidRPr="00C55C28">
        <w:rPr>
          <w:rFonts w:ascii="Arial" w:hAnsi="Arial" w:cs="Arial"/>
          <w:sz w:val="18"/>
          <w:szCs w:val="18"/>
        </w:rPr>
        <w:t xml:space="preserve">A/RES/56/83 (2002), </w:t>
      </w:r>
      <w:r>
        <w:rPr>
          <w:rFonts w:ascii="Arial" w:hAnsi="Arial" w:cs="Arial"/>
          <w:sz w:val="18"/>
          <w:szCs w:val="18"/>
        </w:rPr>
        <w:t xml:space="preserve">art </w:t>
      </w:r>
      <w:r w:rsidRPr="00C55C28">
        <w:rPr>
          <w:rFonts w:ascii="Arial" w:hAnsi="Arial" w:cs="Arial"/>
          <w:sz w:val="18"/>
          <w:szCs w:val="18"/>
        </w:rPr>
        <w:t xml:space="preserve">2 and </w:t>
      </w:r>
      <w:proofErr w:type="spellStart"/>
      <w:r>
        <w:rPr>
          <w:rFonts w:ascii="Arial" w:hAnsi="Arial" w:cs="Arial"/>
          <w:sz w:val="18"/>
          <w:szCs w:val="18"/>
        </w:rPr>
        <w:t>pt</w:t>
      </w:r>
      <w:proofErr w:type="spellEnd"/>
      <w:r>
        <w:rPr>
          <w:rFonts w:ascii="Arial" w:hAnsi="Arial" w:cs="Arial"/>
          <w:sz w:val="18"/>
          <w:szCs w:val="18"/>
        </w:rPr>
        <w:t xml:space="preserve"> </w:t>
      </w:r>
      <w:r w:rsidRPr="00C55C28">
        <w:rPr>
          <w:rFonts w:ascii="Arial" w:hAnsi="Arial" w:cs="Arial"/>
          <w:sz w:val="18"/>
          <w:szCs w:val="18"/>
        </w:rPr>
        <w:t xml:space="preserve">2 </w:t>
      </w:r>
      <w:r>
        <w:rPr>
          <w:rFonts w:ascii="Arial" w:hAnsi="Arial" w:cs="Arial"/>
          <w:sz w:val="18"/>
          <w:szCs w:val="18"/>
        </w:rPr>
        <w:t>[</w:t>
      </w:r>
      <w:r w:rsidRPr="00C55C28">
        <w:rPr>
          <w:rFonts w:ascii="Arial" w:hAnsi="Arial" w:cs="Arial"/>
          <w:sz w:val="18"/>
          <w:szCs w:val="18"/>
        </w:rPr>
        <w:t>ILC Articles].  The ILC Articles “have been relied on extensively by international courts and tribunals as an authoritative statement of the law on international responsibility”: see Crawford, above n</w:t>
      </w:r>
      <w:r>
        <w:rPr>
          <w:rFonts w:ascii="Arial" w:hAnsi="Arial" w:cs="Arial"/>
          <w:sz w:val="18"/>
          <w:szCs w:val="18"/>
        </w:rPr>
        <w:t xml:space="preserve"> 10</w:t>
      </w:r>
      <w:r w:rsidRPr="00C55C28">
        <w:rPr>
          <w:rFonts w:ascii="Arial" w:hAnsi="Arial" w:cs="Arial"/>
          <w:sz w:val="18"/>
          <w:szCs w:val="18"/>
        </w:rPr>
        <w:t xml:space="preserve">, at 44.  State responsibility extends “to human rights violations and other breaches of international law where the primary beneficiary of the obligation breached is not a State” (see the International Law Commission’s commentary on prior draft ILC articles, contained in the </w:t>
      </w:r>
      <w:r w:rsidRPr="00C6052D">
        <w:rPr>
          <w:rFonts w:ascii="Arial" w:hAnsi="Arial" w:cs="Arial"/>
          <w:i/>
          <w:iCs/>
          <w:sz w:val="18"/>
          <w:szCs w:val="18"/>
        </w:rPr>
        <w:t>Report of the International Law Commission on the work of its fifty-third session</w:t>
      </w:r>
      <w:r>
        <w:rPr>
          <w:rFonts w:ascii="Arial" w:hAnsi="Arial" w:cs="Arial"/>
          <w:sz w:val="18"/>
          <w:szCs w:val="18"/>
        </w:rPr>
        <w:t xml:space="preserve"> [2001] vol 2, </w:t>
      </w:r>
      <w:proofErr w:type="spellStart"/>
      <w:r>
        <w:rPr>
          <w:rFonts w:ascii="Arial" w:hAnsi="Arial" w:cs="Arial"/>
          <w:sz w:val="18"/>
          <w:szCs w:val="18"/>
        </w:rPr>
        <w:t>pt</w:t>
      </w:r>
      <w:proofErr w:type="spellEnd"/>
      <w:r>
        <w:rPr>
          <w:rFonts w:ascii="Arial" w:hAnsi="Arial" w:cs="Arial"/>
          <w:sz w:val="18"/>
          <w:szCs w:val="18"/>
        </w:rPr>
        <w:t xml:space="preserve"> 2 YILC 1 </w:t>
      </w:r>
      <w:r w:rsidRPr="00C55C28">
        <w:rPr>
          <w:rFonts w:ascii="Arial" w:hAnsi="Arial" w:cs="Arial"/>
          <w:sz w:val="18"/>
          <w:szCs w:val="18"/>
        </w:rPr>
        <w:t xml:space="preserve">at 87-88 [Draft ILC Articles Commentary]).  See also in this regard Shelton, above n </w:t>
      </w:r>
      <w:r>
        <w:rPr>
          <w:rFonts w:ascii="Arial" w:hAnsi="Arial" w:cs="Arial"/>
          <w:sz w:val="18"/>
          <w:szCs w:val="18"/>
        </w:rPr>
        <w:t>3</w:t>
      </w:r>
      <w:r w:rsidRPr="00C55C28">
        <w:rPr>
          <w:rFonts w:ascii="Arial" w:hAnsi="Arial" w:cs="Arial"/>
          <w:sz w:val="18"/>
          <w:szCs w:val="18"/>
        </w:rPr>
        <w:t xml:space="preserve">, at 43: “Applied to human rights law, the ILC Articles can mean that any attributable violation of a human rights obligation gives rise to state responsibility, engaging the duty to cease the wrong and make reparations”.  </w:t>
      </w:r>
    </w:p>
  </w:footnote>
  <w:footnote w:id="22">
    <w:p w14:paraId="453F2D6D" w14:textId="6D486D57" w:rsidR="00DF4D1E" w:rsidRPr="00C55C28" w:rsidRDefault="00DF4D1E" w:rsidP="003260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CCPR </w:t>
      </w:r>
      <w:r w:rsidRPr="00C55C28">
        <w:rPr>
          <w:rFonts w:ascii="Arial" w:hAnsi="Arial" w:cs="Arial"/>
          <w:i/>
          <w:iCs/>
          <w:sz w:val="18"/>
          <w:szCs w:val="18"/>
        </w:rPr>
        <w:t>General Comment No 31</w:t>
      </w:r>
      <w:r w:rsidRPr="00C55C28">
        <w:rPr>
          <w:rFonts w:ascii="Arial" w:hAnsi="Arial" w:cs="Arial"/>
          <w:sz w:val="18"/>
          <w:szCs w:val="18"/>
        </w:rPr>
        <w:t xml:space="preserve"> CCPR/C/21/Rev.1/Add. 13 (2004) at [8].  See also CESCR </w:t>
      </w:r>
      <w:r w:rsidRPr="00C55C28">
        <w:rPr>
          <w:rFonts w:ascii="Arial" w:hAnsi="Arial" w:cs="Arial"/>
          <w:i/>
          <w:iCs/>
          <w:sz w:val="18"/>
          <w:szCs w:val="18"/>
        </w:rPr>
        <w:t>General Comment 19</w:t>
      </w:r>
      <w:r w:rsidRPr="00C55C28">
        <w:rPr>
          <w:rFonts w:ascii="Arial" w:hAnsi="Arial" w:cs="Arial"/>
          <w:sz w:val="18"/>
          <w:szCs w:val="18"/>
        </w:rPr>
        <w:t xml:space="preserve"> E/C.12/GC/19 (2008) at [64]-[65].</w:t>
      </w:r>
    </w:p>
  </w:footnote>
  <w:footnote w:id="23">
    <w:p w14:paraId="501E2591" w14:textId="0E97836B" w:rsidR="00DF4D1E" w:rsidRPr="00C55C28" w:rsidRDefault="00DF4D1E" w:rsidP="003260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xml:space="preserve">, at 14, 165, 279 and 355.  </w:t>
      </w:r>
    </w:p>
  </w:footnote>
  <w:footnote w:id="24">
    <w:p w14:paraId="75BF779D" w14:textId="6599470E" w:rsidR="00DF4D1E" w:rsidRPr="00C55C28" w:rsidRDefault="00DF4D1E" w:rsidP="003260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14.</w:t>
      </w:r>
    </w:p>
  </w:footnote>
  <w:footnote w:id="25">
    <w:p w14:paraId="5B5ECAAC" w14:textId="4447E437" w:rsidR="00DF4D1E" w:rsidRPr="00C55C28" w:rsidRDefault="00DF4D1E" w:rsidP="00326063">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Shelton, above n</w:t>
      </w:r>
      <w:r>
        <w:rPr>
          <w:rFonts w:ascii="Arial" w:hAnsi="Arial" w:cs="Arial"/>
          <w:sz w:val="18"/>
          <w:szCs w:val="18"/>
          <w:lang w:val="en-NZ"/>
        </w:rPr>
        <w:t xml:space="preserve"> 3</w:t>
      </w:r>
      <w:r w:rsidRPr="00C55C28">
        <w:rPr>
          <w:rFonts w:ascii="Arial" w:hAnsi="Arial" w:cs="Arial"/>
          <w:sz w:val="18"/>
          <w:szCs w:val="18"/>
          <w:lang w:val="en-NZ"/>
        </w:rPr>
        <w:t>, at 355-356.</w:t>
      </w:r>
    </w:p>
  </w:footnote>
  <w:footnote w:id="26">
    <w:p w14:paraId="149DB20C" w14:textId="150ADCB0" w:rsidR="00DF4D1E" w:rsidRPr="00C55C28" w:rsidRDefault="00DF4D1E" w:rsidP="003260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xml:space="preserve">, at 14.  See also CAT </w:t>
      </w:r>
      <w:r w:rsidRPr="00C55C28">
        <w:rPr>
          <w:rFonts w:ascii="Arial" w:hAnsi="Arial" w:cs="Arial"/>
          <w:i/>
          <w:iCs/>
          <w:sz w:val="18"/>
          <w:szCs w:val="18"/>
        </w:rPr>
        <w:t>General Comment No 3</w:t>
      </w:r>
      <w:r>
        <w:rPr>
          <w:rFonts w:ascii="Arial" w:hAnsi="Arial" w:cs="Arial"/>
          <w:i/>
          <w:iCs/>
          <w:sz w:val="18"/>
          <w:szCs w:val="18"/>
        </w:rPr>
        <w:t xml:space="preserve"> </w:t>
      </w:r>
      <w:r w:rsidRPr="00C55C28">
        <w:rPr>
          <w:rFonts w:ascii="Arial" w:hAnsi="Arial" w:cs="Arial"/>
          <w:sz w:val="18"/>
          <w:szCs w:val="18"/>
          <w:lang w:val="en-NZ"/>
        </w:rPr>
        <w:t>CAT/C/GC/3 (2012)</w:t>
      </w:r>
      <w:r w:rsidRPr="00C55C28">
        <w:rPr>
          <w:rFonts w:ascii="Arial" w:hAnsi="Arial" w:cs="Arial"/>
          <w:sz w:val="18"/>
          <w:szCs w:val="18"/>
        </w:rPr>
        <w:t xml:space="preserve"> at [3].</w:t>
      </w:r>
    </w:p>
  </w:footnote>
  <w:footnote w:id="27">
    <w:p w14:paraId="59AFEE8D" w14:textId="5CC10315" w:rsidR="00DF4D1E" w:rsidRPr="00C55C28" w:rsidRDefault="00DF4D1E" w:rsidP="003260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CAT </w:t>
      </w:r>
      <w:r w:rsidRPr="00C55C28">
        <w:rPr>
          <w:rFonts w:ascii="Arial" w:hAnsi="Arial" w:cs="Arial"/>
          <w:i/>
          <w:iCs/>
          <w:sz w:val="18"/>
          <w:szCs w:val="18"/>
        </w:rPr>
        <w:t>General Comment No 3</w:t>
      </w:r>
      <w:r w:rsidRPr="00C55C28">
        <w:rPr>
          <w:rFonts w:ascii="Arial" w:hAnsi="Arial" w:cs="Arial"/>
          <w:sz w:val="18"/>
          <w:szCs w:val="18"/>
        </w:rPr>
        <w:t>, above n</w:t>
      </w:r>
      <w:r>
        <w:rPr>
          <w:rFonts w:ascii="Arial" w:hAnsi="Arial" w:cs="Arial"/>
          <w:sz w:val="18"/>
          <w:szCs w:val="18"/>
        </w:rPr>
        <w:t xml:space="preserve"> 26</w:t>
      </w:r>
      <w:r w:rsidRPr="00C55C28">
        <w:rPr>
          <w:rFonts w:ascii="Arial" w:hAnsi="Arial" w:cs="Arial"/>
          <w:sz w:val="18"/>
          <w:szCs w:val="18"/>
        </w:rPr>
        <w:t>, at [3].</w:t>
      </w:r>
    </w:p>
  </w:footnote>
  <w:footnote w:id="28">
    <w:p w14:paraId="3B6E07AB" w14:textId="73A030D7" w:rsidR="00DF4D1E" w:rsidRPr="00C55C28" w:rsidRDefault="00DF4D1E" w:rsidP="003260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16.</w:t>
      </w:r>
    </w:p>
  </w:footnote>
  <w:footnote w:id="29">
    <w:p w14:paraId="1C0FB678" w14:textId="49D58192" w:rsidR="00DF4D1E" w:rsidRPr="00C55C28" w:rsidRDefault="00DF4D1E" w:rsidP="004044A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CCPR </w:t>
      </w:r>
      <w:r w:rsidRPr="00C55C28">
        <w:rPr>
          <w:rFonts w:ascii="Arial" w:hAnsi="Arial" w:cs="Arial"/>
          <w:i/>
          <w:iCs/>
          <w:sz w:val="18"/>
          <w:szCs w:val="18"/>
        </w:rPr>
        <w:t>General Comment N</w:t>
      </w:r>
      <w:r>
        <w:rPr>
          <w:rFonts w:ascii="Arial" w:hAnsi="Arial" w:cs="Arial"/>
          <w:i/>
          <w:iCs/>
          <w:sz w:val="18"/>
          <w:szCs w:val="18"/>
        </w:rPr>
        <w:t xml:space="preserve">o </w:t>
      </w:r>
      <w:r w:rsidRPr="00C55C28">
        <w:rPr>
          <w:rFonts w:ascii="Arial" w:hAnsi="Arial" w:cs="Arial"/>
          <w:i/>
          <w:iCs/>
          <w:sz w:val="18"/>
          <w:szCs w:val="18"/>
        </w:rPr>
        <w:t>31</w:t>
      </w:r>
      <w:r w:rsidRPr="00C55C28">
        <w:rPr>
          <w:rFonts w:ascii="Arial" w:hAnsi="Arial" w:cs="Arial"/>
          <w:sz w:val="18"/>
          <w:szCs w:val="18"/>
        </w:rPr>
        <w:t>, above n</w:t>
      </w:r>
      <w:r>
        <w:rPr>
          <w:rFonts w:ascii="Arial" w:hAnsi="Arial" w:cs="Arial"/>
          <w:sz w:val="18"/>
          <w:szCs w:val="18"/>
        </w:rPr>
        <w:t xml:space="preserve"> 22</w:t>
      </w:r>
      <w:r w:rsidRPr="00C55C28">
        <w:rPr>
          <w:rFonts w:ascii="Arial" w:hAnsi="Arial" w:cs="Arial"/>
          <w:sz w:val="18"/>
          <w:szCs w:val="18"/>
        </w:rPr>
        <w:t xml:space="preserve">, at [15].  Contrast the </w:t>
      </w:r>
      <w:r>
        <w:rPr>
          <w:rFonts w:ascii="Arial" w:hAnsi="Arial" w:cs="Arial"/>
          <w:sz w:val="18"/>
          <w:szCs w:val="18"/>
        </w:rPr>
        <w:t xml:space="preserve">view of the </w:t>
      </w:r>
      <w:r w:rsidRPr="00C55C28">
        <w:rPr>
          <w:rFonts w:ascii="Arial" w:hAnsi="Arial" w:cs="Arial"/>
          <w:sz w:val="18"/>
          <w:szCs w:val="18"/>
        </w:rPr>
        <w:t>European Court</w:t>
      </w:r>
      <w:r>
        <w:rPr>
          <w:rFonts w:ascii="Arial" w:hAnsi="Arial" w:cs="Arial"/>
          <w:sz w:val="18"/>
          <w:szCs w:val="18"/>
        </w:rPr>
        <w:t xml:space="preserve"> of Human Rights in </w:t>
      </w:r>
      <w:r w:rsidRPr="00C55C28">
        <w:rPr>
          <w:rFonts w:ascii="Arial" w:hAnsi="Arial" w:cs="Arial"/>
          <w:i/>
          <w:iCs/>
          <w:sz w:val="18"/>
          <w:szCs w:val="18"/>
        </w:rPr>
        <w:t xml:space="preserve">Z and others v United Kingdom </w:t>
      </w:r>
      <w:r w:rsidRPr="00C55C28">
        <w:rPr>
          <w:rFonts w:ascii="Arial" w:hAnsi="Arial" w:cs="Arial"/>
          <w:sz w:val="18"/>
          <w:szCs w:val="18"/>
        </w:rPr>
        <w:t xml:space="preserve">(2002) 34 EHRR 3 </w:t>
      </w:r>
      <w:r>
        <w:rPr>
          <w:rFonts w:ascii="Arial" w:hAnsi="Arial" w:cs="Arial"/>
          <w:sz w:val="18"/>
          <w:szCs w:val="18"/>
        </w:rPr>
        <w:t xml:space="preserve">(Grand Chamber) </w:t>
      </w:r>
      <w:r w:rsidRPr="00C55C28">
        <w:rPr>
          <w:rFonts w:ascii="Arial" w:hAnsi="Arial" w:cs="Arial"/>
          <w:sz w:val="18"/>
          <w:szCs w:val="18"/>
        </w:rPr>
        <w:t>at [109]: “Where alleged failure by the authorities to protect persons from the acts of others is concerned, Article 13 [of the European Convention on Human Rights] may not always require that the authorities undertake the responsibility for investigating the allegations.”</w:t>
      </w:r>
    </w:p>
  </w:footnote>
  <w:footnote w:id="30">
    <w:p w14:paraId="48BF1039" w14:textId="03C0F652" w:rsidR="00DF4D1E" w:rsidRPr="00C55C28" w:rsidRDefault="00DF4D1E" w:rsidP="004044A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CCPR </w:t>
      </w:r>
      <w:r w:rsidRPr="00C55C28">
        <w:rPr>
          <w:rFonts w:ascii="Arial" w:hAnsi="Arial" w:cs="Arial"/>
          <w:i/>
          <w:iCs/>
          <w:sz w:val="18"/>
          <w:szCs w:val="18"/>
        </w:rPr>
        <w:t>General Comment N</w:t>
      </w:r>
      <w:r>
        <w:rPr>
          <w:rFonts w:ascii="Arial" w:hAnsi="Arial" w:cs="Arial"/>
          <w:i/>
          <w:iCs/>
          <w:sz w:val="18"/>
          <w:szCs w:val="18"/>
        </w:rPr>
        <w:t>o</w:t>
      </w:r>
      <w:r w:rsidRPr="00C55C28">
        <w:rPr>
          <w:rFonts w:ascii="Arial" w:hAnsi="Arial" w:cs="Arial"/>
          <w:i/>
          <w:iCs/>
          <w:sz w:val="18"/>
          <w:szCs w:val="18"/>
        </w:rPr>
        <w:t xml:space="preserve"> 20</w:t>
      </w:r>
      <w:r w:rsidRPr="00C55C28">
        <w:rPr>
          <w:rFonts w:ascii="Arial" w:hAnsi="Arial" w:cs="Arial"/>
          <w:sz w:val="18"/>
          <w:szCs w:val="18"/>
        </w:rPr>
        <w:t xml:space="preserve"> A/44/40 (1992) at [14].  See also, for example, the </w:t>
      </w:r>
      <w:r>
        <w:rPr>
          <w:rFonts w:ascii="Arial" w:hAnsi="Arial" w:cs="Arial"/>
          <w:sz w:val="18"/>
          <w:szCs w:val="18"/>
        </w:rPr>
        <w:t xml:space="preserve">decision </w:t>
      </w:r>
      <w:r w:rsidRPr="00C55C28">
        <w:rPr>
          <w:rFonts w:ascii="Arial" w:hAnsi="Arial" w:cs="Arial"/>
          <w:sz w:val="18"/>
          <w:szCs w:val="18"/>
        </w:rPr>
        <w:t xml:space="preserve">of the Committee Against Torture in </w:t>
      </w:r>
      <w:proofErr w:type="spellStart"/>
      <w:r w:rsidRPr="00C55C28">
        <w:rPr>
          <w:rFonts w:ascii="Arial" w:hAnsi="Arial" w:cs="Arial"/>
          <w:i/>
          <w:iCs/>
          <w:sz w:val="18"/>
          <w:szCs w:val="18"/>
        </w:rPr>
        <w:t>Yrusta</w:t>
      </w:r>
      <w:proofErr w:type="spellEnd"/>
      <w:r w:rsidRPr="00C55C28">
        <w:rPr>
          <w:rFonts w:ascii="Arial" w:hAnsi="Arial" w:cs="Arial"/>
          <w:i/>
          <w:iCs/>
          <w:sz w:val="18"/>
          <w:szCs w:val="18"/>
        </w:rPr>
        <w:t xml:space="preserve"> and others v Argentina</w:t>
      </w:r>
      <w:r w:rsidRPr="00C55C28">
        <w:rPr>
          <w:rFonts w:ascii="Arial" w:hAnsi="Arial" w:cs="Arial"/>
          <w:sz w:val="18"/>
          <w:szCs w:val="18"/>
        </w:rPr>
        <w:t xml:space="preserve"> CAT/C/65/D/778/2016 (2019), where at [9(a)] the Committee “urged” Argentina to “[c]</w:t>
      </w:r>
      <w:proofErr w:type="spellStart"/>
      <w:r w:rsidRPr="00C55C28">
        <w:rPr>
          <w:rFonts w:ascii="Arial" w:hAnsi="Arial" w:cs="Arial"/>
          <w:sz w:val="18"/>
          <w:szCs w:val="18"/>
        </w:rPr>
        <w:t>onduct</w:t>
      </w:r>
      <w:proofErr w:type="spellEnd"/>
      <w:r w:rsidRPr="00C55C28">
        <w:rPr>
          <w:rFonts w:ascii="Arial" w:hAnsi="Arial" w:cs="Arial"/>
          <w:sz w:val="18"/>
          <w:szCs w:val="18"/>
        </w:rPr>
        <w:t xml:space="preserve"> a prompt, impartial and independent investigation into all allegations of torture made by Mr. </w:t>
      </w:r>
      <w:proofErr w:type="spellStart"/>
      <w:r w:rsidRPr="00C55C28">
        <w:rPr>
          <w:rFonts w:ascii="Arial" w:hAnsi="Arial" w:cs="Arial"/>
          <w:sz w:val="18"/>
          <w:szCs w:val="18"/>
        </w:rPr>
        <w:t>Yrusta</w:t>
      </w:r>
      <w:proofErr w:type="spellEnd"/>
      <w:r w:rsidRPr="00C55C28">
        <w:rPr>
          <w:rFonts w:ascii="Arial" w:hAnsi="Arial" w:cs="Arial"/>
          <w:sz w:val="18"/>
          <w:szCs w:val="18"/>
        </w:rPr>
        <w:t xml:space="preserve"> and by the authors of the present complaint, including, where appropriate, the filing of specific torture charges against perpetrators, and the application of the corresponding penalties under domestic law”.</w:t>
      </w:r>
    </w:p>
  </w:footnote>
  <w:footnote w:id="31">
    <w:p w14:paraId="15803C88" w14:textId="5176E62C" w:rsidR="00DF4D1E" w:rsidRPr="00B00A43" w:rsidRDefault="00DF4D1E" w:rsidP="004044A4">
      <w:pPr>
        <w:pStyle w:val="FootnoteText"/>
        <w:ind w:left="567" w:hanging="567"/>
        <w:rPr>
          <w:rFonts w:ascii="Arial" w:hAnsi="Arial" w:cs="Arial"/>
          <w:i/>
          <w:iCs/>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CAT </w:t>
      </w:r>
      <w:r w:rsidRPr="00C55C28">
        <w:rPr>
          <w:rFonts w:ascii="Arial" w:hAnsi="Arial" w:cs="Arial"/>
          <w:i/>
          <w:iCs/>
          <w:sz w:val="18"/>
          <w:szCs w:val="18"/>
        </w:rPr>
        <w:t>General Comment No 3</w:t>
      </w:r>
      <w:r w:rsidRPr="00C55C28">
        <w:rPr>
          <w:rFonts w:ascii="Arial" w:hAnsi="Arial" w:cs="Arial"/>
          <w:sz w:val="18"/>
          <w:szCs w:val="18"/>
        </w:rPr>
        <w:t>, above n</w:t>
      </w:r>
      <w:r>
        <w:rPr>
          <w:rFonts w:ascii="Arial" w:hAnsi="Arial" w:cs="Arial"/>
          <w:sz w:val="18"/>
          <w:szCs w:val="18"/>
        </w:rPr>
        <w:t xml:space="preserve"> 26</w:t>
      </w:r>
      <w:r w:rsidRPr="00C55C28">
        <w:rPr>
          <w:rFonts w:ascii="Arial" w:hAnsi="Arial" w:cs="Arial"/>
          <w:sz w:val="18"/>
          <w:szCs w:val="18"/>
        </w:rPr>
        <w:t>, at [23], consistent with the wording of articles 12 and 13 of CAT.</w:t>
      </w:r>
      <w:r>
        <w:rPr>
          <w:rFonts w:ascii="Arial" w:hAnsi="Arial" w:cs="Arial"/>
          <w:sz w:val="18"/>
          <w:szCs w:val="18"/>
        </w:rPr>
        <w:t xml:space="preserve">  See also </w:t>
      </w:r>
      <w:proofErr w:type="spellStart"/>
      <w:r>
        <w:rPr>
          <w:rFonts w:ascii="Arial" w:hAnsi="Arial" w:cs="Arial"/>
          <w:i/>
          <w:iCs/>
          <w:sz w:val="18"/>
          <w:szCs w:val="18"/>
        </w:rPr>
        <w:t>Zentveld</w:t>
      </w:r>
      <w:proofErr w:type="spellEnd"/>
      <w:r>
        <w:rPr>
          <w:rFonts w:ascii="Arial" w:hAnsi="Arial" w:cs="Arial"/>
          <w:i/>
          <w:iCs/>
          <w:sz w:val="18"/>
          <w:szCs w:val="18"/>
        </w:rPr>
        <w:t xml:space="preserve"> v New Zealand </w:t>
      </w:r>
      <w:r w:rsidRPr="0009298A">
        <w:rPr>
          <w:rFonts w:ascii="Arial" w:hAnsi="Arial" w:cs="Arial"/>
          <w:sz w:val="18"/>
          <w:szCs w:val="18"/>
        </w:rPr>
        <w:t>CAT/C/68/D/852/2017 (2019)</w:t>
      </w:r>
      <w:r>
        <w:rPr>
          <w:rFonts w:ascii="Arial" w:hAnsi="Arial" w:cs="Arial"/>
          <w:sz w:val="18"/>
          <w:szCs w:val="18"/>
        </w:rPr>
        <w:t xml:space="preserve">, </w:t>
      </w:r>
      <w:proofErr w:type="spellStart"/>
      <w:r>
        <w:rPr>
          <w:rFonts w:ascii="Arial" w:hAnsi="Arial" w:cs="Arial"/>
          <w:sz w:val="18"/>
          <w:szCs w:val="18"/>
        </w:rPr>
        <w:t>summarised</w:t>
      </w:r>
      <w:proofErr w:type="spellEnd"/>
      <w:r>
        <w:rPr>
          <w:rFonts w:ascii="Arial" w:hAnsi="Arial" w:cs="Arial"/>
          <w:sz w:val="18"/>
          <w:szCs w:val="18"/>
        </w:rPr>
        <w:t xml:space="preserve"> in Appendix B below.  At [11(a)] of this decision, the Committee Against Torture urged New Zealand to conduct “a prompt, impartial and independent investigation into all allegations of torture and ill-treatment made by the complainant […]”.</w:t>
      </w:r>
      <w:r w:rsidR="00816787">
        <w:rPr>
          <w:rFonts w:ascii="Arial" w:hAnsi="Arial" w:cs="Arial"/>
          <w:sz w:val="18"/>
          <w:szCs w:val="18"/>
        </w:rPr>
        <w:t xml:space="preserve">  At [11(b)], it further urged New Zealand to “</w:t>
      </w:r>
      <w:r w:rsidR="00816787" w:rsidRPr="00816787">
        <w:rPr>
          <w:rFonts w:ascii="Arial" w:hAnsi="Arial" w:cs="Arial"/>
          <w:sz w:val="18"/>
          <w:szCs w:val="18"/>
        </w:rPr>
        <w:t>Provide the complainant with access to appropriate redress, including fair compensation and access to the truth, in line with the outcome of the investigation</w:t>
      </w:r>
      <w:r w:rsidR="00816787">
        <w:rPr>
          <w:rFonts w:ascii="Arial" w:hAnsi="Arial" w:cs="Arial"/>
          <w:sz w:val="18"/>
          <w:szCs w:val="18"/>
        </w:rPr>
        <w:t>”</w:t>
      </w:r>
      <w:r w:rsidR="000C1BFC">
        <w:rPr>
          <w:rFonts w:ascii="Arial" w:hAnsi="Arial" w:cs="Arial"/>
          <w:sz w:val="18"/>
          <w:szCs w:val="18"/>
        </w:rPr>
        <w:t>.</w:t>
      </w:r>
    </w:p>
  </w:footnote>
  <w:footnote w:id="32">
    <w:p w14:paraId="21D7DC6F" w14:textId="064B9F0B" w:rsidR="00DF4D1E" w:rsidRPr="00C55C28" w:rsidRDefault="00DF4D1E" w:rsidP="004044A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CCPR </w:t>
      </w:r>
      <w:r w:rsidRPr="00C55C28">
        <w:rPr>
          <w:rFonts w:ascii="Arial" w:hAnsi="Arial" w:cs="Arial"/>
          <w:i/>
          <w:iCs/>
          <w:sz w:val="18"/>
          <w:szCs w:val="18"/>
        </w:rPr>
        <w:t>General Comment N</w:t>
      </w:r>
      <w:r>
        <w:rPr>
          <w:rFonts w:ascii="Arial" w:hAnsi="Arial" w:cs="Arial"/>
          <w:i/>
          <w:iCs/>
          <w:sz w:val="18"/>
          <w:szCs w:val="18"/>
        </w:rPr>
        <w:t>o</w:t>
      </w:r>
      <w:r w:rsidRPr="00C55C28">
        <w:rPr>
          <w:rFonts w:ascii="Arial" w:hAnsi="Arial" w:cs="Arial"/>
          <w:i/>
          <w:iCs/>
          <w:sz w:val="18"/>
          <w:szCs w:val="18"/>
        </w:rPr>
        <w:t xml:space="preserve"> 31</w:t>
      </w:r>
      <w:r w:rsidRPr="00C55C28">
        <w:rPr>
          <w:rFonts w:ascii="Arial" w:hAnsi="Arial" w:cs="Arial"/>
          <w:sz w:val="18"/>
          <w:szCs w:val="18"/>
        </w:rPr>
        <w:t>, above n</w:t>
      </w:r>
      <w:r>
        <w:rPr>
          <w:rFonts w:ascii="Arial" w:hAnsi="Arial" w:cs="Arial"/>
          <w:sz w:val="18"/>
          <w:szCs w:val="18"/>
        </w:rPr>
        <w:t xml:space="preserve"> 22</w:t>
      </w:r>
      <w:r w:rsidRPr="00C55C28">
        <w:rPr>
          <w:rFonts w:ascii="Arial" w:hAnsi="Arial" w:cs="Arial"/>
          <w:sz w:val="18"/>
          <w:szCs w:val="18"/>
        </w:rPr>
        <w:t xml:space="preserve">, at [18]. </w:t>
      </w:r>
    </w:p>
  </w:footnote>
  <w:footnote w:id="33">
    <w:p w14:paraId="72944365" w14:textId="1E17D4E6" w:rsidR="00DF4D1E" w:rsidRPr="00C55C28" w:rsidRDefault="00DF4D1E" w:rsidP="004044A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CCPR </w:t>
      </w:r>
      <w:r w:rsidRPr="00C55C28">
        <w:rPr>
          <w:rFonts w:ascii="Arial" w:hAnsi="Arial" w:cs="Arial"/>
          <w:i/>
          <w:iCs/>
          <w:sz w:val="18"/>
          <w:szCs w:val="18"/>
        </w:rPr>
        <w:t xml:space="preserve">General Comment </w:t>
      </w:r>
      <w:r>
        <w:rPr>
          <w:rFonts w:ascii="Arial" w:hAnsi="Arial" w:cs="Arial"/>
          <w:i/>
          <w:iCs/>
          <w:sz w:val="18"/>
          <w:szCs w:val="18"/>
        </w:rPr>
        <w:t xml:space="preserve">No </w:t>
      </w:r>
      <w:r w:rsidRPr="00C55C28">
        <w:rPr>
          <w:rFonts w:ascii="Arial" w:hAnsi="Arial" w:cs="Arial"/>
          <w:i/>
          <w:iCs/>
          <w:sz w:val="18"/>
          <w:szCs w:val="18"/>
        </w:rPr>
        <w:t>31</w:t>
      </w:r>
      <w:r w:rsidRPr="00C55C28">
        <w:rPr>
          <w:rFonts w:ascii="Arial" w:hAnsi="Arial" w:cs="Arial"/>
          <w:sz w:val="18"/>
          <w:szCs w:val="18"/>
        </w:rPr>
        <w:t>, above n</w:t>
      </w:r>
      <w:r>
        <w:rPr>
          <w:rFonts w:ascii="Arial" w:hAnsi="Arial" w:cs="Arial"/>
          <w:sz w:val="18"/>
          <w:szCs w:val="18"/>
        </w:rPr>
        <w:t xml:space="preserve"> 22</w:t>
      </w:r>
      <w:r w:rsidRPr="00C55C28">
        <w:rPr>
          <w:rFonts w:ascii="Arial" w:hAnsi="Arial" w:cs="Arial"/>
          <w:sz w:val="18"/>
          <w:szCs w:val="18"/>
        </w:rPr>
        <w:t xml:space="preserve">, at [18].  See also CCPR </w:t>
      </w:r>
      <w:r w:rsidRPr="00C55C28">
        <w:rPr>
          <w:rFonts w:ascii="Arial" w:hAnsi="Arial" w:cs="Arial"/>
          <w:i/>
          <w:iCs/>
          <w:sz w:val="18"/>
          <w:szCs w:val="18"/>
        </w:rPr>
        <w:t>General Comment N</w:t>
      </w:r>
      <w:r>
        <w:rPr>
          <w:rFonts w:ascii="Arial" w:hAnsi="Arial" w:cs="Arial"/>
          <w:i/>
          <w:iCs/>
          <w:sz w:val="18"/>
          <w:szCs w:val="18"/>
        </w:rPr>
        <w:t>o</w:t>
      </w:r>
      <w:r w:rsidRPr="00C55C28">
        <w:rPr>
          <w:rFonts w:ascii="Arial" w:hAnsi="Arial" w:cs="Arial"/>
          <w:i/>
          <w:iCs/>
          <w:sz w:val="18"/>
          <w:szCs w:val="18"/>
        </w:rPr>
        <w:t xml:space="preserve"> 20</w:t>
      </w:r>
      <w:r w:rsidRPr="00C55C28">
        <w:rPr>
          <w:rFonts w:ascii="Arial" w:hAnsi="Arial" w:cs="Arial"/>
          <w:sz w:val="18"/>
          <w:szCs w:val="18"/>
        </w:rPr>
        <w:t>, above n</w:t>
      </w:r>
      <w:r>
        <w:rPr>
          <w:rFonts w:ascii="Arial" w:hAnsi="Arial" w:cs="Arial"/>
          <w:sz w:val="18"/>
          <w:szCs w:val="18"/>
        </w:rPr>
        <w:t xml:space="preserve"> 30</w:t>
      </w:r>
      <w:r w:rsidRPr="00C55C28">
        <w:rPr>
          <w:rFonts w:ascii="Arial" w:hAnsi="Arial" w:cs="Arial"/>
          <w:sz w:val="18"/>
          <w:szCs w:val="18"/>
        </w:rPr>
        <w:t>, at [15], Shelton, above n</w:t>
      </w:r>
      <w:r>
        <w:rPr>
          <w:rFonts w:ascii="Arial" w:hAnsi="Arial" w:cs="Arial"/>
          <w:sz w:val="18"/>
          <w:szCs w:val="18"/>
        </w:rPr>
        <w:t xml:space="preserve"> 3</w:t>
      </w:r>
      <w:r w:rsidRPr="00C55C28">
        <w:rPr>
          <w:rFonts w:ascii="Arial" w:hAnsi="Arial" w:cs="Arial"/>
          <w:sz w:val="18"/>
          <w:szCs w:val="18"/>
        </w:rPr>
        <w:t xml:space="preserve">, at 97, and CAT </w:t>
      </w:r>
      <w:r w:rsidRPr="00C55C28">
        <w:rPr>
          <w:rFonts w:ascii="Arial" w:hAnsi="Arial" w:cs="Arial"/>
          <w:i/>
          <w:iCs/>
          <w:sz w:val="18"/>
          <w:szCs w:val="18"/>
        </w:rPr>
        <w:t>General Comment No 3</w:t>
      </w:r>
      <w:r w:rsidRPr="00C55C28">
        <w:rPr>
          <w:rFonts w:ascii="Arial" w:hAnsi="Arial" w:cs="Arial"/>
          <w:sz w:val="18"/>
          <w:szCs w:val="18"/>
        </w:rPr>
        <w:t>, above n</w:t>
      </w:r>
      <w:r>
        <w:rPr>
          <w:rFonts w:ascii="Arial" w:hAnsi="Arial" w:cs="Arial"/>
          <w:sz w:val="18"/>
          <w:szCs w:val="18"/>
        </w:rPr>
        <w:t xml:space="preserve"> 26</w:t>
      </w:r>
      <w:r w:rsidRPr="00C55C28">
        <w:rPr>
          <w:rFonts w:ascii="Arial" w:hAnsi="Arial" w:cs="Arial"/>
          <w:sz w:val="18"/>
          <w:szCs w:val="18"/>
        </w:rPr>
        <w:t xml:space="preserve">, at [40]-[41].  At [40], the Committee </w:t>
      </w:r>
      <w:r>
        <w:rPr>
          <w:rFonts w:ascii="Arial" w:hAnsi="Arial" w:cs="Arial"/>
          <w:sz w:val="18"/>
          <w:szCs w:val="18"/>
        </w:rPr>
        <w:t>A</w:t>
      </w:r>
      <w:r w:rsidRPr="00C55C28">
        <w:rPr>
          <w:rFonts w:ascii="Arial" w:hAnsi="Arial" w:cs="Arial"/>
          <w:sz w:val="18"/>
          <w:szCs w:val="18"/>
        </w:rPr>
        <w:t>gainst Torture states: “On account of the continuous nature of the effects of torture, statutes of limitations should not be applicable as these deprive victims of the redress, compensation, and rehabilitation due to them. For many victims, passage of time does not attenuate the harm and in some cases the harm may increase as a result of post-traumatic stress that requires medical, psychological and social support, which is often inaccessible to those whom have not received redress. States parties shall ensure that all victims of torture or ill-treatment, regardless of when the violation occurred or whether it was carried out by or with the acquiescence of a former regime, are able to access their rights to remedy and to obtain redress.”</w:t>
      </w:r>
    </w:p>
  </w:footnote>
  <w:footnote w:id="34">
    <w:p w14:paraId="57FEC0F5" w14:textId="753777AE" w:rsidR="00DF4D1E" w:rsidRPr="00C55C28" w:rsidRDefault="00DF4D1E" w:rsidP="007628CE">
      <w:pPr>
        <w:pStyle w:val="FootnoteText"/>
        <w:ind w:left="567" w:hanging="567"/>
        <w:rPr>
          <w:rFonts w:ascii="Arial" w:hAnsi="Arial" w:cs="Arial"/>
          <w:i/>
          <w:iCs/>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See for example </w:t>
      </w:r>
      <w:proofErr w:type="spellStart"/>
      <w:r w:rsidRPr="00C55C28">
        <w:rPr>
          <w:rFonts w:ascii="Arial" w:hAnsi="Arial" w:cs="Arial"/>
          <w:i/>
          <w:iCs/>
          <w:sz w:val="18"/>
          <w:szCs w:val="18"/>
        </w:rPr>
        <w:t>Stubbing</w:t>
      </w:r>
      <w:r>
        <w:rPr>
          <w:rFonts w:ascii="Arial" w:hAnsi="Arial" w:cs="Arial"/>
          <w:i/>
          <w:iCs/>
          <w:sz w:val="18"/>
          <w:szCs w:val="18"/>
        </w:rPr>
        <w:t>s</w:t>
      </w:r>
      <w:proofErr w:type="spellEnd"/>
      <w:r w:rsidRPr="00C55C28">
        <w:rPr>
          <w:rFonts w:ascii="Arial" w:hAnsi="Arial" w:cs="Arial"/>
          <w:i/>
          <w:iCs/>
          <w:sz w:val="18"/>
          <w:szCs w:val="18"/>
        </w:rPr>
        <w:t xml:space="preserve"> and others v United Kingdom </w:t>
      </w:r>
      <w:r w:rsidRPr="00C55C28">
        <w:rPr>
          <w:rFonts w:ascii="Arial" w:hAnsi="Arial" w:cs="Arial"/>
          <w:sz w:val="18"/>
          <w:szCs w:val="18"/>
        </w:rPr>
        <w:t xml:space="preserve">(1997) </w:t>
      </w:r>
      <w:r w:rsidRPr="00C55C28">
        <w:rPr>
          <w:rFonts w:ascii="Arial" w:hAnsi="Arial" w:cs="Arial"/>
          <w:sz w:val="18"/>
          <w:szCs w:val="18"/>
          <w:lang w:val="en-NZ"/>
        </w:rPr>
        <w:t xml:space="preserve">23 EHRR 213 </w:t>
      </w:r>
      <w:r>
        <w:rPr>
          <w:rFonts w:ascii="Arial" w:hAnsi="Arial" w:cs="Arial"/>
          <w:sz w:val="18"/>
          <w:szCs w:val="18"/>
          <w:lang w:val="en-NZ"/>
        </w:rPr>
        <w:t xml:space="preserve">(ECHR) </w:t>
      </w:r>
      <w:r w:rsidRPr="00C55C28">
        <w:rPr>
          <w:rFonts w:ascii="Arial" w:hAnsi="Arial" w:cs="Arial"/>
          <w:sz w:val="18"/>
          <w:szCs w:val="18"/>
        </w:rPr>
        <w:t xml:space="preserve">at [50], concerning limitation periods preventing certain proceedings in the United Kingdom courts relating to alleged sexual abuse.  Contrast </w:t>
      </w:r>
      <w:proofErr w:type="spellStart"/>
      <w:r w:rsidRPr="00C55C28">
        <w:rPr>
          <w:rFonts w:ascii="Arial" w:hAnsi="Arial" w:cs="Arial"/>
          <w:i/>
          <w:iCs/>
          <w:sz w:val="18"/>
          <w:szCs w:val="18"/>
        </w:rPr>
        <w:t>Stubbings</w:t>
      </w:r>
      <w:proofErr w:type="spellEnd"/>
      <w:r w:rsidRPr="00C55C28">
        <w:rPr>
          <w:rFonts w:ascii="Arial" w:hAnsi="Arial" w:cs="Arial"/>
          <w:i/>
          <w:iCs/>
          <w:sz w:val="18"/>
          <w:szCs w:val="18"/>
        </w:rPr>
        <w:t xml:space="preserve"> </w:t>
      </w:r>
      <w:r w:rsidRPr="00C55C28">
        <w:rPr>
          <w:rFonts w:ascii="Arial" w:hAnsi="Arial" w:cs="Arial"/>
          <w:sz w:val="18"/>
          <w:szCs w:val="18"/>
        </w:rPr>
        <w:t xml:space="preserve">with </w:t>
      </w:r>
      <w:r w:rsidRPr="00C55C28">
        <w:rPr>
          <w:rFonts w:ascii="Arial" w:hAnsi="Arial" w:cs="Arial"/>
          <w:i/>
          <w:iCs/>
          <w:sz w:val="18"/>
          <w:szCs w:val="18"/>
        </w:rPr>
        <w:t>Z and others v United Kingdom</w:t>
      </w:r>
      <w:r w:rsidRPr="00C55C28">
        <w:rPr>
          <w:rFonts w:ascii="Arial" w:hAnsi="Arial" w:cs="Arial"/>
          <w:sz w:val="18"/>
          <w:szCs w:val="18"/>
        </w:rPr>
        <w:t>, above n</w:t>
      </w:r>
      <w:r>
        <w:rPr>
          <w:rFonts w:ascii="Arial" w:hAnsi="Arial" w:cs="Arial"/>
          <w:sz w:val="18"/>
          <w:szCs w:val="18"/>
        </w:rPr>
        <w:t xml:space="preserve"> 29</w:t>
      </w:r>
      <w:r w:rsidRPr="00C55C28">
        <w:rPr>
          <w:rFonts w:ascii="Arial" w:hAnsi="Arial" w:cs="Arial"/>
          <w:sz w:val="18"/>
          <w:szCs w:val="18"/>
        </w:rPr>
        <w:t xml:space="preserve">, and </w:t>
      </w:r>
      <w:r w:rsidRPr="00C55C28">
        <w:rPr>
          <w:rFonts w:ascii="Arial" w:hAnsi="Arial" w:cs="Arial"/>
          <w:i/>
          <w:iCs/>
          <w:sz w:val="18"/>
          <w:szCs w:val="18"/>
        </w:rPr>
        <w:t xml:space="preserve">O’Keeffe v Ireland </w:t>
      </w:r>
      <w:r w:rsidRPr="00C55C28">
        <w:rPr>
          <w:rFonts w:ascii="Arial" w:hAnsi="Arial" w:cs="Arial"/>
          <w:sz w:val="18"/>
          <w:szCs w:val="18"/>
        </w:rPr>
        <w:t>(2014) 59 EHRR 15</w:t>
      </w:r>
      <w:r>
        <w:rPr>
          <w:rFonts w:ascii="Arial" w:hAnsi="Arial" w:cs="Arial"/>
          <w:sz w:val="18"/>
          <w:szCs w:val="18"/>
        </w:rPr>
        <w:t xml:space="preserve"> (Grand Chamber)</w:t>
      </w:r>
      <w:r w:rsidRPr="00C55C28">
        <w:rPr>
          <w:rFonts w:ascii="Arial" w:hAnsi="Arial" w:cs="Arial"/>
          <w:sz w:val="18"/>
          <w:szCs w:val="18"/>
        </w:rPr>
        <w:t>.</w:t>
      </w:r>
      <w:r w:rsidRPr="00C55C28">
        <w:rPr>
          <w:rFonts w:ascii="Arial" w:hAnsi="Arial" w:cs="Arial"/>
          <w:i/>
          <w:iCs/>
          <w:sz w:val="18"/>
          <w:szCs w:val="18"/>
        </w:rPr>
        <w:t xml:space="preserve">  </w:t>
      </w:r>
    </w:p>
  </w:footnote>
  <w:footnote w:id="35">
    <w:p w14:paraId="0F2B86E6" w14:textId="6BF74D36" w:rsidR="00DF4D1E" w:rsidRPr="00C55C28" w:rsidRDefault="00DF4D1E" w:rsidP="007628CE">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Style w:val="FootnoteReference"/>
          <w:rFonts w:ascii="Arial" w:hAnsi="Arial" w:cs="Arial"/>
          <w:sz w:val="18"/>
          <w:szCs w:val="18"/>
        </w:rPr>
        <w:t xml:space="preserve"> </w:t>
      </w:r>
      <w:r w:rsidR="00BF40C6">
        <w:rPr>
          <w:rStyle w:val="FootnoteReference"/>
          <w:rFonts w:ascii="Arial" w:hAnsi="Arial" w:cs="Arial"/>
          <w:sz w:val="18"/>
          <w:szCs w:val="18"/>
        </w:rPr>
        <w:tab/>
      </w:r>
      <w:proofErr w:type="spellStart"/>
      <w:r w:rsidRPr="00C55C28">
        <w:rPr>
          <w:rFonts w:ascii="Arial" w:hAnsi="Arial" w:cs="Arial"/>
          <w:i/>
          <w:iCs/>
          <w:sz w:val="18"/>
          <w:szCs w:val="18"/>
        </w:rPr>
        <w:t>Stubbings</w:t>
      </w:r>
      <w:proofErr w:type="spellEnd"/>
      <w:r w:rsidRPr="00C55C28">
        <w:rPr>
          <w:rFonts w:ascii="Arial" w:hAnsi="Arial" w:cs="Arial"/>
          <w:i/>
          <w:iCs/>
          <w:sz w:val="18"/>
          <w:szCs w:val="18"/>
        </w:rPr>
        <w:t xml:space="preserve"> and others v United Kingdom</w:t>
      </w:r>
      <w:r w:rsidRPr="00C55C28">
        <w:rPr>
          <w:rFonts w:ascii="Arial" w:hAnsi="Arial" w:cs="Arial"/>
          <w:sz w:val="18"/>
          <w:szCs w:val="18"/>
        </w:rPr>
        <w:t>, above n</w:t>
      </w:r>
      <w:r>
        <w:rPr>
          <w:rFonts w:ascii="Arial" w:hAnsi="Arial" w:cs="Arial"/>
          <w:sz w:val="18"/>
          <w:szCs w:val="18"/>
        </w:rPr>
        <w:t xml:space="preserve"> 34</w:t>
      </w:r>
      <w:r w:rsidRPr="00C55C28">
        <w:rPr>
          <w:rFonts w:ascii="Arial" w:hAnsi="Arial" w:cs="Arial"/>
          <w:sz w:val="18"/>
          <w:szCs w:val="18"/>
        </w:rPr>
        <w:t xml:space="preserve">, at [51].  See also CCPR </w:t>
      </w:r>
      <w:r w:rsidRPr="00C55C28">
        <w:rPr>
          <w:rFonts w:ascii="Arial" w:hAnsi="Arial" w:cs="Arial"/>
          <w:i/>
          <w:iCs/>
          <w:sz w:val="18"/>
          <w:szCs w:val="18"/>
        </w:rPr>
        <w:t xml:space="preserve">General Comment </w:t>
      </w:r>
      <w:r>
        <w:rPr>
          <w:rFonts w:ascii="Arial" w:hAnsi="Arial" w:cs="Arial"/>
          <w:i/>
          <w:iCs/>
          <w:sz w:val="18"/>
          <w:szCs w:val="18"/>
        </w:rPr>
        <w:t>No</w:t>
      </w:r>
      <w:r w:rsidRPr="00C55C28">
        <w:rPr>
          <w:rFonts w:ascii="Arial" w:hAnsi="Arial" w:cs="Arial"/>
          <w:i/>
          <w:iCs/>
          <w:sz w:val="18"/>
          <w:szCs w:val="18"/>
        </w:rPr>
        <w:t xml:space="preserve"> 31</w:t>
      </w:r>
      <w:r w:rsidRPr="00C55C28">
        <w:rPr>
          <w:rFonts w:ascii="Arial" w:hAnsi="Arial" w:cs="Arial"/>
          <w:sz w:val="18"/>
          <w:szCs w:val="18"/>
        </w:rPr>
        <w:t>, above n</w:t>
      </w:r>
      <w:r>
        <w:rPr>
          <w:rFonts w:ascii="Arial" w:hAnsi="Arial" w:cs="Arial"/>
          <w:sz w:val="18"/>
          <w:szCs w:val="18"/>
        </w:rPr>
        <w:t xml:space="preserve"> 22</w:t>
      </w:r>
      <w:r w:rsidRPr="00C55C28">
        <w:rPr>
          <w:rFonts w:ascii="Arial" w:hAnsi="Arial" w:cs="Arial"/>
          <w:sz w:val="18"/>
          <w:szCs w:val="18"/>
        </w:rPr>
        <w:t>, at [18], which states that obstacles to the establishment of legal responsibility should be removed, including amongst other matters “unreasonably short periods of statutory limitation in cases where such limitations are applicable.”</w:t>
      </w:r>
    </w:p>
  </w:footnote>
  <w:footnote w:id="36">
    <w:p w14:paraId="773B19EA" w14:textId="095A0C54" w:rsidR="00DF4D1E" w:rsidRPr="00C55C28" w:rsidRDefault="00DF4D1E" w:rsidP="007628CE">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proofErr w:type="spellStart"/>
      <w:r w:rsidRPr="00C55C28">
        <w:rPr>
          <w:rFonts w:ascii="Arial" w:hAnsi="Arial" w:cs="Arial"/>
          <w:i/>
          <w:iCs/>
          <w:sz w:val="18"/>
          <w:szCs w:val="18"/>
        </w:rPr>
        <w:t>Stubbings</w:t>
      </w:r>
      <w:proofErr w:type="spellEnd"/>
      <w:r w:rsidRPr="00C55C28">
        <w:rPr>
          <w:rFonts w:ascii="Arial" w:hAnsi="Arial" w:cs="Arial"/>
          <w:i/>
          <w:iCs/>
          <w:sz w:val="18"/>
          <w:szCs w:val="18"/>
        </w:rPr>
        <w:t xml:space="preserve"> and others v United Kingdom</w:t>
      </w:r>
      <w:r w:rsidRPr="00C55C28">
        <w:rPr>
          <w:rFonts w:ascii="Arial" w:hAnsi="Arial" w:cs="Arial"/>
          <w:sz w:val="18"/>
          <w:szCs w:val="18"/>
        </w:rPr>
        <w:t>, above n</w:t>
      </w:r>
      <w:r>
        <w:rPr>
          <w:rFonts w:ascii="Arial" w:hAnsi="Arial" w:cs="Arial"/>
          <w:sz w:val="18"/>
          <w:szCs w:val="18"/>
        </w:rPr>
        <w:t xml:space="preserve"> 34</w:t>
      </w:r>
      <w:r w:rsidRPr="00C55C28">
        <w:rPr>
          <w:rFonts w:ascii="Arial" w:hAnsi="Arial" w:cs="Arial"/>
          <w:sz w:val="18"/>
          <w:szCs w:val="18"/>
        </w:rPr>
        <w:t>, at [52].</w:t>
      </w:r>
    </w:p>
  </w:footnote>
  <w:footnote w:id="37">
    <w:p w14:paraId="378BB40B" w14:textId="5E97A1CB" w:rsidR="00DF4D1E" w:rsidRPr="00C55C28" w:rsidRDefault="00DF4D1E" w:rsidP="007628CE">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ILC Articles, above n</w:t>
      </w:r>
      <w:r>
        <w:rPr>
          <w:rFonts w:ascii="Arial" w:hAnsi="Arial" w:cs="Arial"/>
          <w:sz w:val="18"/>
          <w:szCs w:val="18"/>
        </w:rPr>
        <w:t xml:space="preserve"> 21</w:t>
      </w:r>
      <w:r w:rsidRPr="00C55C28">
        <w:rPr>
          <w:rFonts w:ascii="Arial" w:hAnsi="Arial" w:cs="Arial"/>
          <w:sz w:val="18"/>
          <w:szCs w:val="18"/>
        </w:rPr>
        <w:t xml:space="preserve">, art 31(1).  Note that the obligations set out in </w:t>
      </w:r>
      <w:proofErr w:type="spellStart"/>
      <w:r>
        <w:rPr>
          <w:rFonts w:ascii="Arial" w:hAnsi="Arial" w:cs="Arial"/>
          <w:sz w:val="18"/>
          <w:szCs w:val="18"/>
        </w:rPr>
        <w:t>pt</w:t>
      </w:r>
      <w:proofErr w:type="spellEnd"/>
      <w:r>
        <w:rPr>
          <w:rFonts w:ascii="Arial" w:hAnsi="Arial" w:cs="Arial"/>
          <w:sz w:val="18"/>
          <w:szCs w:val="18"/>
        </w:rPr>
        <w:t xml:space="preserve"> </w:t>
      </w:r>
      <w:r w:rsidRPr="00C55C28">
        <w:rPr>
          <w:rFonts w:ascii="Arial" w:hAnsi="Arial" w:cs="Arial"/>
          <w:sz w:val="18"/>
          <w:szCs w:val="18"/>
        </w:rPr>
        <w:t>2 of the ILC Articles</w:t>
      </w:r>
      <w:r>
        <w:rPr>
          <w:rFonts w:ascii="Arial" w:hAnsi="Arial" w:cs="Arial"/>
          <w:sz w:val="18"/>
          <w:szCs w:val="18"/>
        </w:rPr>
        <w:t xml:space="preserve">, </w:t>
      </w:r>
      <w:r w:rsidRPr="00C55C28">
        <w:rPr>
          <w:rFonts w:ascii="Arial" w:hAnsi="Arial" w:cs="Arial"/>
          <w:sz w:val="18"/>
          <w:szCs w:val="18"/>
        </w:rPr>
        <w:t>including with regard to redress</w:t>
      </w:r>
      <w:r>
        <w:rPr>
          <w:rFonts w:ascii="Arial" w:hAnsi="Arial" w:cs="Arial"/>
          <w:sz w:val="18"/>
          <w:szCs w:val="18"/>
        </w:rPr>
        <w:t>,</w:t>
      </w:r>
      <w:r w:rsidRPr="00C55C28">
        <w:rPr>
          <w:rFonts w:ascii="Arial" w:hAnsi="Arial" w:cs="Arial"/>
          <w:sz w:val="18"/>
          <w:szCs w:val="18"/>
        </w:rPr>
        <w:t xml:space="preserve"> are owed by States to other States or to the international community</w:t>
      </w:r>
      <w:r>
        <w:rPr>
          <w:rFonts w:ascii="Arial" w:hAnsi="Arial" w:cs="Arial"/>
          <w:sz w:val="18"/>
          <w:szCs w:val="18"/>
        </w:rPr>
        <w:t>,</w:t>
      </w:r>
      <w:r w:rsidRPr="00C55C28">
        <w:rPr>
          <w:rFonts w:ascii="Arial" w:hAnsi="Arial" w:cs="Arial"/>
          <w:sz w:val="18"/>
          <w:szCs w:val="18"/>
        </w:rPr>
        <w:t xml:space="preserve"> rather than to individuals (see art 33(1) and the Draft ILC Articles Commentary</w:t>
      </w:r>
      <w:r>
        <w:rPr>
          <w:rFonts w:ascii="Arial" w:hAnsi="Arial" w:cs="Arial"/>
          <w:sz w:val="18"/>
          <w:szCs w:val="18"/>
        </w:rPr>
        <w:t>,</w:t>
      </w:r>
      <w:r w:rsidRPr="00C55C28">
        <w:rPr>
          <w:rFonts w:ascii="Arial" w:hAnsi="Arial" w:cs="Arial"/>
          <w:sz w:val="18"/>
          <w:szCs w:val="18"/>
        </w:rPr>
        <w:t xml:space="preserve"> above n</w:t>
      </w:r>
      <w:r>
        <w:rPr>
          <w:rFonts w:ascii="Arial" w:hAnsi="Arial" w:cs="Arial"/>
          <w:sz w:val="18"/>
          <w:szCs w:val="18"/>
        </w:rPr>
        <w:t xml:space="preserve"> 21</w:t>
      </w:r>
      <w:r w:rsidRPr="00C55C28">
        <w:rPr>
          <w:rFonts w:ascii="Arial" w:hAnsi="Arial" w:cs="Arial"/>
          <w:sz w:val="18"/>
          <w:szCs w:val="18"/>
        </w:rPr>
        <w:t>, at 88).  However, where a human rights obligation is concerned, “a State’s responsibility for the breach of [such an obligation] may exist towards all the other parties to the treaty, but the individuals concerned should be regarded as the ultimate beneficiaries and in that sense as the holders of the relevant rights.” (Draft ILC Articles Commentary at 95).  Also, art 33(2) of the ILC Articles states that art 33(1) is “without prejudice to any right, arising from the international responsibility of a State, which may accrue directly to any person or entity other than a State.”  Human rights treaties such as the ICCPR provide individuals with rights to invoke State responsibility in case of violation</w:t>
      </w:r>
      <w:r w:rsidRPr="00C55C28">
        <w:rPr>
          <w:rFonts w:ascii="Arial" w:hAnsi="Arial" w:cs="Arial"/>
          <w:sz w:val="18"/>
          <w:szCs w:val="18"/>
          <w:lang w:val="en-NZ"/>
        </w:rPr>
        <w:t xml:space="preserve">, including the right to an “effective remedy” (and see in this regard the Draft ILC Articles Commentary at 95).  In deciding what may amount to an effective remedy for individuals, </w:t>
      </w:r>
      <w:proofErr w:type="spellStart"/>
      <w:r>
        <w:rPr>
          <w:rFonts w:ascii="Arial" w:hAnsi="Arial" w:cs="Arial"/>
          <w:sz w:val="18"/>
          <w:szCs w:val="18"/>
          <w:lang w:val="en-NZ"/>
        </w:rPr>
        <w:t>pt</w:t>
      </w:r>
      <w:proofErr w:type="spellEnd"/>
      <w:r w:rsidRPr="00C55C28">
        <w:rPr>
          <w:rFonts w:ascii="Arial" w:hAnsi="Arial" w:cs="Arial"/>
          <w:sz w:val="18"/>
          <w:szCs w:val="18"/>
          <w:lang w:val="en-NZ"/>
        </w:rPr>
        <w:t xml:space="preserve"> 2 of the ILC Articles is instructive.  The types of redress referred to in </w:t>
      </w:r>
      <w:proofErr w:type="spellStart"/>
      <w:r>
        <w:rPr>
          <w:rFonts w:ascii="Arial" w:hAnsi="Arial" w:cs="Arial"/>
          <w:sz w:val="18"/>
          <w:szCs w:val="18"/>
          <w:lang w:val="en-NZ"/>
        </w:rPr>
        <w:t>pt</w:t>
      </w:r>
      <w:proofErr w:type="spellEnd"/>
      <w:r>
        <w:rPr>
          <w:rFonts w:ascii="Arial" w:hAnsi="Arial" w:cs="Arial"/>
          <w:sz w:val="18"/>
          <w:szCs w:val="18"/>
          <w:lang w:val="en-NZ"/>
        </w:rPr>
        <w:t xml:space="preserve"> </w:t>
      </w:r>
      <w:r w:rsidRPr="00C55C28">
        <w:rPr>
          <w:rFonts w:ascii="Arial" w:hAnsi="Arial" w:cs="Arial"/>
          <w:sz w:val="18"/>
          <w:szCs w:val="18"/>
          <w:lang w:val="en-NZ"/>
        </w:rPr>
        <w:t xml:space="preserve">2 are ordered or recommended by human rights courts and treaty committees.  They are also referred to in General Comments and other United Nations publications (see for example CAT </w:t>
      </w:r>
      <w:r w:rsidRPr="00C55C28">
        <w:rPr>
          <w:rFonts w:ascii="Arial" w:hAnsi="Arial" w:cs="Arial"/>
          <w:i/>
          <w:iCs/>
          <w:sz w:val="18"/>
          <w:szCs w:val="18"/>
          <w:lang w:val="en-NZ"/>
        </w:rPr>
        <w:t xml:space="preserve">General Comment No </w:t>
      </w:r>
      <w:r w:rsidRPr="003268A5">
        <w:rPr>
          <w:rFonts w:ascii="Arial" w:hAnsi="Arial" w:cs="Arial"/>
          <w:i/>
          <w:iCs/>
          <w:sz w:val="18"/>
          <w:szCs w:val="18"/>
          <w:lang w:val="en-NZ"/>
        </w:rPr>
        <w:t>3</w:t>
      </w:r>
      <w:r>
        <w:rPr>
          <w:rFonts w:ascii="Arial" w:hAnsi="Arial" w:cs="Arial"/>
          <w:sz w:val="18"/>
          <w:szCs w:val="18"/>
          <w:lang w:val="en-NZ"/>
        </w:rPr>
        <w:t xml:space="preserve">, above n 26, </w:t>
      </w:r>
      <w:r w:rsidRPr="003268A5">
        <w:rPr>
          <w:rFonts w:ascii="Arial" w:hAnsi="Arial" w:cs="Arial"/>
          <w:sz w:val="18"/>
          <w:szCs w:val="18"/>
          <w:lang w:val="en-NZ"/>
        </w:rPr>
        <w:t>at</w:t>
      </w:r>
      <w:r w:rsidRPr="00C55C28">
        <w:rPr>
          <w:rFonts w:ascii="Arial" w:hAnsi="Arial" w:cs="Arial"/>
          <w:sz w:val="18"/>
          <w:szCs w:val="18"/>
          <w:lang w:val="en-NZ"/>
        </w:rPr>
        <w:t xml:space="preserve"> [6]-[18] and CCPR </w:t>
      </w:r>
      <w:r w:rsidRPr="00C55C28">
        <w:rPr>
          <w:rFonts w:ascii="Arial" w:hAnsi="Arial" w:cs="Arial"/>
          <w:i/>
          <w:iCs/>
          <w:sz w:val="18"/>
          <w:szCs w:val="18"/>
          <w:lang w:val="en-NZ"/>
        </w:rPr>
        <w:t>Guidelines on measures of reparation under the Optional Protocol to the International Covenant on Civil and Political Rights</w:t>
      </w:r>
      <w:r w:rsidRPr="00C55C28">
        <w:rPr>
          <w:rFonts w:ascii="Arial" w:hAnsi="Arial" w:cs="Arial"/>
          <w:sz w:val="18"/>
          <w:szCs w:val="18"/>
          <w:lang w:val="en-NZ"/>
        </w:rPr>
        <w:t xml:space="preserve"> CCPR/C/158 (2016) at [2]).</w:t>
      </w:r>
      <w:r w:rsidRPr="00C55C28">
        <w:rPr>
          <w:rFonts w:ascii="Arial" w:hAnsi="Arial" w:cs="Arial"/>
          <w:sz w:val="18"/>
          <w:szCs w:val="18"/>
        </w:rPr>
        <w:t xml:space="preserve">  </w:t>
      </w:r>
    </w:p>
  </w:footnote>
  <w:footnote w:id="38">
    <w:p w14:paraId="5C329826" w14:textId="7A26DA2F" w:rsidR="00DF4D1E" w:rsidRPr="00C55C28" w:rsidRDefault="00DF4D1E" w:rsidP="007628CE">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ILC Articles, above n</w:t>
      </w:r>
      <w:r>
        <w:rPr>
          <w:rFonts w:ascii="Arial" w:hAnsi="Arial" w:cs="Arial"/>
          <w:sz w:val="18"/>
          <w:szCs w:val="18"/>
        </w:rPr>
        <w:t xml:space="preserve"> 21</w:t>
      </w:r>
      <w:r w:rsidRPr="00C55C28">
        <w:rPr>
          <w:rFonts w:ascii="Arial" w:hAnsi="Arial" w:cs="Arial"/>
          <w:sz w:val="18"/>
          <w:szCs w:val="18"/>
        </w:rPr>
        <w:t xml:space="preserve">, </w:t>
      </w:r>
      <w:r>
        <w:rPr>
          <w:rFonts w:ascii="Arial" w:hAnsi="Arial" w:cs="Arial"/>
          <w:sz w:val="18"/>
          <w:szCs w:val="18"/>
        </w:rPr>
        <w:t xml:space="preserve">arts </w:t>
      </w:r>
      <w:r w:rsidRPr="00C55C28">
        <w:rPr>
          <w:rFonts w:ascii="Arial" w:hAnsi="Arial" w:cs="Arial"/>
          <w:sz w:val="18"/>
          <w:szCs w:val="18"/>
        </w:rPr>
        <w:t xml:space="preserve">31 and 34.  See also CCPR </w:t>
      </w:r>
      <w:r w:rsidRPr="00C55C28">
        <w:rPr>
          <w:rFonts w:ascii="Arial" w:hAnsi="Arial" w:cs="Arial"/>
          <w:i/>
          <w:iCs/>
          <w:sz w:val="18"/>
          <w:szCs w:val="18"/>
        </w:rPr>
        <w:t>General Comment No 31</w:t>
      </w:r>
      <w:r w:rsidRPr="00C55C28">
        <w:rPr>
          <w:rFonts w:ascii="Arial" w:hAnsi="Arial" w:cs="Arial"/>
          <w:sz w:val="18"/>
          <w:szCs w:val="18"/>
        </w:rPr>
        <w:t>, above n</w:t>
      </w:r>
      <w:r>
        <w:rPr>
          <w:rFonts w:ascii="Arial" w:hAnsi="Arial" w:cs="Arial"/>
          <w:sz w:val="18"/>
          <w:szCs w:val="18"/>
        </w:rPr>
        <w:t xml:space="preserve"> 22</w:t>
      </w:r>
      <w:r w:rsidRPr="00C55C28">
        <w:rPr>
          <w:rFonts w:ascii="Arial" w:hAnsi="Arial" w:cs="Arial"/>
          <w:sz w:val="18"/>
          <w:szCs w:val="18"/>
        </w:rPr>
        <w:t xml:space="preserve">, at </w:t>
      </w:r>
      <w:r w:rsidRPr="00C55C28">
        <w:rPr>
          <w:rFonts w:ascii="Arial" w:hAnsi="Arial" w:cs="Arial"/>
          <w:sz w:val="18"/>
          <w:szCs w:val="18"/>
          <w:lang w:val="en-NZ"/>
        </w:rPr>
        <w:t xml:space="preserve">[16] and [17].  </w:t>
      </w:r>
      <w:r w:rsidRPr="00C55C28">
        <w:rPr>
          <w:rFonts w:ascii="Arial" w:hAnsi="Arial" w:cs="Arial"/>
          <w:sz w:val="18"/>
          <w:szCs w:val="18"/>
        </w:rPr>
        <w:t xml:space="preserve">In </w:t>
      </w:r>
      <w:proofErr w:type="spellStart"/>
      <w:r w:rsidRPr="00C55C28">
        <w:rPr>
          <w:rFonts w:ascii="Arial" w:hAnsi="Arial" w:cs="Arial"/>
          <w:i/>
          <w:iCs/>
          <w:sz w:val="18"/>
          <w:szCs w:val="18"/>
        </w:rPr>
        <w:t>Chernev</w:t>
      </w:r>
      <w:proofErr w:type="spellEnd"/>
      <w:r w:rsidRPr="00C55C28">
        <w:rPr>
          <w:rFonts w:ascii="Arial" w:hAnsi="Arial" w:cs="Arial"/>
          <w:i/>
          <w:iCs/>
          <w:sz w:val="18"/>
          <w:szCs w:val="18"/>
        </w:rPr>
        <w:t xml:space="preserve"> v Russian Federation </w:t>
      </w:r>
      <w:r w:rsidRPr="00C55C28">
        <w:rPr>
          <w:rFonts w:ascii="Arial" w:hAnsi="Arial" w:cs="Arial"/>
          <w:sz w:val="18"/>
          <w:szCs w:val="18"/>
        </w:rPr>
        <w:t>CCPR/C/125/D/2322/2013</w:t>
      </w:r>
      <w:r w:rsidRPr="00C55C28">
        <w:rPr>
          <w:rFonts w:ascii="Arial" w:hAnsi="Arial" w:cs="Arial"/>
          <w:i/>
          <w:iCs/>
          <w:sz w:val="18"/>
          <w:szCs w:val="18"/>
        </w:rPr>
        <w:t xml:space="preserve"> </w:t>
      </w:r>
      <w:r w:rsidRPr="00C55C28">
        <w:rPr>
          <w:rFonts w:ascii="Arial" w:hAnsi="Arial" w:cs="Arial"/>
          <w:sz w:val="18"/>
          <w:szCs w:val="18"/>
        </w:rPr>
        <w:t>(2019)</w:t>
      </w:r>
      <w:r w:rsidRPr="00C55C28">
        <w:rPr>
          <w:rFonts w:ascii="Arial" w:hAnsi="Arial" w:cs="Arial"/>
          <w:i/>
          <w:iCs/>
          <w:sz w:val="18"/>
          <w:szCs w:val="18"/>
        </w:rPr>
        <w:t xml:space="preserve"> </w:t>
      </w:r>
      <w:r w:rsidRPr="00C55C28">
        <w:rPr>
          <w:rFonts w:ascii="Arial" w:hAnsi="Arial" w:cs="Arial"/>
          <w:sz w:val="18"/>
          <w:szCs w:val="18"/>
        </w:rPr>
        <w:t xml:space="preserve">at [14] and </w:t>
      </w:r>
      <w:r w:rsidRPr="00C55C28">
        <w:rPr>
          <w:rFonts w:ascii="Arial" w:hAnsi="Arial" w:cs="Arial"/>
          <w:i/>
          <w:iCs/>
          <w:sz w:val="18"/>
          <w:szCs w:val="18"/>
        </w:rPr>
        <w:t xml:space="preserve">Ribeiro v Mexico </w:t>
      </w:r>
      <w:r w:rsidRPr="00C55C28">
        <w:rPr>
          <w:rFonts w:ascii="Arial" w:hAnsi="Arial" w:cs="Arial"/>
          <w:sz w:val="18"/>
          <w:szCs w:val="18"/>
        </w:rPr>
        <w:t>CCPR/C/123/D/2767/2016 (2018) at [11], the Human Rights Committee referred to States Parties to the ICCPR being obliged to make “full reparation” to individuals who had suffered a violation of their rights.</w:t>
      </w:r>
    </w:p>
  </w:footnote>
  <w:footnote w:id="39">
    <w:p w14:paraId="78F7FC68" w14:textId="3F8D3D6D" w:rsidR="00DF4D1E" w:rsidRPr="00C55C28" w:rsidRDefault="00DF4D1E" w:rsidP="007628CE">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ILC Articles, above n</w:t>
      </w:r>
      <w:r>
        <w:rPr>
          <w:rFonts w:ascii="Arial" w:hAnsi="Arial" w:cs="Arial"/>
          <w:sz w:val="18"/>
          <w:szCs w:val="18"/>
        </w:rPr>
        <w:t xml:space="preserve"> 21</w:t>
      </w:r>
      <w:r w:rsidRPr="00C55C28">
        <w:rPr>
          <w:rFonts w:ascii="Arial" w:hAnsi="Arial" w:cs="Arial"/>
          <w:sz w:val="18"/>
          <w:szCs w:val="18"/>
        </w:rPr>
        <w:t>, art 30</w:t>
      </w:r>
      <w:r w:rsidRPr="00C55C28">
        <w:rPr>
          <w:rFonts w:ascii="Arial" w:hAnsi="Arial" w:cs="Arial"/>
          <w:sz w:val="18"/>
          <w:szCs w:val="18"/>
          <w:lang w:val="en-NZ"/>
        </w:rPr>
        <w:t>.</w:t>
      </w:r>
    </w:p>
  </w:footnote>
  <w:footnote w:id="40">
    <w:p w14:paraId="232495CC" w14:textId="287A5E48" w:rsidR="00DF4D1E" w:rsidRPr="00C55C28" w:rsidRDefault="00DF4D1E" w:rsidP="006F4647">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See for example CCPR </w:t>
      </w:r>
      <w:r w:rsidRPr="00C55C28">
        <w:rPr>
          <w:rFonts w:ascii="Arial" w:hAnsi="Arial" w:cs="Arial"/>
          <w:i/>
          <w:iCs/>
          <w:sz w:val="18"/>
          <w:szCs w:val="18"/>
        </w:rPr>
        <w:t>General Comment No 31</w:t>
      </w:r>
      <w:r w:rsidRPr="00C55C28">
        <w:rPr>
          <w:rFonts w:ascii="Arial" w:hAnsi="Arial" w:cs="Arial"/>
          <w:sz w:val="18"/>
          <w:szCs w:val="18"/>
        </w:rPr>
        <w:t>, above n</w:t>
      </w:r>
      <w:r>
        <w:rPr>
          <w:rFonts w:ascii="Arial" w:hAnsi="Arial" w:cs="Arial"/>
          <w:sz w:val="18"/>
          <w:szCs w:val="18"/>
        </w:rPr>
        <w:t xml:space="preserve"> 22</w:t>
      </w:r>
      <w:r w:rsidRPr="00C55C28">
        <w:rPr>
          <w:rFonts w:ascii="Arial" w:hAnsi="Arial" w:cs="Arial"/>
          <w:sz w:val="18"/>
          <w:szCs w:val="18"/>
        </w:rPr>
        <w:t xml:space="preserve">, at </w:t>
      </w:r>
      <w:r w:rsidRPr="00C55C28">
        <w:rPr>
          <w:rFonts w:ascii="Arial" w:hAnsi="Arial" w:cs="Arial"/>
          <w:sz w:val="18"/>
          <w:szCs w:val="18"/>
          <w:lang w:val="en-NZ"/>
        </w:rPr>
        <w:t xml:space="preserve">[15]-[16], and CAT </w:t>
      </w:r>
      <w:r w:rsidRPr="00C55C28">
        <w:rPr>
          <w:rFonts w:ascii="Arial" w:hAnsi="Arial" w:cs="Arial"/>
          <w:i/>
          <w:iCs/>
          <w:sz w:val="18"/>
          <w:szCs w:val="18"/>
          <w:lang w:val="en-NZ"/>
        </w:rPr>
        <w:t>General Comment No 3</w:t>
      </w:r>
      <w:r w:rsidRPr="00C55C28">
        <w:rPr>
          <w:rFonts w:ascii="Arial" w:hAnsi="Arial" w:cs="Arial"/>
          <w:sz w:val="18"/>
          <w:szCs w:val="18"/>
          <w:lang w:val="en-NZ"/>
        </w:rPr>
        <w:t>, above n</w:t>
      </w:r>
      <w:r>
        <w:rPr>
          <w:rFonts w:ascii="Arial" w:hAnsi="Arial" w:cs="Arial"/>
          <w:sz w:val="18"/>
          <w:szCs w:val="18"/>
          <w:lang w:val="en-NZ"/>
        </w:rPr>
        <w:t xml:space="preserve"> 26</w:t>
      </w:r>
      <w:r w:rsidRPr="00C55C28">
        <w:rPr>
          <w:rFonts w:ascii="Arial" w:hAnsi="Arial" w:cs="Arial"/>
          <w:sz w:val="18"/>
          <w:szCs w:val="18"/>
          <w:lang w:val="en-NZ"/>
        </w:rPr>
        <w:t>, at [2].</w:t>
      </w:r>
    </w:p>
  </w:footnote>
  <w:footnote w:id="41">
    <w:p w14:paraId="5267D7B3" w14:textId="797FC845" w:rsidR="00DF4D1E" w:rsidRPr="00C55C28" w:rsidRDefault="00DF4D1E" w:rsidP="006F4647">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See for example the discussion by Shelton, above n</w:t>
      </w:r>
      <w:r>
        <w:rPr>
          <w:rFonts w:ascii="Arial" w:hAnsi="Arial" w:cs="Arial"/>
          <w:sz w:val="18"/>
          <w:szCs w:val="18"/>
          <w:lang w:val="en-NZ"/>
        </w:rPr>
        <w:t xml:space="preserve"> 3</w:t>
      </w:r>
      <w:r w:rsidRPr="00C55C28">
        <w:rPr>
          <w:rFonts w:ascii="Arial" w:hAnsi="Arial" w:cs="Arial"/>
          <w:sz w:val="18"/>
          <w:szCs w:val="18"/>
          <w:lang w:val="en-NZ"/>
        </w:rPr>
        <w:t xml:space="preserve">, at 75, and art 30 of the ILC Articles (above n </w:t>
      </w:r>
      <w:r>
        <w:rPr>
          <w:rFonts w:ascii="Arial" w:hAnsi="Arial" w:cs="Arial"/>
          <w:sz w:val="18"/>
          <w:szCs w:val="18"/>
          <w:lang w:val="en-NZ"/>
        </w:rPr>
        <w:t>21</w:t>
      </w:r>
      <w:r w:rsidRPr="00C55C28">
        <w:rPr>
          <w:rFonts w:ascii="Arial" w:hAnsi="Arial" w:cs="Arial"/>
          <w:sz w:val="18"/>
          <w:szCs w:val="18"/>
          <w:lang w:val="en-NZ"/>
        </w:rPr>
        <w:t>), which refers to cessation and guarantees of non-repetition as separate to reparation (as referred to in art 34 of the ILC Articles).</w:t>
      </w:r>
    </w:p>
  </w:footnote>
  <w:footnote w:id="42">
    <w:p w14:paraId="3A6FAB4B" w14:textId="3632F049" w:rsidR="00DF4D1E" w:rsidRPr="00C55C28" w:rsidRDefault="00DF4D1E" w:rsidP="006F4647">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85.</w:t>
      </w:r>
    </w:p>
  </w:footnote>
  <w:footnote w:id="43">
    <w:p w14:paraId="4DA21BAC" w14:textId="5B38E5AD" w:rsidR="00DF4D1E" w:rsidRPr="00C55C28" w:rsidRDefault="00DF4D1E" w:rsidP="006F4647">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See Shelton's discussion of "continuing violations", above n</w:t>
      </w:r>
      <w:r>
        <w:rPr>
          <w:rFonts w:ascii="Arial" w:hAnsi="Arial" w:cs="Arial"/>
          <w:sz w:val="18"/>
          <w:szCs w:val="18"/>
        </w:rPr>
        <w:t xml:space="preserve"> 3</w:t>
      </w:r>
      <w:r w:rsidRPr="00C55C28">
        <w:rPr>
          <w:rFonts w:ascii="Arial" w:hAnsi="Arial" w:cs="Arial"/>
          <w:sz w:val="18"/>
          <w:szCs w:val="18"/>
        </w:rPr>
        <w:t>, at 261 and 262, including that this concept "has mitigated the effect of the rule against retroactivity, as has the independent requirement that a remedy be provided even for violations that took place prior to entry into force of the human rights treaty.”</w:t>
      </w:r>
    </w:p>
  </w:footnote>
  <w:footnote w:id="44">
    <w:p w14:paraId="5CAAFCFA" w14:textId="30D010CA" w:rsidR="00DF4D1E" w:rsidRPr="00C55C28" w:rsidRDefault="00DF4D1E" w:rsidP="006F4647">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18-22.</w:t>
      </w:r>
    </w:p>
  </w:footnote>
  <w:footnote w:id="45">
    <w:p w14:paraId="2A0DEA97" w14:textId="3920E149" w:rsidR="00DF4D1E" w:rsidRPr="00C55C28" w:rsidRDefault="00DF4D1E" w:rsidP="006F4647">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60.</w:t>
      </w:r>
    </w:p>
  </w:footnote>
  <w:footnote w:id="46">
    <w:p w14:paraId="2E9B16AF" w14:textId="3D6F876F" w:rsidR="00DF4D1E" w:rsidRPr="00C55C28" w:rsidRDefault="00DF4D1E" w:rsidP="006F4647">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298.</w:t>
      </w:r>
    </w:p>
  </w:footnote>
  <w:footnote w:id="47">
    <w:p w14:paraId="269B56DF" w14:textId="7AAB85F6" w:rsidR="00DF4D1E" w:rsidRPr="00C55C28" w:rsidRDefault="00DF4D1E" w:rsidP="006F4647">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ILC Articles, above n</w:t>
      </w:r>
      <w:r>
        <w:rPr>
          <w:rFonts w:ascii="Arial" w:hAnsi="Arial" w:cs="Arial"/>
          <w:sz w:val="18"/>
          <w:szCs w:val="18"/>
        </w:rPr>
        <w:t xml:space="preserve"> 21</w:t>
      </w:r>
      <w:r w:rsidRPr="00C55C28">
        <w:rPr>
          <w:rFonts w:ascii="Arial" w:hAnsi="Arial" w:cs="Arial"/>
          <w:sz w:val="18"/>
          <w:szCs w:val="18"/>
        </w:rPr>
        <w:t>, art 35.  Article 35 also states that restitution is not required where it is "materially impossible" or involves "a burden out of all proportion to the benefit deriving from restitution instead of compensation".</w:t>
      </w:r>
    </w:p>
  </w:footnote>
  <w:footnote w:id="48">
    <w:p w14:paraId="78D01CAE" w14:textId="213F2A00" w:rsidR="00DF4D1E" w:rsidRPr="00C55C28" w:rsidRDefault="00DF4D1E" w:rsidP="006F4647">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298.</w:t>
      </w:r>
    </w:p>
  </w:footnote>
  <w:footnote w:id="49">
    <w:p w14:paraId="12FE5A1F" w14:textId="0F3B10C1" w:rsidR="00DF4D1E" w:rsidRPr="00C55C28" w:rsidRDefault="00DF4D1E" w:rsidP="006F4647">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298.</w:t>
      </w:r>
    </w:p>
  </w:footnote>
  <w:footnote w:id="50">
    <w:p w14:paraId="0715D026" w14:textId="67FE6BEA" w:rsidR="00DF4D1E" w:rsidRPr="00C55C28" w:rsidRDefault="00DF4D1E" w:rsidP="006F4647">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298.</w:t>
      </w:r>
    </w:p>
  </w:footnote>
  <w:footnote w:id="51">
    <w:p w14:paraId="009F8B77" w14:textId="267EEBDE" w:rsidR="00DF4D1E" w:rsidRPr="00C55C28" w:rsidRDefault="00DF4D1E" w:rsidP="001524D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xml:space="preserve">, at 394-396. See also, and for example, CAT </w:t>
      </w:r>
      <w:r w:rsidRPr="00C55C28">
        <w:rPr>
          <w:rFonts w:ascii="Arial" w:hAnsi="Arial" w:cs="Arial"/>
          <w:i/>
          <w:iCs/>
          <w:sz w:val="18"/>
          <w:szCs w:val="18"/>
        </w:rPr>
        <w:t>General Comment No 3</w:t>
      </w:r>
      <w:r w:rsidRPr="00C55C28">
        <w:rPr>
          <w:rFonts w:ascii="Arial" w:hAnsi="Arial" w:cs="Arial"/>
          <w:sz w:val="18"/>
          <w:szCs w:val="18"/>
        </w:rPr>
        <w:t>, above n</w:t>
      </w:r>
      <w:r>
        <w:rPr>
          <w:rFonts w:ascii="Arial" w:hAnsi="Arial" w:cs="Arial"/>
          <w:sz w:val="18"/>
          <w:szCs w:val="18"/>
        </w:rPr>
        <w:t xml:space="preserve"> 26</w:t>
      </w:r>
      <w:r w:rsidRPr="00C55C28">
        <w:rPr>
          <w:rFonts w:ascii="Arial" w:hAnsi="Arial" w:cs="Arial"/>
          <w:sz w:val="18"/>
          <w:szCs w:val="18"/>
        </w:rPr>
        <w:t>, at [11] to [15].</w:t>
      </w:r>
    </w:p>
  </w:footnote>
  <w:footnote w:id="52">
    <w:p w14:paraId="0E15CC92" w14:textId="6E2B60CA" w:rsidR="00DF4D1E" w:rsidRPr="00C55C28" w:rsidRDefault="00DF4D1E" w:rsidP="001524D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ILC Articles, above n</w:t>
      </w:r>
      <w:r>
        <w:rPr>
          <w:rFonts w:ascii="Arial" w:hAnsi="Arial" w:cs="Arial"/>
          <w:sz w:val="18"/>
          <w:szCs w:val="18"/>
        </w:rPr>
        <w:t xml:space="preserve"> 21</w:t>
      </w:r>
      <w:r w:rsidRPr="00C55C28">
        <w:rPr>
          <w:rFonts w:ascii="Arial" w:hAnsi="Arial" w:cs="Arial"/>
          <w:sz w:val="18"/>
          <w:szCs w:val="18"/>
        </w:rPr>
        <w:t xml:space="preserve">, art 36.  </w:t>
      </w:r>
    </w:p>
  </w:footnote>
  <w:footnote w:id="53">
    <w:p w14:paraId="22BFD8A6" w14:textId="112D079E" w:rsidR="00DF4D1E" w:rsidRPr="00C55C28" w:rsidRDefault="00DF4D1E" w:rsidP="001524D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i/>
          <w:iCs/>
          <w:sz w:val="18"/>
          <w:szCs w:val="18"/>
        </w:rPr>
        <w:t>Z and others v United Kingdom</w:t>
      </w:r>
      <w:r w:rsidRPr="00C55C28">
        <w:rPr>
          <w:rFonts w:ascii="Arial" w:hAnsi="Arial" w:cs="Arial"/>
          <w:sz w:val="18"/>
          <w:szCs w:val="18"/>
        </w:rPr>
        <w:t>, above n</w:t>
      </w:r>
      <w:r>
        <w:rPr>
          <w:rFonts w:ascii="Arial" w:hAnsi="Arial" w:cs="Arial"/>
          <w:sz w:val="18"/>
          <w:szCs w:val="18"/>
        </w:rPr>
        <w:t xml:space="preserve"> 29</w:t>
      </w:r>
      <w:r w:rsidRPr="00C55C28">
        <w:rPr>
          <w:rFonts w:ascii="Arial" w:hAnsi="Arial" w:cs="Arial"/>
          <w:sz w:val="18"/>
          <w:szCs w:val="18"/>
        </w:rPr>
        <w:t>,</w:t>
      </w:r>
      <w:r w:rsidRPr="00C55C28">
        <w:rPr>
          <w:rFonts w:ascii="Arial" w:hAnsi="Arial" w:cs="Arial"/>
          <w:i/>
          <w:iCs/>
          <w:sz w:val="18"/>
          <w:szCs w:val="18"/>
        </w:rPr>
        <w:t xml:space="preserve"> </w:t>
      </w:r>
      <w:r w:rsidRPr="00C55C28">
        <w:rPr>
          <w:rFonts w:ascii="Arial" w:hAnsi="Arial" w:cs="Arial"/>
          <w:sz w:val="18"/>
          <w:szCs w:val="18"/>
        </w:rPr>
        <w:t>at [119].</w:t>
      </w:r>
    </w:p>
  </w:footnote>
  <w:footnote w:id="54">
    <w:p w14:paraId="1275A5E3" w14:textId="0789F0F9" w:rsidR="00DF4D1E" w:rsidRPr="00C55C28" w:rsidRDefault="00DF4D1E" w:rsidP="001524D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355.</w:t>
      </w:r>
    </w:p>
  </w:footnote>
  <w:footnote w:id="55">
    <w:p w14:paraId="720CC1CC" w14:textId="0EAD9905" w:rsidR="00DF4D1E" w:rsidRPr="00C55C28" w:rsidRDefault="00DF4D1E" w:rsidP="001524D4">
      <w:pPr>
        <w:pStyle w:val="FootnoteText"/>
        <w:ind w:left="567" w:hanging="567"/>
        <w:rPr>
          <w:rFonts w:ascii="Arial" w:hAnsi="Arial" w:cs="Arial"/>
          <w:b/>
          <w:bCs/>
          <w:sz w:val="18"/>
          <w:szCs w:val="18"/>
        </w:rPr>
      </w:pPr>
      <w:r w:rsidRPr="00C55C28">
        <w:rPr>
          <w:rStyle w:val="FootnoteReference"/>
          <w:rFonts w:ascii="Arial" w:hAnsi="Arial" w:cs="Arial"/>
          <w:sz w:val="18"/>
          <w:szCs w:val="18"/>
        </w:rPr>
        <w:footnoteRef/>
      </w:r>
      <w:r w:rsidR="00BF40C6">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Andrew Butler and Petra Butler </w:t>
      </w:r>
      <w:proofErr w:type="gramStart"/>
      <w:r w:rsidRPr="00C55C28">
        <w:rPr>
          <w:rFonts w:ascii="Arial" w:hAnsi="Arial" w:cs="Arial"/>
          <w:i/>
          <w:iCs/>
          <w:sz w:val="18"/>
          <w:szCs w:val="18"/>
        </w:rPr>
        <w:t>The</w:t>
      </w:r>
      <w:proofErr w:type="gramEnd"/>
      <w:r w:rsidRPr="00C55C28">
        <w:rPr>
          <w:rFonts w:ascii="Arial" w:hAnsi="Arial" w:cs="Arial"/>
          <w:i/>
          <w:iCs/>
          <w:sz w:val="18"/>
          <w:szCs w:val="18"/>
        </w:rPr>
        <w:t xml:space="preserve"> New Zealand Bill of Rights Act: A Commentary </w:t>
      </w:r>
      <w:r w:rsidRPr="00C55C28">
        <w:rPr>
          <w:rFonts w:ascii="Arial" w:hAnsi="Arial" w:cs="Arial"/>
          <w:sz w:val="18"/>
          <w:szCs w:val="18"/>
        </w:rPr>
        <w:t>(2</w:t>
      </w:r>
      <w:r w:rsidRPr="00C55C28">
        <w:rPr>
          <w:rFonts w:ascii="Arial" w:hAnsi="Arial" w:cs="Arial"/>
          <w:sz w:val="18"/>
          <w:szCs w:val="18"/>
          <w:vertAlign w:val="superscript"/>
        </w:rPr>
        <w:t>nd</w:t>
      </w:r>
      <w:r w:rsidRPr="00C55C28">
        <w:rPr>
          <w:rFonts w:ascii="Arial" w:hAnsi="Arial" w:cs="Arial"/>
          <w:sz w:val="18"/>
          <w:szCs w:val="18"/>
        </w:rPr>
        <w:t xml:space="preserve"> ed, LexisNexis, Wellington, 2015) at 1539.  See also </w:t>
      </w:r>
      <w:proofErr w:type="spellStart"/>
      <w:r w:rsidRPr="00C55C28">
        <w:rPr>
          <w:rFonts w:ascii="Arial" w:hAnsi="Arial" w:cs="Arial"/>
          <w:i/>
          <w:iCs/>
          <w:sz w:val="18"/>
          <w:szCs w:val="18"/>
        </w:rPr>
        <w:t>Taunoa</w:t>
      </w:r>
      <w:proofErr w:type="spellEnd"/>
      <w:r w:rsidRPr="00C55C28">
        <w:rPr>
          <w:rFonts w:ascii="Arial" w:hAnsi="Arial" w:cs="Arial"/>
          <w:i/>
          <w:iCs/>
          <w:sz w:val="18"/>
          <w:szCs w:val="18"/>
        </w:rPr>
        <w:t xml:space="preserve"> v Attorney-General</w:t>
      </w:r>
      <w:r w:rsidRPr="00C55C28">
        <w:rPr>
          <w:rFonts w:ascii="Arial" w:hAnsi="Arial" w:cs="Arial"/>
          <w:sz w:val="18"/>
          <w:szCs w:val="18"/>
        </w:rPr>
        <w:t xml:space="preserve"> [2007] NZSC 70, [2008] 1 NZLR 429 at [368] per McGrath J.</w:t>
      </w:r>
      <w:r w:rsidRPr="00C55C28">
        <w:rPr>
          <w:rFonts w:ascii="Arial" w:hAnsi="Arial" w:cs="Arial"/>
          <w:b/>
          <w:bCs/>
          <w:sz w:val="18"/>
          <w:szCs w:val="18"/>
        </w:rPr>
        <w:t xml:space="preserve"> </w:t>
      </w:r>
    </w:p>
  </w:footnote>
  <w:footnote w:id="56">
    <w:p w14:paraId="487B9819" w14:textId="34D41BC6" w:rsidR="00DF4D1E" w:rsidRPr="00C55C28" w:rsidRDefault="00DF4D1E" w:rsidP="001524D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xml:space="preserve">, at 316.  In </w:t>
      </w:r>
      <w:r w:rsidRPr="00C55C28">
        <w:rPr>
          <w:rFonts w:ascii="Arial" w:hAnsi="Arial" w:cs="Arial"/>
          <w:i/>
          <w:iCs/>
          <w:sz w:val="18"/>
          <w:szCs w:val="18"/>
        </w:rPr>
        <w:t>Z and others v United Kingdom</w:t>
      </w:r>
      <w:r w:rsidRPr="00C55C28">
        <w:rPr>
          <w:rFonts w:ascii="Arial" w:hAnsi="Arial" w:cs="Arial"/>
          <w:sz w:val="18"/>
          <w:szCs w:val="18"/>
        </w:rPr>
        <w:t>, above n</w:t>
      </w:r>
      <w:r>
        <w:rPr>
          <w:rFonts w:ascii="Arial" w:hAnsi="Arial" w:cs="Arial"/>
          <w:sz w:val="18"/>
          <w:szCs w:val="18"/>
        </w:rPr>
        <w:t xml:space="preserve"> 29</w:t>
      </w:r>
      <w:r w:rsidRPr="00C55C28">
        <w:rPr>
          <w:rFonts w:ascii="Arial" w:hAnsi="Arial" w:cs="Arial"/>
          <w:sz w:val="18"/>
          <w:szCs w:val="18"/>
        </w:rPr>
        <w:t>, the</w:t>
      </w:r>
      <w:r>
        <w:rPr>
          <w:rFonts w:ascii="Arial" w:hAnsi="Arial" w:cs="Arial"/>
          <w:sz w:val="18"/>
          <w:szCs w:val="18"/>
        </w:rPr>
        <w:t xml:space="preserve"> European Court of Human Rights </w:t>
      </w:r>
      <w:r w:rsidRPr="00C55C28">
        <w:rPr>
          <w:rFonts w:ascii="Arial" w:hAnsi="Arial" w:cs="Arial"/>
          <w:sz w:val="18"/>
          <w:szCs w:val="18"/>
        </w:rPr>
        <w:t>states at [120]: “A precise calculation of the sums necessary to make complete reparation (</w:t>
      </w:r>
      <w:r w:rsidRPr="00C55C28">
        <w:rPr>
          <w:rFonts w:ascii="Arial" w:hAnsi="Arial" w:cs="Arial"/>
          <w:i/>
          <w:iCs/>
          <w:sz w:val="18"/>
          <w:szCs w:val="18"/>
        </w:rPr>
        <w:t>restitutio in integrum</w:t>
      </w:r>
      <w:r w:rsidRPr="00C55C28">
        <w:rPr>
          <w:rFonts w:ascii="Arial" w:hAnsi="Arial" w:cs="Arial"/>
          <w:sz w:val="18"/>
          <w:szCs w:val="18"/>
        </w:rPr>
        <w:t>) in respect of the pecuniary losses suffered by the applicants may be prevented by the inherently uncertain character of the damage flowing from a violation […] An award may still be made notwithstanding the large number of imponderables involved in the assessment of future losses, though the greater the lapse of time involved, the more uncertain the link becomes between the breach and the damage.  The question to be decided in such cases is the level of just satisfaction, in respect of both past and future pecuniary losses, which it is necessary to award each applicant, the matter to be determined by the Court at its discretion, having regard to what is equitable."</w:t>
      </w:r>
    </w:p>
  </w:footnote>
  <w:footnote w:id="57">
    <w:p w14:paraId="0EC41CF6" w14:textId="483A554B" w:rsidR="00DF4D1E" w:rsidRPr="00C55C28" w:rsidRDefault="00DF4D1E" w:rsidP="001524D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xml:space="preserve">, at 321.  </w:t>
      </w:r>
    </w:p>
  </w:footnote>
  <w:footnote w:id="58">
    <w:p w14:paraId="184AA5FE" w14:textId="00E6FA56" w:rsidR="00DF4D1E" w:rsidRPr="00C55C28" w:rsidRDefault="00DF4D1E" w:rsidP="001524D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xml:space="preserve">, at 324.  Shelton cites </w:t>
      </w:r>
      <w:r w:rsidRPr="00C55C28">
        <w:rPr>
          <w:rFonts w:ascii="Arial" w:hAnsi="Arial" w:cs="Arial"/>
          <w:i/>
          <w:iCs/>
          <w:sz w:val="18"/>
          <w:szCs w:val="18"/>
        </w:rPr>
        <w:t>Z and others v United Kingdom</w:t>
      </w:r>
      <w:r w:rsidRPr="00C55C28">
        <w:rPr>
          <w:rFonts w:ascii="Arial" w:hAnsi="Arial" w:cs="Arial"/>
          <w:sz w:val="18"/>
          <w:szCs w:val="18"/>
        </w:rPr>
        <w:t xml:space="preserve">, </w:t>
      </w:r>
      <w:r>
        <w:rPr>
          <w:rFonts w:ascii="Arial" w:hAnsi="Arial" w:cs="Arial"/>
          <w:sz w:val="18"/>
          <w:szCs w:val="18"/>
        </w:rPr>
        <w:t xml:space="preserve">above n 29, </w:t>
      </w:r>
      <w:r w:rsidRPr="00C55C28">
        <w:rPr>
          <w:rFonts w:ascii="Arial" w:hAnsi="Arial" w:cs="Arial"/>
          <w:sz w:val="18"/>
          <w:szCs w:val="18"/>
        </w:rPr>
        <w:t>in which the European Court</w:t>
      </w:r>
      <w:r>
        <w:rPr>
          <w:rFonts w:ascii="Arial" w:hAnsi="Arial" w:cs="Arial"/>
          <w:sz w:val="18"/>
          <w:szCs w:val="18"/>
        </w:rPr>
        <w:t xml:space="preserve"> of Human Rights</w:t>
      </w:r>
      <w:r w:rsidRPr="00C55C28">
        <w:rPr>
          <w:rFonts w:ascii="Arial" w:hAnsi="Arial" w:cs="Arial"/>
          <w:sz w:val="18"/>
          <w:szCs w:val="18"/>
        </w:rPr>
        <w:t xml:space="preserve"> found amongst other matters that a local authority had failed to protect the applicants (children at the relevant times) from inhuman and degrading treatment inflicted on them by their parents, in violation of Article 3 of the European Convention on Human Rights.  The awards made by the European Court included awards for future medical costs for all of the applicants, and for loss of employment opportunities to two of the applicants. </w:t>
      </w:r>
    </w:p>
  </w:footnote>
  <w:footnote w:id="59">
    <w:p w14:paraId="7117D5CC" w14:textId="381E71C9" w:rsidR="00DF4D1E" w:rsidRPr="00C55C28" w:rsidRDefault="00DF4D1E" w:rsidP="000F5640">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xml:space="preserve">, at 323.  </w:t>
      </w:r>
    </w:p>
  </w:footnote>
  <w:footnote w:id="60">
    <w:p w14:paraId="5848B7A4" w14:textId="02FFFCDF" w:rsidR="00DF4D1E" w:rsidRPr="00C55C28" w:rsidRDefault="00DF4D1E" w:rsidP="000F5640">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xml:space="preserve">, at 327-329.  </w:t>
      </w:r>
    </w:p>
  </w:footnote>
  <w:footnote w:id="61">
    <w:p w14:paraId="44BDA23F" w14:textId="3194B594" w:rsidR="00DF4D1E" w:rsidRPr="00C55C28" w:rsidRDefault="00DF4D1E" w:rsidP="000F5640">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325, 329-330.</w:t>
      </w:r>
    </w:p>
  </w:footnote>
  <w:footnote w:id="62">
    <w:p w14:paraId="411CBE46" w14:textId="3106BBF2" w:rsidR="00DF4D1E" w:rsidRPr="00C55C28" w:rsidRDefault="00DF4D1E" w:rsidP="000F5640">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325.</w:t>
      </w:r>
    </w:p>
  </w:footnote>
  <w:footnote w:id="63">
    <w:p w14:paraId="73880C26" w14:textId="6A6500D6" w:rsidR="00DF4D1E" w:rsidRPr="00C55C28" w:rsidRDefault="00DF4D1E" w:rsidP="000F5640">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xml:space="preserve">, at 325. </w:t>
      </w:r>
    </w:p>
  </w:footnote>
  <w:footnote w:id="64">
    <w:p w14:paraId="670876B5" w14:textId="3FDE0E59" w:rsidR="00DF4D1E" w:rsidRPr="00C55C28" w:rsidRDefault="00DF4D1E" w:rsidP="000F5640">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xml:space="preserve">, at 376 and 440.  </w:t>
      </w:r>
    </w:p>
  </w:footnote>
  <w:footnote w:id="65">
    <w:p w14:paraId="3B4CB93A" w14:textId="019EB5EE" w:rsidR="00DF4D1E" w:rsidRPr="00C55C28" w:rsidRDefault="00DF4D1E" w:rsidP="000F5640">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See for example the Views of the Human Rights Committee in </w:t>
      </w:r>
      <w:proofErr w:type="spellStart"/>
      <w:r w:rsidRPr="00C55C28">
        <w:rPr>
          <w:rFonts w:ascii="Arial" w:hAnsi="Arial" w:cs="Arial"/>
          <w:i/>
          <w:iCs/>
          <w:sz w:val="18"/>
          <w:szCs w:val="18"/>
        </w:rPr>
        <w:t>Chernev</w:t>
      </w:r>
      <w:proofErr w:type="spellEnd"/>
      <w:r w:rsidRPr="00C55C28">
        <w:rPr>
          <w:rFonts w:ascii="Arial" w:hAnsi="Arial" w:cs="Arial"/>
          <w:i/>
          <w:iCs/>
          <w:sz w:val="18"/>
          <w:szCs w:val="18"/>
        </w:rPr>
        <w:t xml:space="preserve"> v Russian Federation</w:t>
      </w:r>
      <w:r w:rsidRPr="00C55C28">
        <w:rPr>
          <w:rFonts w:ascii="Arial" w:hAnsi="Arial" w:cs="Arial"/>
          <w:sz w:val="18"/>
          <w:szCs w:val="18"/>
        </w:rPr>
        <w:t>, above n</w:t>
      </w:r>
      <w:r>
        <w:rPr>
          <w:rFonts w:ascii="Arial" w:hAnsi="Arial" w:cs="Arial"/>
          <w:sz w:val="18"/>
          <w:szCs w:val="18"/>
        </w:rPr>
        <w:t xml:space="preserve"> 38</w:t>
      </w:r>
      <w:r w:rsidRPr="00C55C28">
        <w:rPr>
          <w:rFonts w:ascii="Arial" w:hAnsi="Arial" w:cs="Arial"/>
          <w:sz w:val="18"/>
          <w:szCs w:val="18"/>
        </w:rPr>
        <w:t>,</w:t>
      </w:r>
      <w:r w:rsidRPr="00C55C28">
        <w:rPr>
          <w:rFonts w:ascii="Arial" w:hAnsi="Arial" w:cs="Arial"/>
          <w:i/>
          <w:iCs/>
          <w:sz w:val="18"/>
          <w:szCs w:val="18"/>
        </w:rPr>
        <w:t xml:space="preserve"> </w:t>
      </w:r>
      <w:r w:rsidRPr="00C55C28">
        <w:rPr>
          <w:rFonts w:ascii="Arial" w:hAnsi="Arial" w:cs="Arial"/>
          <w:sz w:val="18"/>
          <w:szCs w:val="18"/>
        </w:rPr>
        <w:t xml:space="preserve">in which the Committee stated at [14] that the Russian Federation was “obligated to, inter alia, provide Vladimir </w:t>
      </w:r>
      <w:proofErr w:type="spellStart"/>
      <w:r w:rsidRPr="00C55C28">
        <w:rPr>
          <w:rFonts w:ascii="Arial" w:hAnsi="Arial" w:cs="Arial"/>
          <w:sz w:val="18"/>
          <w:szCs w:val="18"/>
        </w:rPr>
        <w:t>Chernev</w:t>
      </w:r>
      <w:proofErr w:type="spellEnd"/>
      <w:r w:rsidRPr="00C55C28">
        <w:rPr>
          <w:rFonts w:ascii="Arial" w:hAnsi="Arial" w:cs="Arial"/>
          <w:sz w:val="18"/>
          <w:szCs w:val="18"/>
        </w:rPr>
        <w:t xml:space="preserve"> with adequate compensation” and the </w:t>
      </w:r>
      <w:r>
        <w:rPr>
          <w:rFonts w:ascii="Arial" w:hAnsi="Arial" w:cs="Arial"/>
          <w:sz w:val="18"/>
          <w:szCs w:val="18"/>
        </w:rPr>
        <w:t xml:space="preserve">decision </w:t>
      </w:r>
      <w:r w:rsidRPr="00C55C28">
        <w:rPr>
          <w:rFonts w:ascii="Arial" w:hAnsi="Arial" w:cs="Arial"/>
          <w:sz w:val="18"/>
          <w:szCs w:val="18"/>
        </w:rPr>
        <w:t xml:space="preserve">of the Committee Against Torture in </w:t>
      </w:r>
      <w:proofErr w:type="spellStart"/>
      <w:r w:rsidRPr="00C55C28">
        <w:rPr>
          <w:rFonts w:ascii="Arial" w:hAnsi="Arial" w:cs="Arial"/>
          <w:i/>
          <w:iCs/>
          <w:sz w:val="18"/>
          <w:szCs w:val="18"/>
        </w:rPr>
        <w:t>Yrusta</w:t>
      </w:r>
      <w:proofErr w:type="spellEnd"/>
      <w:r w:rsidRPr="00C55C28">
        <w:rPr>
          <w:rFonts w:ascii="Arial" w:hAnsi="Arial" w:cs="Arial"/>
          <w:i/>
          <w:iCs/>
          <w:sz w:val="18"/>
          <w:szCs w:val="18"/>
        </w:rPr>
        <w:t xml:space="preserve"> et al v Argentina</w:t>
      </w:r>
      <w:r w:rsidRPr="00C55C28">
        <w:rPr>
          <w:rFonts w:ascii="Arial" w:hAnsi="Arial" w:cs="Arial"/>
          <w:sz w:val="18"/>
          <w:szCs w:val="18"/>
        </w:rPr>
        <w:t>, above n</w:t>
      </w:r>
      <w:r>
        <w:rPr>
          <w:rFonts w:ascii="Arial" w:hAnsi="Arial" w:cs="Arial"/>
          <w:sz w:val="18"/>
          <w:szCs w:val="18"/>
        </w:rPr>
        <w:t xml:space="preserve"> 30</w:t>
      </w:r>
      <w:r w:rsidRPr="00C55C28">
        <w:rPr>
          <w:rFonts w:ascii="Arial" w:hAnsi="Arial" w:cs="Arial"/>
          <w:sz w:val="18"/>
          <w:szCs w:val="18"/>
        </w:rPr>
        <w:t xml:space="preserve">, where at [9(c)] the Committee “urged” Argentina to provide “appropriate redress, including fair compensation […]”. </w:t>
      </w:r>
    </w:p>
  </w:footnote>
  <w:footnote w:id="66">
    <w:p w14:paraId="5E48AB36" w14:textId="5ECA7321" w:rsidR="00DF4D1E" w:rsidRPr="00C55C28" w:rsidRDefault="00DF4D1E" w:rsidP="000F5640">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See Shelton, above n</w:t>
      </w:r>
      <w:r>
        <w:rPr>
          <w:rFonts w:ascii="Arial" w:hAnsi="Arial" w:cs="Arial"/>
          <w:sz w:val="18"/>
          <w:szCs w:val="18"/>
        </w:rPr>
        <w:t xml:space="preserve"> 3</w:t>
      </w:r>
      <w:r w:rsidRPr="00C55C28">
        <w:rPr>
          <w:rFonts w:ascii="Arial" w:hAnsi="Arial" w:cs="Arial"/>
          <w:sz w:val="18"/>
          <w:szCs w:val="18"/>
        </w:rPr>
        <w:t xml:space="preserve">, at 201 and 321, and CCPR </w:t>
      </w:r>
      <w:r w:rsidRPr="00C55C28">
        <w:rPr>
          <w:rFonts w:ascii="Arial" w:hAnsi="Arial" w:cs="Arial"/>
          <w:i/>
          <w:iCs/>
          <w:sz w:val="18"/>
          <w:szCs w:val="18"/>
        </w:rPr>
        <w:t>Guidelines on measures of reparation</w:t>
      </w:r>
      <w:r w:rsidRPr="00C55C28">
        <w:rPr>
          <w:rFonts w:ascii="Arial" w:hAnsi="Arial" w:cs="Arial"/>
          <w:sz w:val="18"/>
          <w:szCs w:val="18"/>
        </w:rPr>
        <w:t>, above n</w:t>
      </w:r>
      <w:r>
        <w:rPr>
          <w:rFonts w:ascii="Arial" w:hAnsi="Arial" w:cs="Arial"/>
          <w:sz w:val="18"/>
          <w:szCs w:val="18"/>
        </w:rPr>
        <w:t xml:space="preserve"> 37</w:t>
      </w:r>
      <w:r w:rsidRPr="00C55C28">
        <w:rPr>
          <w:rFonts w:ascii="Arial" w:hAnsi="Arial" w:cs="Arial"/>
          <w:sz w:val="18"/>
          <w:szCs w:val="18"/>
        </w:rPr>
        <w:t>, at [9].</w:t>
      </w:r>
    </w:p>
  </w:footnote>
  <w:footnote w:id="67">
    <w:p w14:paraId="5A67924D" w14:textId="17AF9B99" w:rsidR="00DF4D1E" w:rsidRPr="00C55C28" w:rsidRDefault="00DF4D1E" w:rsidP="000F5640">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ILC Articles, above n</w:t>
      </w:r>
      <w:r>
        <w:rPr>
          <w:rFonts w:ascii="Arial" w:hAnsi="Arial" w:cs="Arial"/>
          <w:sz w:val="18"/>
          <w:szCs w:val="18"/>
        </w:rPr>
        <w:t xml:space="preserve"> 21</w:t>
      </w:r>
      <w:r w:rsidRPr="00C55C28">
        <w:rPr>
          <w:rFonts w:ascii="Arial" w:hAnsi="Arial" w:cs="Arial"/>
          <w:sz w:val="18"/>
          <w:szCs w:val="18"/>
        </w:rPr>
        <w:t xml:space="preserve">, </w:t>
      </w:r>
      <w:r>
        <w:rPr>
          <w:rFonts w:ascii="Arial" w:hAnsi="Arial" w:cs="Arial"/>
          <w:sz w:val="18"/>
          <w:szCs w:val="18"/>
        </w:rPr>
        <w:t xml:space="preserve">art </w:t>
      </w:r>
      <w:r w:rsidRPr="00C55C28">
        <w:rPr>
          <w:rFonts w:ascii="Arial" w:hAnsi="Arial" w:cs="Arial"/>
          <w:sz w:val="18"/>
          <w:szCs w:val="18"/>
        </w:rPr>
        <w:t>30.</w:t>
      </w:r>
    </w:p>
  </w:footnote>
  <w:footnote w:id="68">
    <w:p w14:paraId="691911D6" w14:textId="46F0F18E" w:rsidR="00DF4D1E" w:rsidRPr="00C55C28" w:rsidRDefault="00DF4D1E" w:rsidP="000F5640">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396, and ILC Articles, above n</w:t>
      </w:r>
      <w:r>
        <w:rPr>
          <w:rFonts w:ascii="Arial" w:hAnsi="Arial" w:cs="Arial"/>
          <w:sz w:val="18"/>
          <w:szCs w:val="18"/>
        </w:rPr>
        <w:t xml:space="preserve"> 21</w:t>
      </w:r>
      <w:r w:rsidRPr="00C55C28">
        <w:rPr>
          <w:rFonts w:ascii="Arial" w:hAnsi="Arial" w:cs="Arial"/>
          <w:sz w:val="18"/>
          <w:szCs w:val="18"/>
        </w:rPr>
        <w:t xml:space="preserve">, art 37.  </w:t>
      </w:r>
    </w:p>
  </w:footnote>
  <w:footnote w:id="69">
    <w:p w14:paraId="22B44517" w14:textId="246FBE89" w:rsidR="00DF4D1E" w:rsidRPr="00C55C28" w:rsidRDefault="00DF4D1E" w:rsidP="000F5640">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See for example CCPR, </w:t>
      </w:r>
      <w:r w:rsidRPr="00C55C28">
        <w:rPr>
          <w:rFonts w:ascii="Arial" w:hAnsi="Arial" w:cs="Arial"/>
          <w:i/>
          <w:iCs/>
          <w:sz w:val="18"/>
          <w:szCs w:val="18"/>
        </w:rPr>
        <w:t>Guidelines on measures of reparation</w:t>
      </w:r>
      <w:r w:rsidRPr="00C55C28">
        <w:rPr>
          <w:rFonts w:ascii="Arial" w:hAnsi="Arial" w:cs="Arial"/>
          <w:sz w:val="18"/>
          <w:szCs w:val="18"/>
        </w:rPr>
        <w:t>, above n</w:t>
      </w:r>
      <w:r>
        <w:rPr>
          <w:rFonts w:ascii="Arial" w:hAnsi="Arial" w:cs="Arial"/>
          <w:sz w:val="18"/>
          <w:szCs w:val="18"/>
        </w:rPr>
        <w:t xml:space="preserve"> 37</w:t>
      </w:r>
      <w:r w:rsidRPr="00C55C28">
        <w:rPr>
          <w:rFonts w:ascii="Arial" w:hAnsi="Arial" w:cs="Arial"/>
          <w:sz w:val="18"/>
          <w:szCs w:val="18"/>
        </w:rPr>
        <w:t>, at [11(b)].</w:t>
      </w:r>
    </w:p>
  </w:footnote>
  <w:footnote w:id="70">
    <w:p w14:paraId="0F335354" w14:textId="6DED6176" w:rsidR="00DF4D1E" w:rsidRPr="00C55C28" w:rsidRDefault="00DF4D1E" w:rsidP="000F5640">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CCPR, </w:t>
      </w:r>
      <w:r w:rsidRPr="00105578">
        <w:rPr>
          <w:rFonts w:ascii="Arial" w:hAnsi="Arial" w:cs="Arial"/>
          <w:i/>
          <w:iCs/>
          <w:sz w:val="18"/>
          <w:szCs w:val="18"/>
        </w:rPr>
        <w:t>General Comment No 31</w:t>
      </w:r>
      <w:r w:rsidRPr="00C55C28">
        <w:rPr>
          <w:rFonts w:ascii="Arial" w:hAnsi="Arial" w:cs="Arial"/>
          <w:sz w:val="18"/>
          <w:szCs w:val="18"/>
        </w:rPr>
        <w:t xml:space="preserve">, </w:t>
      </w:r>
      <w:r>
        <w:rPr>
          <w:rFonts w:ascii="Arial" w:hAnsi="Arial" w:cs="Arial"/>
          <w:sz w:val="18"/>
          <w:szCs w:val="18"/>
        </w:rPr>
        <w:t xml:space="preserve">above n 22, </w:t>
      </w:r>
      <w:r w:rsidRPr="00C55C28">
        <w:rPr>
          <w:rFonts w:ascii="Arial" w:hAnsi="Arial" w:cs="Arial"/>
          <w:sz w:val="18"/>
          <w:szCs w:val="18"/>
        </w:rPr>
        <w:t xml:space="preserve">at [16].  See also CCPR </w:t>
      </w:r>
      <w:r w:rsidRPr="00C55C28">
        <w:rPr>
          <w:rFonts w:ascii="Arial" w:hAnsi="Arial" w:cs="Arial"/>
          <w:i/>
          <w:iCs/>
          <w:sz w:val="18"/>
          <w:szCs w:val="18"/>
        </w:rPr>
        <w:t>Guidelines on measures of reparation</w:t>
      </w:r>
      <w:r w:rsidRPr="00C55C28">
        <w:rPr>
          <w:rFonts w:ascii="Arial" w:hAnsi="Arial" w:cs="Arial"/>
          <w:sz w:val="18"/>
          <w:szCs w:val="18"/>
        </w:rPr>
        <w:t>, above n</w:t>
      </w:r>
      <w:r>
        <w:rPr>
          <w:rFonts w:ascii="Arial" w:hAnsi="Arial" w:cs="Arial"/>
          <w:sz w:val="18"/>
          <w:szCs w:val="18"/>
        </w:rPr>
        <w:t xml:space="preserve"> 37</w:t>
      </w:r>
      <w:r w:rsidRPr="00C55C28">
        <w:rPr>
          <w:rFonts w:ascii="Arial" w:hAnsi="Arial" w:cs="Arial"/>
          <w:sz w:val="18"/>
          <w:szCs w:val="18"/>
        </w:rPr>
        <w:t>, at [12]-[13].</w:t>
      </w:r>
    </w:p>
  </w:footnote>
  <w:footnote w:id="71">
    <w:p w14:paraId="7C39E1EF" w14:textId="46C0E7F3" w:rsidR="00DF4D1E" w:rsidRPr="00C55C28" w:rsidRDefault="00DF4D1E" w:rsidP="00525AD9">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287 to 295.</w:t>
      </w:r>
    </w:p>
  </w:footnote>
  <w:footnote w:id="72">
    <w:p w14:paraId="4647FB34" w14:textId="718F2752" w:rsidR="00DF4D1E" w:rsidRPr="00C55C28" w:rsidRDefault="00DF4D1E" w:rsidP="00525AD9">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xml:space="preserve">, </w:t>
      </w:r>
      <w:r>
        <w:rPr>
          <w:rFonts w:ascii="Arial" w:hAnsi="Arial" w:cs="Arial"/>
          <w:sz w:val="18"/>
          <w:szCs w:val="18"/>
        </w:rPr>
        <w:t xml:space="preserve">at </w:t>
      </w:r>
      <w:r w:rsidRPr="00C55C28">
        <w:rPr>
          <w:rFonts w:ascii="Arial" w:hAnsi="Arial" w:cs="Arial"/>
          <w:sz w:val="18"/>
          <w:szCs w:val="18"/>
        </w:rPr>
        <w:t>385 to 388.</w:t>
      </w:r>
    </w:p>
  </w:footnote>
  <w:footnote w:id="73">
    <w:p w14:paraId="732D40AF" w14:textId="1BE47106" w:rsidR="00DF4D1E" w:rsidRPr="00C55C28" w:rsidRDefault="00DF4D1E" w:rsidP="00525AD9">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296.</w:t>
      </w:r>
    </w:p>
  </w:footnote>
  <w:footnote w:id="74">
    <w:p w14:paraId="233D2803" w14:textId="25D0ACF4" w:rsidR="00DF4D1E" w:rsidRPr="00C55C28" w:rsidRDefault="00DF4D1E" w:rsidP="00525AD9">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Shelton, above n</w:t>
      </w:r>
      <w:r>
        <w:rPr>
          <w:rFonts w:ascii="Arial" w:hAnsi="Arial" w:cs="Arial"/>
          <w:sz w:val="18"/>
          <w:szCs w:val="18"/>
        </w:rPr>
        <w:t xml:space="preserve"> 3</w:t>
      </w:r>
      <w:r w:rsidRPr="00C55C28">
        <w:rPr>
          <w:rFonts w:ascii="Arial" w:hAnsi="Arial" w:cs="Arial"/>
          <w:sz w:val="18"/>
          <w:szCs w:val="18"/>
        </w:rPr>
        <w:t>, at 295-296.</w:t>
      </w:r>
    </w:p>
  </w:footnote>
  <w:footnote w:id="75">
    <w:p w14:paraId="18519FB8" w14:textId="5187C1D7" w:rsidR="00DF4D1E" w:rsidRPr="00C55C28" w:rsidRDefault="00DF4D1E" w:rsidP="00AF05E8">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See Joss Opie "A Case for Including Economic, Social and Cultural Rights in the New Zealand Bill of Rights Act 1990" (2012) 43 VUWLR 471 at 512.</w:t>
      </w:r>
    </w:p>
  </w:footnote>
  <w:footnote w:id="76">
    <w:p w14:paraId="1004BDB1" w14:textId="60242D98" w:rsidR="00DF4D1E" w:rsidRPr="00C55C28" w:rsidRDefault="00DF4D1E" w:rsidP="00AF05E8">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Justice Susan </w:t>
      </w:r>
      <w:proofErr w:type="spellStart"/>
      <w:r w:rsidRPr="00C55C28">
        <w:rPr>
          <w:rFonts w:ascii="Arial" w:hAnsi="Arial" w:cs="Arial"/>
          <w:sz w:val="18"/>
          <w:szCs w:val="18"/>
        </w:rPr>
        <w:t>Glazebrook</w:t>
      </w:r>
      <w:proofErr w:type="spellEnd"/>
      <w:r w:rsidRPr="00C55C28">
        <w:rPr>
          <w:rFonts w:ascii="Arial" w:hAnsi="Arial" w:cs="Arial"/>
          <w:sz w:val="18"/>
          <w:szCs w:val="18"/>
        </w:rPr>
        <w:t>, Natalie Baird and Sasha Holden “New Zealand: Country Report on Human Rights” (2009) 40 VUWLR 57 at 58.</w:t>
      </w:r>
    </w:p>
  </w:footnote>
  <w:footnote w:id="77">
    <w:p w14:paraId="7976A2BC" w14:textId="66F60DE9" w:rsidR="00DF4D1E" w:rsidRPr="00C55C28" w:rsidRDefault="00DF4D1E" w:rsidP="00AB3C3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proofErr w:type="spellStart"/>
      <w:r w:rsidRPr="00C55C28">
        <w:rPr>
          <w:rFonts w:ascii="Arial" w:hAnsi="Arial" w:cs="Arial"/>
          <w:sz w:val="18"/>
          <w:szCs w:val="18"/>
        </w:rPr>
        <w:t>Glazebrook</w:t>
      </w:r>
      <w:proofErr w:type="spellEnd"/>
      <w:r w:rsidRPr="00C55C28">
        <w:rPr>
          <w:rFonts w:ascii="Arial" w:hAnsi="Arial" w:cs="Arial"/>
          <w:sz w:val="18"/>
          <w:szCs w:val="18"/>
        </w:rPr>
        <w:t>, Baird and Holden</w:t>
      </w:r>
      <w:r>
        <w:rPr>
          <w:rFonts w:ascii="Arial" w:hAnsi="Arial" w:cs="Arial"/>
          <w:sz w:val="18"/>
          <w:szCs w:val="18"/>
        </w:rPr>
        <w:t>, above n</w:t>
      </w:r>
      <w:r w:rsidRPr="00C55C28">
        <w:rPr>
          <w:rFonts w:ascii="Arial" w:hAnsi="Arial" w:cs="Arial"/>
          <w:sz w:val="18"/>
          <w:szCs w:val="18"/>
        </w:rPr>
        <w:t xml:space="preserve"> </w:t>
      </w:r>
      <w:r>
        <w:rPr>
          <w:rFonts w:ascii="Arial" w:hAnsi="Arial" w:cs="Arial"/>
          <w:sz w:val="18"/>
          <w:szCs w:val="18"/>
        </w:rPr>
        <w:t>76</w:t>
      </w:r>
      <w:r w:rsidRPr="00C55C28">
        <w:rPr>
          <w:rFonts w:ascii="Arial" w:hAnsi="Arial" w:cs="Arial"/>
          <w:sz w:val="18"/>
          <w:szCs w:val="18"/>
        </w:rPr>
        <w:t>, at 59.</w:t>
      </w:r>
    </w:p>
  </w:footnote>
  <w:footnote w:id="78">
    <w:p w14:paraId="574DF171" w14:textId="0880A0DA" w:rsidR="00DF4D1E" w:rsidRPr="00C55C28" w:rsidRDefault="00DF4D1E" w:rsidP="00AB3C3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See Butler and Butler, above n</w:t>
      </w:r>
      <w:r>
        <w:rPr>
          <w:rFonts w:ascii="Arial" w:hAnsi="Arial" w:cs="Arial"/>
          <w:sz w:val="18"/>
          <w:szCs w:val="18"/>
        </w:rPr>
        <w:t xml:space="preserve"> 55</w:t>
      </w:r>
      <w:r w:rsidRPr="00C55C28">
        <w:rPr>
          <w:rFonts w:ascii="Arial" w:hAnsi="Arial" w:cs="Arial"/>
          <w:sz w:val="18"/>
          <w:szCs w:val="18"/>
        </w:rPr>
        <w:t>, at 3.4.1-3.4.37.</w:t>
      </w:r>
    </w:p>
  </w:footnote>
  <w:footnote w:id="79">
    <w:p w14:paraId="643472A9" w14:textId="49A792AD" w:rsidR="00DF4D1E" w:rsidRPr="00C55C28" w:rsidRDefault="00DF4D1E" w:rsidP="00AB3C3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Accident Compensation Act 2001, ss 21 and 21A. </w:t>
      </w:r>
    </w:p>
  </w:footnote>
  <w:footnote w:id="80">
    <w:p w14:paraId="4B1FABD7" w14:textId="3CB2DBA0" w:rsidR="00DF4D1E" w:rsidRPr="00C55C28" w:rsidRDefault="00DF4D1E" w:rsidP="00AB3C3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Accident Compensation Act</w:t>
      </w:r>
      <w:r>
        <w:rPr>
          <w:rFonts w:ascii="Arial" w:hAnsi="Arial" w:cs="Arial"/>
          <w:sz w:val="18"/>
          <w:szCs w:val="18"/>
        </w:rPr>
        <w:t xml:space="preserve"> 2001</w:t>
      </w:r>
      <w:r w:rsidRPr="00C55C28">
        <w:rPr>
          <w:rFonts w:ascii="Arial" w:hAnsi="Arial" w:cs="Arial"/>
          <w:sz w:val="18"/>
          <w:szCs w:val="18"/>
        </w:rPr>
        <w:t xml:space="preserve">, ss 67 and 69.  </w:t>
      </w:r>
    </w:p>
  </w:footnote>
  <w:footnote w:id="81">
    <w:p w14:paraId="058F0FFE" w14:textId="34A06EBB" w:rsidR="00DF4D1E" w:rsidRPr="00C55C28" w:rsidRDefault="00DF4D1E" w:rsidP="00AB3C34">
      <w:pPr>
        <w:pStyle w:val="FootnoteText"/>
        <w:ind w:left="567" w:hanging="567"/>
        <w:rPr>
          <w:rFonts w:ascii="Arial" w:hAnsi="Arial" w:cs="Arial"/>
          <w:b/>
          <w:bCs/>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 xml:space="preserve">Accident Compensation Act 2001, s 317.  Section 319 provides that proceedings for exemplary damages may be brought.  Note also the power under s 32(5) of the Sentencing Act 2002 to make an order of reparation in respect of certain types of loss resulting from criminal offending (including emotional harm, or loss or damage consequential on any emotional or physical harm), over and above the entitlements provided for in the Accident Compensation Act 2001: see </w:t>
      </w:r>
      <w:proofErr w:type="spellStart"/>
      <w:r w:rsidRPr="00C55C28">
        <w:rPr>
          <w:rFonts w:ascii="Arial" w:hAnsi="Arial" w:cs="Arial"/>
          <w:i/>
          <w:iCs/>
          <w:sz w:val="18"/>
          <w:szCs w:val="18"/>
          <w:lang w:val="en-NZ"/>
        </w:rPr>
        <w:t>Oceana</w:t>
      </w:r>
      <w:proofErr w:type="spellEnd"/>
      <w:r w:rsidRPr="00C55C28">
        <w:rPr>
          <w:rFonts w:ascii="Arial" w:hAnsi="Arial" w:cs="Arial"/>
          <w:i/>
          <w:iCs/>
          <w:sz w:val="18"/>
          <w:szCs w:val="18"/>
          <w:lang w:val="en-NZ"/>
        </w:rPr>
        <w:t xml:space="preserve"> Gold (New Zealand) Limited v WorkSafe New Zealand </w:t>
      </w:r>
      <w:r w:rsidRPr="00C55C28">
        <w:rPr>
          <w:rFonts w:ascii="Arial" w:hAnsi="Arial" w:cs="Arial"/>
          <w:sz w:val="18"/>
          <w:szCs w:val="18"/>
          <w:lang w:val="en-NZ"/>
        </w:rPr>
        <w:t>[2019] NZHC 365,</w:t>
      </w:r>
      <w:r w:rsidRPr="00C55C28">
        <w:rPr>
          <w:rFonts w:ascii="Arial" w:hAnsi="Arial" w:cs="Arial"/>
          <w:i/>
          <w:iCs/>
          <w:sz w:val="18"/>
          <w:szCs w:val="18"/>
          <w:lang w:val="en-NZ"/>
        </w:rPr>
        <w:t xml:space="preserve"> </w:t>
      </w:r>
      <w:r w:rsidRPr="00C55C28">
        <w:rPr>
          <w:rFonts w:ascii="Arial" w:hAnsi="Arial" w:cs="Arial"/>
          <w:sz w:val="18"/>
          <w:szCs w:val="18"/>
          <w:lang w:val="en-NZ"/>
        </w:rPr>
        <w:t>[2019] 3 NZLR 137.</w:t>
      </w:r>
    </w:p>
  </w:footnote>
  <w:footnote w:id="82">
    <w:p w14:paraId="15A900B5" w14:textId="09C4BB1A" w:rsidR="00DF4D1E" w:rsidRPr="00C55C28" w:rsidRDefault="00DF4D1E" w:rsidP="00AB3C3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xml:space="preserve">, at 3.3.1-3.3.28.  </w:t>
      </w:r>
    </w:p>
  </w:footnote>
  <w:footnote w:id="83">
    <w:p w14:paraId="0F8CCD77" w14:textId="5B4A8CA4" w:rsidR="00DF4D1E" w:rsidRPr="00C55C28" w:rsidRDefault="00DF4D1E" w:rsidP="00AB3C34">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proofErr w:type="spellStart"/>
      <w:r w:rsidRPr="00C55C28">
        <w:rPr>
          <w:rFonts w:ascii="Arial" w:hAnsi="Arial" w:cs="Arial"/>
          <w:i/>
          <w:iCs/>
          <w:sz w:val="18"/>
          <w:szCs w:val="18"/>
        </w:rPr>
        <w:t>Dunlea</w:t>
      </w:r>
      <w:proofErr w:type="spellEnd"/>
      <w:r w:rsidRPr="00C55C28">
        <w:rPr>
          <w:rFonts w:ascii="Arial" w:hAnsi="Arial" w:cs="Arial"/>
          <w:i/>
          <w:iCs/>
          <w:sz w:val="18"/>
          <w:szCs w:val="18"/>
        </w:rPr>
        <w:t xml:space="preserve"> v Attorney-General</w:t>
      </w:r>
      <w:r w:rsidRPr="00C55C28">
        <w:rPr>
          <w:rFonts w:ascii="Arial" w:hAnsi="Arial" w:cs="Arial"/>
          <w:sz w:val="18"/>
          <w:szCs w:val="18"/>
        </w:rPr>
        <w:t xml:space="preserve"> [2000] 3 NZLR 136 (CA) at [38] per Keith J.  See also Butler and Butler, above n</w:t>
      </w:r>
      <w:r>
        <w:rPr>
          <w:rFonts w:ascii="Arial" w:hAnsi="Arial" w:cs="Arial"/>
          <w:sz w:val="18"/>
          <w:szCs w:val="18"/>
        </w:rPr>
        <w:t xml:space="preserve"> 55</w:t>
      </w:r>
      <w:r w:rsidRPr="00C55C28">
        <w:rPr>
          <w:rFonts w:ascii="Arial" w:hAnsi="Arial" w:cs="Arial"/>
          <w:sz w:val="18"/>
          <w:szCs w:val="18"/>
        </w:rPr>
        <w:t>, at 1692-1693, who refer to tort claims such as assault and false imprisonment.  Claims for breach of statutory duty may also be relevant.</w:t>
      </w:r>
    </w:p>
  </w:footnote>
  <w:footnote w:id="84">
    <w:p w14:paraId="7FD915BA" w14:textId="56025242" w:rsidR="00DF4D1E" w:rsidRPr="00C55C28" w:rsidRDefault="00DF4D1E" w:rsidP="00AB3C34">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As stated by Geoffrey Palmer in “A Bill of Rights for New Zealand: A White Paper” [1984-1985] 1 AJHR A6</w:t>
      </w:r>
      <w:r>
        <w:rPr>
          <w:rFonts w:ascii="Arial" w:hAnsi="Arial" w:cs="Arial"/>
          <w:sz w:val="18"/>
          <w:szCs w:val="18"/>
          <w:lang w:val="en-NZ"/>
        </w:rPr>
        <w:t xml:space="preserve"> </w:t>
      </w:r>
      <w:r w:rsidRPr="00C55C28">
        <w:rPr>
          <w:rFonts w:ascii="Arial" w:hAnsi="Arial" w:cs="Arial"/>
          <w:sz w:val="18"/>
          <w:szCs w:val="18"/>
          <w:lang w:val="en-NZ"/>
        </w:rPr>
        <w:t>at [10.12], “Generally, the text of the Bill departs considerably from that of the Covenant both in phraseology and arrangement […] [M]any of the Articles in the Covenant have no corresponding provision in the Bill of Rights.”</w:t>
      </w:r>
    </w:p>
  </w:footnote>
  <w:footnote w:id="85">
    <w:p w14:paraId="285AF7ED" w14:textId="321A9049" w:rsidR="00DF4D1E" w:rsidRPr="00C55C28" w:rsidRDefault="00DF4D1E" w:rsidP="0002738C">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lang w:val="en-NZ"/>
        </w:rPr>
        <w:t xml:space="preserve"> </w:t>
      </w:r>
      <w:r w:rsidR="00BF40C6">
        <w:rPr>
          <w:rFonts w:ascii="Arial" w:hAnsi="Arial" w:cs="Arial"/>
          <w:sz w:val="18"/>
          <w:szCs w:val="18"/>
          <w:lang w:val="en-NZ"/>
        </w:rPr>
        <w:tab/>
      </w:r>
      <w:proofErr w:type="spellStart"/>
      <w:r w:rsidRPr="004611D5">
        <w:rPr>
          <w:rFonts w:ascii="Arial" w:hAnsi="Arial" w:cs="Arial"/>
          <w:i/>
          <w:iCs/>
          <w:sz w:val="18"/>
          <w:szCs w:val="18"/>
          <w:lang w:val="en-NZ"/>
        </w:rPr>
        <w:t>Taunoa</w:t>
      </w:r>
      <w:proofErr w:type="spellEnd"/>
      <w:r w:rsidRPr="00C55C28">
        <w:rPr>
          <w:rFonts w:ascii="Arial" w:hAnsi="Arial" w:cs="Arial"/>
          <w:sz w:val="18"/>
          <w:szCs w:val="18"/>
          <w:lang w:val="en-NZ"/>
        </w:rPr>
        <w:t>, above n</w:t>
      </w:r>
      <w:r>
        <w:rPr>
          <w:rFonts w:ascii="Arial" w:hAnsi="Arial" w:cs="Arial"/>
          <w:sz w:val="18"/>
          <w:szCs w:val="18"/>
          <w:lang w:val="en-NZ"/>
        </w:rPr>
        <w:t xml:space="preserve"> 55</w:t>
      </w:r>
      <w:r w:rsidRPr="00C55C28">
        <w:rPr>
          <w:rFonts w:ascii="Arial" w:hAnsi="Arial" w:cs="Arial"/>
          <w:sz w:val="18"/>
          <w:szCs w:val="18"/>
          <w:lang w:val="en-NZ"/>
        </w:rPr>
        <w:t xml:space="preserve">. </w:t>
      </w:r>
    </w:p>
  </w:footnote>
  <w:footnote w:id="86">
    <w:p w14:paraId="47A6AD15" w14:textId="401DFFFC" w:rsidR="00DF4D1E" w:rsidRPr="00C55C28" w:rsidRDefault="00DF4D1E" w:rsidP="0002738C">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lang w:val="en-NZ"/>
        </w:rPr>
        <w:t xml:space="preserve"> </w:t>
      </w:r>
      <w:r w:rsidR="00BF40C6">
        <w:rPr>
          <w:rFonts w:ascii="Arial" w:hAnsi="Arial" w:cs="Arial"/>
          <w:sz w:val="18"/>
          <w:szCs w:val="18"/>
          <w:lang w:val="en-NZ"/>
        </w:rPr>
        <w:tab/>
      </w:r>
      <w:proofErr w:type="spellStart"/>
      <w:r w:rsidRPr="00C55C28">
        <w:rPr>
          <w:rFonts w:ascii="Arial" w:hAnsi="Arial" w:cs="Arial"/>
          <w:i/>
          <w:iCs/>
          <w:sz w:val="18"/>
          <w:szCs w:val="18"/>
          <w:lang w:val="en-NZ"/>
        </w:rPr>
        <w:t>Taunoa</w:t>
      </w:r>
      <w:proofErr w:type="spellEnd"/>
      <w:r w:rsidRPr="00C55C28">
        <w:rPr>
          <w:rFonts w:ascii="Arial" w:hAnsi="Arial" w:cs="Arial"/>
          <w:sz w:val="18"/>
          <w:szCs w:val="18"/>
          <w:lang w:val="en-NZ"/>
        </w:rPr>
        <w:t>, above n</w:t>
      </w:r>
      <w:r>
        <w:rPr>
          <w:rFonts w:ascii="Arial" w:hAnsi="Arial" w:cs="Arial"/>
          <w:sz w:val="18"/>
          <w:szCs w:val="18"/>
          <w:lang w:val="en-NZ"/>
        </w:rPr>
        <w:t xml:space="preserve"> 55</w:t>
      </w:r>
      <w:r w:rsidRPr="00C55C28">
        <w:rPr>
          <w:rFonts w:ascii="Arial" w:hAnsi="Arial" w:cs="Arial"/>
          <w:sz w:val="18"/>
          <w:szCs w:val="18"/>
          <w:lang w:val="en-NZ"/>
        </w:rPr>
        <w:t xml:space="preserve">, at [179].  See also in this regard </w:t>
      </w:r>
      <w:r w:rsidRPr="00C55C28">
        <w:rPr>
          <w:rFonts w:ascii="Arial" w:hAnsi="Arial" w:cs="Arial"/>
          <w:i/>
          <w:iCs/>
          <w:sz w:val="18"/>
          <w:szCs w:val="18"/>
          <w:lang w:val="en-NZ"/>
        </w:rPr>
        <w:t xml:space="preserve">Martin v Tauranga District Court </w:t>
      </w:r>
      <w:r w:rsidRPr="00C55C28">
        <w:rPr>
          <w:rFonts w:ascii="Arial" w:hAnsi="Arial" w:cs="Arial"/>
          <w:sz w:val="18"/>
          <w:szCs w:val="18"/>
          <w:lang w:val="en-NZ"/>
        </w:rPr>
        <w:t>[1995] 2 NZLR 419 at 430 per Hardie Boys J</w:t>
      </w:r>
      <w:r w:rsidRPr="00C55C28">
        <w:rPr>
          <w:rFonts w:ascii="Arial" w:hAnsi="Arial" w:cs="Arial"/>
          <w:i/>
          <w:iCs/>
          <w:sz w:val="18"/>
          <w:szCs w:val="18"/>
          <w:lang w:val="en-NZ"/>
        </w:rPr>
        <w:t>.</w:t>
      </w:r>
    </w:p>
  </w:footnote>
  <w:footnote w:id="87">
    <w:p w14:paraId="66B74185" w14:textId="59F23A9D" w:rsidR="00DF4D1E" w:rsidRPr="00C55C28" w:rsidRDefault="00DF4D1E" w:rsidP="0002738C">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xml:space="preserve">, at 1518-1519.  </w:t>
      </w:r>
    </w:p>
  </w:footnote>
  <w:footnote w:id="88">
    <w:p w14:paraId="001E3153" w14:textId="3CBF9198" w:rsidR="00DF4D1E" w:rsidRPr="00C55C28" w:rsidRDefault="00DF4D1E" w:rsidP="0002738C">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xml:space="preserve">, at 1520 to 1523.  </w:t>
      </w:r>
    </w:p>
  </w:footnote>
  <w:footnote w:id="89">
    <w:p w14:paraId="5D2AFF30" w14:textId="1C415807" w:rsidR="00DF4D1E" w:rsidRPr="00C55C28" w:rsidRDefault="00DF4D1E" w:rsidP="0002738C">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at 1531-1532.</w:t>
      </w:r>
    </w:p>
  </w:footnote>
  <w:footnote w:id="90">
    <w:p w14:paraId="1021701E" w14:textId="11DAB5ED" w:rsidR="00DF4D1E" w:rsidRPr="00C55C28" w:rsidRDefault="00DF4D1E" w:rsidP="0002738C">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xml:space="preserve">, at 1590.  </w:t>
      </w:r>
    </w:p>
  </w:footnote>
  <w:footnote w:id="91">
    <w:p w14:paraId="261CF01A" w14:textId="0E81ED1D" w:rsidR="00DF4D1E" w:rsidRPr="00C55C28" w:rsidRDefault="00DF4D1E" w:rsidP="0002738C">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at 1565.</w:t>
      </w:r>
    </w:p>
  </w:footnote>
  <w:footnote w:id="92">
    <w:p w14:paraId="238F2CF9" w14:textId="297224DD" w:rsidR="00DF4D1E" w:rsidRPr="00C55C28" w:rsidRDefault="00DF4D1E" w:rsidP="0002738C">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xml:space="preserve">, at 1590, quoting Blanchard J in </w:t>
      </w:r>
      <w:proofErr w:type="spellStart"/>
      <w:r w:rsidRPr="00C55C28">
        <w:rPr>
          <w:rFonts w:ascii="Arial" w:hAnsi="Arial" w:cs="Arial"/>
          <w:i/>
          <w:iCs/>
          <w:sz w:val="18"/>
          <w:szCs w:val="18"/>
        </w:rPr>
        <w:t>Taunoa</w:t>
      </w:r>
      <w:proofErr w:type="spellEnd"/>
      <w:r w:rsidRPr="00C55C28">
        <w:rPr>
          <w:rFonts w:ascii="Arial" w:hAnsi="Arial" w:cs="Arial"/>
          <w:sz w:val="18"/>
          <w:szCs w:val="18"/>
        </w:rPr>
        <w:t>, above n</w:t>
      </w:r>
      <w:r>
        <w:rPr>
          <w:rFonts w:ascii="Arial" w:hAnsi="Arial" w:cs="Arial"/>
          <w:sz w:val="18"/>
          <w:szCs w:val="18"/>
        </w:rPr>
        <w:t xml:space="preserve"> 55</w:t>
      </w:r>
      <w:r w:rsidRPr="00C55C28">
        <w:rPr>
          <w:rFonts w:ascii="Arial" w:hAnsi="Arial" w:cs="Arial"/>
          <w:sz w:val="18"/>
          <w:szCs w:val="18"/>
        </w:rPr>
        <w:t xml:space="preserve">, at [265].  For a critique of the approach of the majority in </w:t>
      </w:r>
      <w:proofErr w:type="spellStart"/>
      <w:r w:rsidRPr="00C55C28">
        <w:rPr>
          <w:rFonts w:ascii="Arial" w:hAnsi="Arial" w:cs="Arial"/>
          <w:i/>
          <w:iCs/>
          <w:sz w:val="18"/>
          <w:szCs w:val="18"/>
        </w:rPr>
        <w:t>Taunoa</w:t>
      </w:r>
      <w:proofErr w:type="spellEnd"/>
      <w:r w:rsidRPr="00C55C28">
        <w:rPr>
          <w:rFonts w:ascii="Arial" w:hAnsi="Arial" w:cs="Arial"/>
          <w:sz w:val="18"/>
          <w:szCs w:val="18"/>
        </w:rPr>
        <w:t xml:space="preserve">, see Dr Rodney Harrison “Remedies for Breach of the New Zealand Bill of Rights Act 1990: The New Zealand Experience – </w:t>
      </w:r>
      <w:proofErr w:type="spellStart"/>
      <w:r w:rsidRPr="00C55C28">
        <w:rPr>
          <w:rFonts w:ascii="Arial" w:hAnsi="Arial" w:cs="Arial"/>
          <w:sz w:val="18"/>
          <w:szCs w:val="18"/>
        </w:rPr>
        <w:t>Recognising</w:t>
      </w:r>
      <w:proofErr w:type="spellEnd"/>
      <w:r w:rsidRPr="00C55C28">
        <w:rPr>
          <w:rFonts w:ascii="Arial" w:hAnsi="Arial" w:cs="Arial"/>
          <w:sz w:val="18"/>
          <w:szCs w:val="18"/>
        </w:rPr>
        <w:t xml:space="preserve"> Rights while Withholding Meaningful Remedies” (</w:t>
      </w:r>
      <w:r>
        <w:rPr>
          <w:rFonts w:ascii="Arial" w:hAnsi="Arial" w:cs="Arial"/>
          <w:sz w:val="18"/>
          <w:szCs w:val="18"/>
        </w:rPr>
        <w:t xml:space="preserve">paper presented to the New Zealand Law Society </w:t>
      </w:r>
      <w:r w:rsidRPr="00C55C28">
        <w:rPr>
          <w:rFonts w:ascii="Arial" w:hAnsi="Arial" w:cs="Arial"/>
          <w:sz w:val="18"/>
          <w:szCs w:val="18"/>
        </w:rPr>
        <w:t>Using Human Rights Law in Litigation Intensive</w:t>
      </w:r>
      <w:r>
        <w:rPr>
          <w:rFonts w:ascii="Arial" w:hAnsi="Arial" w:cs="Arial"/>
          <w:sz w:val="18"/>
          <w:szCs w:val="18"/>
        </w:rPr>
        <w:t xml:space="preserve"> Conference</w:t>
      </w:r>
      <w:r w:rsidRPr="00C55C28">
        <w:rPr>
          <w:rFonts w:ascii="Arial" w:hAnsi="Arial" w:cs="Arial"/>
          <w:sz w:val="18"/>
          <w:szCs w:val="18"/>
        </w:rPr>
        <w:t xml:space="preserve">, </w:t>
      </w:r>
      <w:r>
        <w:rPr>
          <w:rFonts w:ascii="Arial" w:hAnsi="Arial" w:cs="Arial"/>
          <w:sz w:val="18"/>
          <w:szCs w:val="18"/>
        </w:rPr>
        <w:t xml:space="preserve">June </w:t>
      </w:r>
      <w:r w:rsidRPr="00C55C28">
        <w:rPr>
          <w:rFonts w:ascii="Arial" w:hAnsi="Arial" w:cs="Arial"/>
          <w:sz w:val="18"/>
          <w:szCs w:val="18"/>
        </w:rPr>
        <w:t>2014) 107.  Dr Harrison argues at 116 that the sums awarded as compensation by the Supreme Court</w:t>
      </w:r>
      <w:r>
        <w:rPr>
          <w:rFonts w:ascii="Arial" w:hAnsi="Arial" w:cs="Arial"/>
          <w:sz w:val="18"/>
          <w:szCs w:val="18"/>
        </w:rPr>
        <w:t xml:space="preserve"> majority</w:t>
      </w:r>
      <w:r w:rsidRPr="00C55C28">
        <w:rPr>
          <w:rFonts w:ascii="Arial" w:hAnsi="Arial" w:cs="Arial"/>
          <w:sz w:val="18"/>
          <w:szCs w:val="18"/>
        </w:rPr>
        <w:t xml:space="preserve"> in </w:t>
      </w:r>
      <w:proofErr w:type="spellStart"/>
      <w:r w:rsidRPr="00C55C28">
        <w:rPr>
          <w:rFonts w:ascii="Arial" w:hAnsi="Arial" w:cs="Arial"/>
          <w:i/>
          <w:iCs/>
          <w:sz w:val="18"/>
          <w:szCs w:val="18"/>
        </w:rPr>
        <w:t>Taunoa</w:t>
      </w:r>
      <w:proofErr w:type="spellEnd"/>
      <w:r w:rsidRPr="00C55C28">
        <w:rPr>
          <w:rFonts w:ascii="Arial" w:hAnsi="Arial" w:cs="Arial"/>
          <w:i/>
          <w:iCs/>
          <w:sz w:val="18"/>
          <w:szCs w:val="18"/>
        </w:rPr>
        <w:t xml:space="preserve"> </w:t>
      </w:r>
      <w:r w:rsidRPr="00C55C28">
        <w:rPr>
          <w:rFonts w:ascii="Arial" w:hAnsi="Arial" w:cs="Arial"/>
          <w:sz w:val="18"/>
          <w:szCs w:val="18"/>
        </w:rPr>
        <w:t>“are so small as to be derisory”</w:t>
      </w:r>
      <w:r w:rsidRPr="00C55C28">
        <w:rPr>
          <w:rFonts w:ascii="Arial" w:hAnsi="Arial" w:cs="Arial"/>
          <w:i/>
          <w:iCs/>
          <w:sz w:val="18"/>
          <w:szCs w:val="18"/>
        </w:rPr>
        <w:t>.</w:t>
      </w:r>
    </w:p>
  </w:footnote>
  <w:footnote w:id="93">
    <w:p w14:paraId="5A0521AD" w14:textId="1AFCF606" w:rsidR="00DF4D1E" w:rsidRPr="00C55C28" w:rsidRDefault="00DF4D1E" w:rsidP="0002738C">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xml:space="preserve">, at 1532.  </w:t>
      </w:r>
    </w:p>
  </w:footnote>
  <w:footnote w:id="94">
    <w:p w14:paraId="6F6F01DD" w14:textId="7576FF72" w:rsidR="00DF4D1E" w:rsidRPr="00C55C28" w:rsidRDefault="00DF4D1E" w:rsidP="000726D1">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proofErr w:type="spellStart"/>
      <w:r w:rsidRPr="00C55C28">
        <w:rPr>
          <w:rFonts w:ascii="Arial" w:hAnsi="Arial" w:cs="Arial"/>
          <w:i/>
          <w:iCs/>
          <w:sz w:val="18"/>
          <w:szCs w:val="18"/>
        </w:rPr>
        <w:t>Taunoa</w:t>
      </w:r>
      <w:proofErr w:type="spellEnd"/>
      <w:r w:rsidRPr="00C55C28">
        <w:rPr>
          <w:rFonts w:ascii="Arial" w:hAnsi="Arial" w:cs="Arial"/>
          <w:sz w:val="18"/>
          <w:szCs w:val="18"/>
        </w:rPr>
        <w:t>, above n</w:t>
      </w:r>
      <w:r>
        <w:rPr>
          <w:rFonts w:ascii="Arial" w:hAnsi="Arial" w:cs="Arial"/>
          <w:sz w:val="18"/>
          <w:szCs w:val="18"/>
        </w:rPr>
        <w:t xml:space="preserve"> 55</w:t>
      </w:r>
      <w:r w:rsidRPr="00C55C28">
        <w:rPr>
          <w:rFonts w:ascii="Arial" w:hAnsi="Arial" w:cs="Arial"/>
          <w:sz w:val="18"/>
          <w:szCs w:val="18"/>
        </w:rPr>
        <w:t xml:space="preserve">, at [262] per Blanchard J. </w:t>
      </w:r>
    </w:p>
  </w:footnote>
  <w:footnote w:id="95">
    <w:p w14:paraId="00F4B599" w14:textId="7132AC40" w:rsidR="00DF4D1E" w:rsidRPr="00C55C28" w:rsidRDefault="00DF4D1E" w:rsidP="000726D1">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xml:space="preserve">, at 1532 and 1575.  </w:t>
      </w:r>
    </w:p>
  </w:footnote>
  <w:footnote w:id="96">
    <w:p w14:paraId="543F971B" w14:textId="40070C8F" w:rsidR="00DF4D1E" w:rsidRPr="00C55C28" w:rsidRDefault="00DF4D1E" w:rsidP="000726D1">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i/>
          <w:iCs/>
          <w:sz w:val="18"/>
          <w:szCs w:val="18"/>
        </w:rPr>
        <w:t>Wilding v Attorney-General</w:t>
      </w:r>
      <w:r w:rsidRPr="00C55C28">
        <w:rPr>
          <w:rFonts w:ascii="Arial" w:hAnsi="Arial" w:cs="Arial"/>
          <w:sz w:val="18"/>
          <w:szCs w:val="18"/>
        </w:rPr>
        <w:t xml:space="preserve"> [2003]</w:t>
      </w:r>
      <w:r w:rsidRPr="00C55C28">
        <w:rPr>
          <w:rFonts w:ascii="Arial" w:hAnsi="Arial" w:cs="Arial"/>
          <w:i/>
          <w:iCs/>
          <w:sz w:val="18"/>
          <w:szCs w:val="18"/>
        </w:rPr>
        <w:t xml:space="preserve"> </w:t>
      </w:r>
      <w:r w:rsidRPr="00C55C28">
        <w:rPr>
          <w:rFonts w:ascii="Arial" w:hAnsi="Arial" w:cs="Arial"/>
          <w:sz w:val="18"/>
          <w:szCs w:val="18"/>
        </w:rPr>
        <w:t xml:space="preserve">3 NZLR 787 (CA) at [16].  See also </w:t>
      </w:r>
      <w:proofErr w:type="spellStart"/>
      <w:r w:rsidRPr="00C55C28">
        <w:rPr>
          <w:rFonts w:ascii="Arial" w:hAnsi="Arial" w:cs="Arial"/>
          <w:i/>
          <w:iCs/>
          <w:sz w:val="18"/>
          <w:szCs w:val="18"/>
        </w:rPr>
        <w:t>Falwasser</w:t>
      </w:r>
      <w:proofErr w:type="spellEnd"/>
      <w:r w:rsidRPr="00C55C28">
        <w:rPr>
          <w:rFonts w:ascii="Arial" w:hAnsi="Arial" w:cs="Arial"/>
          <w:i/>
          <w:iCs/>
          <w:sz w:val="18"/>
          <w:szCs w:val="18"/>
        </w:rPr>
        <w:t xml:space="preserve"> v Attorney-General </w:t>
      </w:r>
      <w:r w:rsidRPr="00C55C28">
        <w:rPr>
          <w:rFonts w:ascii="Arial" w:hAnsi="Arial" w:cs="Arial"/>
          <w:sz w:val="18"/>
          <w:szCs w:val="18"/>
        </w:rPr>
        <w:t>[2010] NZAR 445 (HC) at [124].</w:t>
      </w:r>
    </w:p>
  </w:footnote>
  <w:footnote w:id="97">
    <w:p w14:paraId="346A04E9" w14:textId="6979A6C8" w:rsidR="00DF4D1E" w:rsidRPr="00C55C28" w:rsidRDefault="00DF4D1E" w:rsidP="000726D1">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xml:space="preserve">, at 1533.  </w:t>
      </w:r>
    </w:p>
  </w:footnote>
  <w:footnote w:id="98">
    <w:p w14:paraId="624B2706" w14:textId="7B0048E1" w:rsidR="00DF4D1E" w:rsidRPr="00C55C28" w:rsidRDefault="00DF4D1E" w:rsidP="000726D1">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at 1538 and 1586.  The Butlers state that it is an open question whether exemplary damages can be awarded, and argue that they should be available (see 1587-1590).</w:t>
      </w:r>
    </w:p>
  </w:footnote>
  <w:footnote w:id="99">
    <w:p w14:paraId="1303AB60" w14:textId="54F8D41A" w:rsidR="00DF4D1E" w:rsidRPr="00C55C28" w:rsidRDefault="00DF4D1E" w:rsidP="000726D1">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For a summary of other remedies, including extraordinary remedies, specific performance, judicial review, habeas corpus, and torts, see Butler and Butler, above n</w:t>
      </w:r>
      <w:r>
        <w:rPr>
          <w:rFonts w:ascii="Arial" w:hAnsi="Arial" w:cs="Arial"/>
          <w:sz w:val="18"/>
          <w:szCs w:val="18"/>
        </w:rPr>
        <w:t xml:space="preserve"> 55</w:t>
      </w:r>
      <w:r w:rsidRPr="00C55C28">
        <w:rPr>
          <w:rFonts w:ascii="Arial" w:hAnsi="Arial" w:cs="Arial"/>
          <w:sz w:val="18"/>
          <w:szCs w:val="18"/>
        </w:rPr>
        <w:t>, at 1657-1694.</w:t>
      </w:r>
    </w:p>
  </w:footnote>
  <w:footnote w:id="100">
    <w:p w14:paraId="7904DCEE" w14:textId="68EDC6BB" w:rsidR="00DF4D1E" w:rsidRPr="00C55C28" w:rsidRDefault="00DF4D1E" w:rsidP="000726D1">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at 1687.</w:t>
      </w:r>
    </w:p>
  </w:footnote>
  <w:footnote w:id="101">
    <w:p w14:paraId="4B55F5FA" w14:textId="04EDD33F" w:rsidR="00DF4D1E" w:rsidRPr="00C55C28" w:rsidRDefault="00DF4D1E" w:rsidP="000726D1">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i/>
          <w:iCs/>
          <w:sz w:val="18"/>
          <w:szCs w:val="18"/>
        </w:rPr>
        <w:t>Attorney-General v Taylor</w:t>
      </w:r>
      <w:r w:rsidRPr="00C55C28">
        <w:rPr>
          <w:rFonts w:ascii="Arial" w:hAnsi="Arial" w:cs="Arial"/>
          <w:sz w:val="18"/>
          <w:szCs w:val="18"/>
        </w:rPr>
        <w:t xml:space="preserve"> [2018] NZSC 104, [2019] 1 NZLR 213.</w:t>
      </w:r>
    </w:p>
  </w:footnote>
  <w:footnote w:id="102">
    <w:p w14:paraId="2C004624" w14:textId="32CDCD29" w:rsidR="00DF4D1E" w:rsidRPr="00C55C28" w:rsidRDefault="00DF4D1E" w:rsidP="000726D1">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proofErr w:type="spellStart"/>
      <w:r w:rsidRPr="00C55C28">
        <w:rPr>
          <w:rFonts w:ascii="Arial" w:hAnsi="Arial" w:cs="Arial"/>
          <w:i/>
          <w:iCs/>
          <w:sz w:val="18"/>
          <w:szCs w:val="18"/>
        </w:rPr>
        <w:t>Taunoa</w:t>
      </w:r>
      <w:proofErr w:type="spellEnd"/>
      <w:r w:rsidRPr="00C55C28">
        <w:rPr>
          <w:rFonts w:ascii="Arial" w:hAnsi="Arial" w:cs="Arial"/>
          <w:sz w:val="18"/>
          <w:szCs w:val="18"/>
        </w:rPr>
        <w:t>, above n</w:t>
      </w:r>
      <w:r>
        <w:rPr>
          <w:rFonts w:ascii="Arial" w:hAnsi="Arial" w:cs="Arial"/>
          <w:sz w:val="18"/>
          <w:szCs w:val="18"/>
        </w:rPr>
        <w:t xml:space="preserve"> 55</w:t>
      </w:r>
      <w:r w:rsidRPr="00C55C28">
        <w:rPr>
          <w:rFonts w:ascii="Arial" w:hAnsi="Arial" w:cs="Arial"/>
          <w:sz w:val="18"/>
          <w:szCs w:val="18"/>
        </w:rPr>
        <w:t>,</w:t>
      </w:r>
      <w:r w:rsidRPr="00C55C28">
        <w:rPr>
          <w:rFonts w:ascii="Arial" w:hAnsi="Arial" w:cs="Arial"/>
          <w:i/>
          <w:iCs/>
          <w:sz w:val="18"/>
          <w:szCs w:val="18"/>
        </w:rPr>
        <w:t xml:space="preserve"> </w:t>
      </w:r>
      <w:r w:rsidRPr="00C55C28">
        <w:rPr>
          <w:rFonts w:ascii="Arial" w:hAnsi="Arial" w:cs="Arial"/>
          <w:sz w:val="18"/>
          <w:szCs w:val="18"/>
        </w:rPr>
        <w:t xml:space="preserve">at [103]-[104] per Elias CJ and at [222]-[228] per Blanchard J.  </w:t>
      </w:r>
    </w:p>
  </w:footnote>
  <w:footnote w:id="103">
    <w:p w14:paraId="7059430B" w14:textId="1C447D5B" w:rsidR="00DF4D1E" w:rsidRPr="00C55C28" w:rsidRDefault="00DF4D1E" w:rsidP="000726D1">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i/>
          <w:iCs/>
          <w:sz w:val="18"/>
          <w:szCs w:val="18"/>
        </w:rPr>
        <w:t xml:space="preserve">Simpson v Attorney-General (Baigent’s Case) </w:t>
      </w:r>
      <w:r w:rsidRPr="00C55C28">
        <w:rPr>
          <w:rFonts w:ascii="Arial" w:hAnsi="Arial" w:cs="Arial"/>
          <w:sz w:val="18"/>
          <w:szCs w:val="18"/>
        </w:rPr>
        <w:t>[1994] 3 NZLR 667 (CA) at 692 per Casey J.</w:t>
      </w:r>
    </w:p>
  </w:footnote>
  <w:footnote w:id="104">
    <w:p w14:paraId="12180826" w14:textId="0A89CF46" w:rsidR="00DF4D1E" w:rsidRPr="00C55C28" w:rsidRDefault="00DF4D1E" w:rsidP="00CE3FC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At 692.</w:t>
      </w:r>
    </w:p>
  </w:footnote>
  <w:footnote w:id="105">
    <w:p w14:paraId="6FDC6A2E" w14:textId="63E16148" w:rsidR="00DF4D1E" w:rsidRPr="00C55C28" w:rsidRDefault="00DF4D1E" w:rsidP="00CE3FC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At 692.</w:t>
      </w:r>
    </w:p>
  </w:footnote>
  <w:footnote w:id="106">
    <w:p w14:paraId="05E1F721" w14:textId="585DF17A" w:rsidR="00DF4D1E" w:rsidRPr="00C55C28" w:rsidRDefault="00DF4D1E" w:rsidP="00CE3FC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ICCPR, arts </w:t>
      </w:r>
      <w:r>
        <w:rPr>
          <w:rFonts w:ascii="Arial" w:hAnsi="Arial" w:cs="Arial"/>
          <w:sz w:val="18"/>
          <w:szCs w:val="18"/>
        </w:rPr>
        <w:t>2(</w:t>
      </w:r>
      <w:r w:rsidRPr="00C55C28">
        <w:rPr>
          <w:rFonts w:ascii="Arial" w:hAnsi="Arial" w:cs="Arial"/>
          <w:sz w:val="18"/>
          <w:szCs w:val="18"/>
        </w:rPr>
        <w:t>3</w:t>
      </w:r>
      <w:r>
        <w:rPr>
          <w:rFonts w:ascii="Arial" w:hAnsi="Arial" w:cs="Arial"/>
          <w:sz w:val="18"/>
          <w:szCs w:val="18"/>
        </w:rPr>
        <w:t>)</w:t>
      </w:r>
      <w:r w:rsidRPr="00C55C28">
        <w:rPr>
          <w:rFonts w:ascii="Arial" w:hAnsi="Arial" w:cs="Arial"/>
          <w:sz w:val="18"/>
          <w:szCs w:val="18"/>
        </w:rPr>
        <w:t xml:space="preserve">(a) and (b).  </w:t>
      </w:r>
    </w:p>
  </w:footnote>
  <w:footnote w:id="107">
    <w:p w14:paraId="2220D3BA" w14:textId="2705CBDC" w:rsidR="00DF4D1E" w:rsidRPr="00C55C28" w:rsidRDefault="00DF4D1E" w:rsidP="00CE3FC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i/>
          <w:iCs/>
          <w:sz w:val="18"/>
          <w:szCs w:val="18"/>
        </w:rPr>
        <w:t>Baigent’s Case</w:t>
      </w:r>
      <w:r w:rsidRPr="00C55C28">
        <w:rPr>
          <w:rFonts w:ascii="Arial" w:hAnsi="Arial" w:cs="Arial"/>
          <w:sz w:val="18"/>
          <w:szCs w:val="18"/>
        </w:rPr>
        <w:t>, above n</w:t>
      </w:r>
      <w:r>
        <w:rPr>
          <w:rFonts w:ascii="Arial" w:hAnsi="Arial" w:cs="Arial"/>
          <w:sz w:val="18"/>
          <w:szCs w:val="18"/>
        </w:rPr>
        <w:t xml:space="preserve"> 103</w:t>
      </w:r>
      <w:r w:rsidRPr="00C55C28">
        <w:rPr>
          <w:rFonts w:ascii="Arial" w:hAnsi="Arial" w:cs="Arial"/>
          <w:sz w:val="18"/>
          <w:szCs w:val="18"/>
        </w:rPr>
        <w:t>, at 676 per Cooke P.  He also stated at 676 that “the long title [of the NZBORA] shows that, in affirming the rights and freedoms contained in the Bill of Rights, the Act requires development of the law when necessary. Such a measure is not to be approached as if it did no more than preserve the status quo.”</w:t>
      </w:r>
    </w:p>
  </w:footnote>
  <w:footnote w:id="108">
    <w:p w14:paraId="0FF63BED" w14:textId="246A7809" w:rsidR="00DF4D1E" w:rsidRPr="00C55C28" w:rsidRDefault="00DF4D1E" w:rsidP="00CE3FC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For a discussion of costs in criminal proceedings, see Butler and Butler, above n</w:t>
      </w:r>
      <w:r>
        <w:rPr>
          <w:rFonts w:ascii="Arial" w:hAnsi="Arial" w:cs="Arial"/>
          <w:sz w:val="18"/>
          <w:szCs w:val="18"/>
        </w:rPr>
        <w:t xml:space="preserve"> 55</w:t>
      </w:r>
      <w:r w:rsidRPr="00C55C28">
        <w:rPr>
          <w:rFonts w:ascii="Arial" w:hAnsi="Arial" w:cs="Arial"/>
          <w:sz w:val="18"/>
          <w:szCs w:val="18"/>
        </w:rPr>
        <w:t>, at 1713-1719.</w:t>
      </w:r>
    </w:p>
  </w:footnote>
  <w:footnote w:id="109">
    <w:p w14:paraId="7465A2C0" w14:textId="238BC531" w:rsidR="00DF4D1E" w:rsidRPr="00C55C28" w:rsidRDefault="00DF4D1E" w:rsidP="00CE3FC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at 1720-1728.</w:t>
      </w:r>
    </w:p>
  </w:footnote>
  <w:footnote w:id="110">
    <w:p w14:paraId="7A218DAB" w14:textId="4418AD0F" w:rsidR="00DF4D1E" w:rsidRPr="00C55C28" w:rsidRDefault="00DF4D1E" w:rsidP="00CE3FC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proofErr w:type="spellStart"/>
      <w:r w:rsidRPr="00C55C28">
        <w:rPr>
          <w:rFonts w:ascii="Arial" w:hAnsi="Arial" w:cs="Arial"/>
          <w:i/>
          <w:iCs/>
          <w:sz w:val="18"/>
          <w:szCs w:val="18"/>
        </w:rPr>
        <w:t>Taunoa</w:t>
      </w:r>
      <w:proofErr w:type="spellEnd"/>
      <w:r w:rsidRPr="00C55C28">
        <w:rPr>
          <w:rFonts w:ascii="Arial" w:hAnsi="Arial" w:cs="Arial"/>
          <w:i/>
          <w:iCs/>
          <w:sz w:val="18"/>
          <w:szCs w:val="18"/>
        </w:rPr>
        <w:t xml:space="preserve">, </w:t>
      </w:r>
      <w:r w:rsidRPr="00C55C28">
        <w:rPr>
          <w:rFonts w:ascii="Arial" w:hAnsi="Arial" w:cs="Arial"/>
          <w:sz w:val="18"/>
          <w:szCs w:val="18"/>
        </w:rPr>
        <w:t>above n</w:t>
      </w:r>
      <w:r>
        <w:rPr>
          <w:rFonts w:ascii="Arial" w:hAnsi="Arial" w:cs="Arial"/>
          <w:sz w:val="18"/>
          <w:szCs w:val="18"/>
        </w:rPr>
        <w:t xml:space="preserve"> 55</w:t>
      </w:r>
      <w:r w:rsidRPr="00C55C28">
        <w:rPr>
          <w:rFonts w:ascii="Arial" w:hAnsi="Arial" w:cs="Arial"/>
          <w:sz w:val="18"/>
          <w:szCs w:val="18"/>
        </w:rPr>
        <w:t>, at [334] per Tipping J.</w:t>
      </w:r>
    </w:p>
  </w:footnote>
  <w:footnote w:id="111">
    <w:p w14:paraId="4BDE4D37" w14:textId="01B40480" w:rsidR="00DF4D1E" w:rsidRPr="00C55C28" w:rsidRDefault="00DF4D1E" w:rsidP="00CE3FC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HRA, s 92I(3)(a), and HDCA, s 54(1)(a).</w:t>
      </w:r>
    </w:p>
  </w:footnote>
  <w:footnote w:id="112">
    <w:p w14:paraId="07D2FBE9" w14:textId="721D5320" w:rsidR="00DF4D1E" w:rsidRPr="00C55C28" w:rsidRDefault="00DF4D1E" w:rsidP="00CE3FC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Privacy Act, s 85(1)(a).  </w:t>
      </w:r>
    </w:p>
  </w:footnote>
  <w:footnote w:id="113">
    <w:p w14:paraId="7667C530" w14:textId="6A0AEE68" w:rsidR="00DF4D1E" w:rsidRPr="00C55C28" w:rsidRDefault="00DF4D1E" w:rsidP="00993E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HRA, s 92I(3)(b) and (d); HDCA, s 54(1)(b) and (d); and Privacy Act, s 85(1)(a) and (d).</w:t>
      </w:r>
    </w:p>
  </w:footnote>
  <w:footnote w:id="114">
    <w:p w14:paraId="18B0DBF1" w14:textId="4068FF65" w:rsidR="00DF4D1E" w:rsidRPr="00C55C28" w:rsidRDefault="00DF4D1E" w:rsidP="00993E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HRA, ss 92I(3)(c) and 92M-O; HDCA, s 57(1); </w:t>
      </w:r>
      <w:r>
        <w:rPr>
          <w:rFonts w:ascii="Arial" w:hAnsi="Arial" w:cs="Arial"/>
          <w:sz w:val="18"/>
          <w:szCs w:val="18"/>
        </w:rPr>
        <w:t xml:space="preserve">and </w:t>
      </w:r>
      <w:r w:rsidRPr="00C55C28">
        <w:rPr>
          <w:rFonts w:ascii="Arial" w:hAnsi="Arial" w:cs="Arial"/>
          <w:sz w:val="18"/>
          <w:szCs w:val="18"/>
        </w:rPr>
        <w:t xml:space="preserve">Privacy Act, s 88(1).  Note also that s 57(1)(d) of the HDCA allows the HRRT to award punitive damages.  Section 52(2) however provides that with the exception of such punitive damages, no damages may be awarded for personal injury covered by the accident compensation legislation.  </w:t>
      </w:r>
    </w:p>
  </w:footnote>
  <w:footnote w:id="115">
    <w:p w14:paraId="22E26D5A" w14:textId="171AA9F3" w:rsidR="00DF4D1E" w:rsidRPr="00C55C28" w:rsidRDefault="00DF4D1E" w:rsidP="00993E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HRA, s 92I(3)(h); HDCA, s 54(1)(e); and Privacy Act, s 85(1)(e).  </w:t>
      </w:r>
    </w:p>
  </w:footnote>
  <w:footnote w:id="116">
    <w:p w14:paraId="56A5F8D5" w14:textId="74F68419" w:rsidR="00DF4D1E" w:rsidRPr="00C55C28" w:rsidRDefault="00DF4D1E" w:rsidP="00993E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HRA, s 92J.  The effect of such a declaration is set out in s 92K of the HRA.  </w:t>
      </w:r>
    </w:p>
  </w:footnote>
  <w:footnote w:id="117">
    <w:p w14:paraId="44224AEA" w14:textId="3036B575" w:rsidR="00DF4D1E" w:rsidRPr="00C55C28" w:rsidRDefault="00DF4D1E" w:rsidP="00993E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See for example </w:t>
      </w:r>
      <w:r w:rsidRPr="00C55C28">
        <w:rPr>
          <w:rFonts w:ascii="Arial" w:hAnsi="Arial" w:cs="Arial"/>
          <w:i/>
          <w:iCs/>
          <w:sz w:val="18"/>
          <w:szCs w:val="18"/>
        </w:rPr>
        <w:t xml:space="preserve">Hammond v Credit Union </w:t>
      </w:r>
      <w:proofErr w:type="spellStart"/>
      <w:r w:rsidRPr="00C55C28">
        <w:rPr>
          <w:rFonts w:ascii="Arial" w:hAnsi="Arial" w:cs="Arial"/>
          <w:i/>
          <w:iCs/>
          <w:sz w:val="18"/>
          <w:szCs w:val="18"/>
        </w:rPr>
        <w:t>Baywide</w:t>
      </w:r>
      <w:proofErr w:type="spellEnd"/>
      <w:r w:rsidRPr="00C55C28">
        <w:rPr>
          <w:rFonts w:ascii="Arial" w:hAnsi="Arial" w:cs="Arial"/>
          <w:sz w:val="18"/>
          <w:szCs w:val="18"/>
        </w:rPr>
        <w:t xml:space="preserve"> [2015] NZHRRT 6.  </w:t>
      </w:r>
    </w:p>
  </w:footnote>
  <w:footnote w:id="118">
    <w:p w14:paraId="24449A99" w14:textId="3DDC2571" w:rsidR="00DF4D1E" w:rsidRPr="00C55C28" w:rsidRDefault="00DF4D1E" w:rsidP="00993E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i/>
          <w:iCs/>
          <w:sz w:val="18"/>
          <w:szCs w:val="18"/>
        </w:rPr>
        <w:t xml:space="preserve">Hammond v Credit Union </w:t>
      </w:r>
      <w:proofErr w:type="spellStart"/>
      <w:r w:rsidRPr="00C55C28">
        <w:rPr>
          <w:rFonts w:ascii="Arial" w:hAnsi="Arial" w:cs="Arial"/>
          <w:i/>
          <w:iCs/>
          <w:sz w:val="18"/>
          <w:szCs w:val="18"/>
        </w:rPr>
        <w:t>Baywide</w:t>
      </w:r>
      <w:proofErr w:type="spellEnd"/>
      <w:r>
        <w:rPr>
          <w:rFonts w:ascii="Arial" w:hAnsi="Arial" w:cs="Arial"/>
          <w:sz w:val="18"/>
          <w:szCs w:val="18"/>
        </w:rPr>
        <w:t xml:space="preserve">, above n 117, </w:t>
      </w:r>
      <w:r w:rsidRPr="00C55C28">
        <w:rPr>
          <w:rFonts w:ascii="Arial" w:hAnsi="Arial" w:cs="Arial"/>
          <w:sz w:val="18"/>
          <w:szCs w:val="18"/>
        </w:rPr>
        <w:t xml:space="preserve">at [170.5]-[170.9].  </w:t>
      </w:r>
    </w:p>
  </w:footnote>
  <w:footnote w:id="119">
    <w:p w14:paraId="388EBE94" w14:textId="41953505" w:rsidR="00DF4D1E" w:rsidRPr="00C55C28" w:rsidRDefault="00DF4D1E" w:rsidP="00993E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i/>
          <w:iCs/>
          <w:sz w:val="18"/>
          <w:szCs w:val="18"/>
        </w:rPr>
        <w:t xml:space="preserve">Hammond v Credit Union </w:t>
      </w:r>
      <w:proofErr w:type="spellStart"/>
      <w:r w:rsidRPr="00C55C28">
        <w:rPr>
          <w:rFonts w:ascii="Arial" w:hAnsi="Arial" w:cs="Arial"/>
          <w:i/>
          <w:iCs/>
          <w:sz w:val="18"/>
          <w:szCs w:val="18"/>
        </w:rPr>
        <w:t>Baywide</w:t>
      </w:r>
      <w:proofErr w:type="spellEnd"/>
      <w:r>
        <w:rPr>
          <w:rFonts w:ascii="Arial" w:hAnsi="Arial" w:cs="Arial"/>
          <w:sz w:val="18"/>
          <w:szCs w:val="18"/>
        </w:rPr>
        <w:t>, above n 117, a</w:t>
      </w:r>
      <w:r w:rsidRPr="00C55C28">
        <w:rPr>
          <w:rFonts w:ascii="Arial" w:hAnsi="Arial" w:cs="Arial"/>
          <w:sz w:val="18"/>
          <w:szCs w:val="18"/>
        </w:rPr>
        <w:t xml:space="preserve">t [176].  See also for example </w:t>
      </w:r>
      <w:r w:rsidRPr="00C55C28">
        <w:rPr>
          <w:rFonts w:ascii="Arial" w:hAnsi="Arial" w:cs="Arial"/>
          <w:i/>
          <w:iCs/>
          <w:sz w:val="18"/>
          <w:szCs w:val="18"/>
        </w:rPr>
        <w:t>Mills v Capital and Coast District Health Board &amp; Anor</w:t>
      </w:r>
      <w:r w:rsidRPr="00C55C28">
        <w:rPr>
          <w:rFonts w:ascii="Arial" w:hAnsi="Arial" w:cs="Arial"/>
          <w:sz w:val="18"/>
          <w:szCs w:val="18"/>
        </w:rPr>
        <w:t xml:space="preserve"> [2019] NZHRRT 47 at [154].</w:t>
      </w:r>
    </w:p>
  </w:footnote>
  <w:footnote w:id="120">
    <w:p w14:paraId="41D15592" w14:textId="141FD9E9" w:rsidR="00DF4D1E" w:rsidRPr="00C55C28" w:rsidRDefault="00DF4D1E" w:rsidP="00993E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HRA, s 92L; HDCA, s 54(2); and Privacy Act, s 85(2).</w:t>
      </w:r>
    </w:p>
  </w:footnote>
  <w:footnote w:id="121">
    <w:p w14:paraId="1B1DD1AA" w14:textId="24F77200" w:rsidR="00DF4D1E" w:rsidRPr="00C55C28" w:rsidRDefault="00DF4D1E" w:rsidP="00993E6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For example, see </w:t>
      </w:r>
      <w:r w:rsidRPr="00C55C28">
        <w:rPr>
          <w:rFonts w:ascii="Arial" w:hAnsi="Arial" w:cs="Arial"/>
          <w:i/>
          <w:iCs/>
          <w:sz w:val="18"/>
          <w:szCs w:val="18"/>
        </w:rPr>
        <w:t xml:space="preserve">Wall v Fairfax &amp; </w:t>
      </w:r>
      <w:proofErr w:type="spellStart"/>
      <w:r w:rsidRPr="00C55C28">
        <w:rPr>
          <w:rFonts w:ascii="Arial" w:hAnsi="Arial" w:cs="Arial"/>
          <w:i/>
          <w:iCs/>
          <w:sz w:val="18"/>
          <w:szCs w:val="18"/>
        </w:rPr>
        <w:t>Ors</w:t>
      </w:r>
      <w:proofErr w:type="spellEnd"/>
      <w:r w:rsidRPr="00C55C28">
        <w:rPr>
          <w:rFonts w:ascii="Arial" w:hAnsi="Arial" w:cs="Arial"/>
          <w:i/>
          <w:iCs/>
          <w:sz w:val="18"/>
          <w:szCs w:val="18"/>
        </w:rPr>
        <w:t xml:space="preserve"> </w:t>
      </w:r>
      <w:r w:rsidRPr="00C55C28">
        <w:rPr>
          <w:rFonts w:ascii="Arial" w:hAnsi="Arial" w:cs="Arial"/>
          <w:sz w:val="18"/>
          <w:szCs w:val="18"/>
        </w:rPr>
        <w:t xml:space="preserve">[2017] NZHRRT 28.  For an example of case in which costs were awarded against a plaintiff, see </w:t>
      </w:r>
      <w:proofErr w:type="spellStart"/>
      <w:r w:rsidRPr="00C55C28">
        <w:rPr>
          <w:rFonts w:ascii="Arial" w:hAnsi="Arial" w:cs="Arial"/>
          <w:i/>
          <w:iCs/>
          <w:sz w:val="18"/>
          <w:szCs w:val="18"/>
        </w:rPr>
        <w:t>Apostolakis</w:t>
      </w:r>
      <w:proofErr w:type="spellEnd"/>
      <w:r w:rsidRPr="00C55C28">
        <w:rPr>
          <w:rFonts w:ascii="Arial" w:hAnsi="Arial" w:cs="Arial"/>
          <w:i/>
          <w:iCs/>
          <w:sz w:val="18"/>
          <w:szCs w:val="18"/>
        </w:rPr>
        <w:t xml:space="preserve"> v Attorney-General &amp; </w:t>
      </w:r>
      <w:proofErr w:type="spellStart"/>
      <w:r w:rsidRPr="00C55C28">
        <w:rPr>
          <w:rFonts w:ascii="Arial" w:hAnsi="Arial" w:cs="Arial"/>
          <w:i/>
          <w:iCs/>
          <w:sz w:val="18"/>
          <w:szCs w:val="18"/>
        </w:rPr>
        <w:t>Ors</w:t>
      </w:r>
      <w:proofErr w:type="spellEnd"/>
      <w:r w:rsidRPr="00C55C28">
        <w:rPr>
          <w:rFonts w:ascii="Arial" w:hAnsi="Arial" w:cs="Arial"/>
          <w:sz w:val="18"/>
          <w:szCs w:val="18"/>
        </w:rPr>
        <w:t xml:space="preserve"> [2019] NZHRRT 11.</w:t>
      </w:r>
    </w:p>
  </w:footnote>
  <w:footnote w:id="122">
    <w:p w14:paraId="71870470" w14:textId="43DD1FE0" w:rsidR="00DF4D1E" w:rsidRPr="00C55C28" w:rsidRDefault="00DF4D1E" w:rsidP="000F7AF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See</w:t>
      </w:r>
      <w:r w:rsidRPr="00C55C28">
        <w:rPr>
          <w:rFonts w:ascii="Arial" w:hAnsi="Arial" w:cs="Arial"/>
          <w:i/>
          <w:iCs/>
          <w:sz w:val="18"/>
          <w:szCs w:val="18"/>
        </w:rPr>
        <w:t xml:space="preserve"> Commissioner of Police v Andrews</w:t>
      </w:r>
      <w:r w:rsidRPr="00C55C28">
        <w:rPr>
          <w:rFonts w:ascii="Arial" w:hAnsi="Arial" w:cs="Arial"/>
          <w:sz w:val="18"/>
          <w:szCs w:val="18"/>
        </w:rPr>
        <w:t xml:space="preserve"> [2015] NZHC 745, [2015] 3 NZLR 515 at [49] and [53].</w:t>
      </w:r>
    </w:p>
  </w:footnote>
  <w:footnote w:id="123">
    <w:p w14:paraId="50ABCC57" w14:textId="151C9EDB" w:rsidR="00DF4D1E" w:rsidRPr="00C55C28" w:rsidRDefault="00DF4D1E" w:rsidP="000F7AF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Butler and Butler, above n</w:t>
      </w:r>
      <w:r>
        <w:rPr>
          <w:rFonts w:ascii="Arial" w:hAnsi="Arial" w:cs="Arial"/>
          <w:sz w:val="18"/>
          <w:szCs w:val="18"/>
        </w:rPr>
        <w:t xml:space="preserve"> 55</w:t>
      </w:r>
      <w:r w:rsidRPr="00C55C28">
        <w:rPr>
          <w:rFonts w:ascii="Arial" w:hAnsi="Arial" w:cs="Arial"/>
          <w:sz w:val="18"/>
          <w:szCs w:val="18"/>
        </w:rPr>
        <w:t xml:space="preserve">, at 1532, 1581-1583.  </w:t>
      </w:r>
    </w:p>
  </w:footnote>
  <w:footnote w:id="124">
    <w:p w14:paraId="422C8E38" w14:textId="0607002B" w:rsidR="00DF4D1E" w:rsidRPr="00C55C28" w:rsidRDefault="00DF4D1E" w:rsidP="000F7AF3">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 xml:space="preserve">Limitation Act 2010, s 57, subject to the saving set out in s 59 of that Act relating to </w:t>
      </w:r>
      <w:r w:rsidRPr="00C55C28">
        <w:rPr>
          <w:rFonts w:ascii="Arial" w:hAnsi="Arial" w:cs="Arial"/>
          <w:sz w:val="18"/>
          <w:szCs w:val="18"/>
        </w:rPr>
        <w:t xml:space="preserve">“actions based on acts or omissions before 1 January 2011”.  </w:t>
      </w:r>
    </w:p>
  </w:footnote>
  <w:footnote w:id="125">
    <w:p w14:paraId="4E139C8A" w14:textId="0653AB9A" w:rsidR="00DF4D1E" w:rsidRPr="00C55C28" w:rsidRDefault="00DF4D1E" w:rsidP="006F7C26">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6F7C26">
        <w:rPr>
          <w:rFonts w:ascii="Arial" w:hAnsi="Arial" w:cs="Arial"/>
          <w:sz w:val="18"/>
          <w:szCs w:val="18"/>
        </w:rPr>
        <w:tab/>
      </w:r>
      <w:r w:rsidRPr="00C55C28">
        <w:rPr>
          <w:rFonts w:ascii="Arial" w:hAnsi="Arial" w:cs="Arial"/>
          <w:sz w:val="18"/>
          <w:szCs w:val="18"/>
        </w:rPr>
        <w:t>Limitation Act 2010, ss 17 and 18.  See</w:t>
      </w:r>
      <w:r>
        <w:rPr>
          <w:rFonts w:ascii="Arial" w:hAnsi="Arial" w:cs="Arial"/>
          <w:sz w:val="18"/>
          <w:szCs w:val="18"/>
        </w:rPr>
        <w:t xml:space="preserve"> also</w:t>
      </w:r>
      <w:r w:rsidRPr="00C55C28">
        <w:rPr>
          <w:rFonts w:ascii="Arial" w:hAnsi="Arial" w:cs="Arial"/>
          <w:sz w:val="18"/>
          <w:szCs w:val="18"/>
        </w:rPr>
        <w:t xml:space="preserve"> ss 23</w:t>
      </w:r>
      <w:r>
        <w:rPr>
          <w:rFonts w:ascii="Arial" w:hAnsi="Arial" w:cs="Arial"/>
          <w:sz w:val="18"/>
          <w:szCs w:val="18"/>
        </w:rPr>
        <w:t>A</w:t>
      </w:r>
      <w:r w:rsidRPr="00C55C28">
        <w:rPr>
          <w:rFonts w:ascii="Arial" w:hAnsi="Arial" w:cs="Arial"/>
          <w:sz w:val="18"/>
          <w:szCs w:val="18"/>
        </w:rPr>
        <w:t xml:space="preserve"> </w:t>
      </w:r>
      <w:r>
        <w:rPr>
          <w:rFonts w:ascii="Arial" w:hAnsi="Arial" w:cs="Arial"/>
          <w:sz w:val="18"/>
          <w:szCs w:val="18"/>
        </w:rPr>
        <w:t xml:space="preserve">to </w:t>
      </w:r>
      <w:r w:rsidRPr="00C55C28">
        <w:rPr>
          <w:rFonts w:ascii="Arial" w:hAnsi="Arial" w:cs="Arial"/>
          <w:sz w:val="18"/>
          <w:szCs w:val="18"/>
        </w:rPr>
        <w:t>23D of the Limitation Act 1950 (inserted from 1 January 2011 by the Limitation Act 2010).  It appear</w:t>
      </w:r>
      <w:r>
        <w:rPr>
          <w:rFonts w:ascii="Arial" w:hAnsi="Arial" w:cs="Arial"/>
          <w:sz w:val="18"/>
          <w:szCs w:val="18"/>
        </w:rPr>
        <w:t>s</w:t>
      </w:r>
      <w:r w:rsidRPr="00C55C28">
        <w:rPr>
          <w:rFonts w:ascii="Arial" w:hAnsi="Arial" w:cs="Arial"/>
          <w:sz w:val="18"/>
          <w:szCs w:val="18"/>
        </w:rPr>
        <w:t xml:space="preserve"> however that this discretion is subject to the bar in the Accident Compensation Act 2001 against proceedings for damages arising directly or indirectly out of personal injury covered by the accident compensation scheme.  This point will need to be considered further during the Inquiry so that a definitive view can be reached.  </w:t>
      </w:r>
    </w:p>
  </w:footnote>
  <w:footnote w:id="126">
    <w:p w14:paraId="0F803CA7" w14:textId="559E2578" w:rsidR="00DF4D1E" w:rsidRPr="00C55C28" w:rsidRDefault="00DF4D1E" w:rsidP="000F7AF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HDCA, s 40.  </w:t>
      </w:r>
    </w:p>
  </w:footnote>
  <w:footnote w:id="127">
    <w:p w14:paraId="45A399ED" w14:textId="2F10611C" w:rsidR="00DF4D1E" w:rsidRPr="00C55C28" w:rsidRDefault="00DF4D1E" w:rsidP="000F7AF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HDCA, ss 45(2)(f) and 49.</w:t>
      </w:r>
    </w:p>
  </w:footnote>
  <w:footnote w:id="128">
    <w:p w14:paraId="3054E8F9" w14:textId="226A33F5" w:rsidR="00DF4D1E" w:rsidRPr="00C55C28" w:rsidRDefault="00DF4D1E" w:rsidP="000F7AF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HDCA, s 45(4)</w:t>
      </w:r>
      <w:r>
        <w:rPr>
          <w:rFonts w:ascii="Arial" w:hAnsi="Arial" w:cs="Arial"/>
          <w:sz w:val="18"/>
          <w:szCs w:val="18"/>
        </w:rPr>
        <w:t xml:space="preserve"> and s 51</w:t>
      </w:r>
      <w:r w:rsidRPr="00C55C28">
        <w:rPr>
          <w:rFonts w:ascii="Arial" w:hAnsi="Arial" w:cs="Arial"/>
          <w:sz w:val="18"/>
          <w:szCs w:val="18"/>
        </w:rPr>
        <w:t xml:space="preserve">.  </w:t>
      </w:r>
      <w:r>
        <w:rPr>
          <w:rFonts w:ascii="Arial" w:hAnsi="Arial" w:cs="Arial"/>
          <w:sz w:val="18"/>
          <w:szCs w:val="18"/>
        </w:rPr>
        <w:t xml:space="preserve">This point will also need to be considered further so that a definitive view can be reached.  </w:t>
      </w:r>
    </w:p>
  </w:footnote>
  <w:footnote w:id="129">
    <w:p w14:paraId="62C94491" w14:textId="1C4EAE23" w:rsidR="00DF4D1E" w:rsidRPr="00C55C28" w:rsidRDefault="00DF4D1E" w:rsidP="002625D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Pr>
          <w:rFonts w:ascii="Arial" w:hAnsi="Arial" w:cs="Arial"/>
          <w:sz w:val="18"/>
          <w:szCs w:val="18"/>
        </w:rPr>
        <w:t>Palmer</w:t>
      </w:r>
      <w:r w:rsidRPr="00C55C28">
        <w:rPr>
          <w:rFonts w:ascii="Arial" w:hAnsi="Arial" w:cs="Arial"/>
          <w:sz w:val="18"/>
          <w:szCs w:val="18"/>
        </w:rPr>
        <w:t>, above n</w:t>
      </w:r>
      <w:r>
        <w:rPr>
          <w:rFonts w:ascii="Arial" w:hAnsi="Arial" w:cs="Arial"/>
          <w:sz w:val="18"/>
          <w:szCs w:val="18"/>
        </w:rPr>
        <w:t xml:space="preserve"> 84</w:t>
      </w:r>
      <w:r w:rsidRPr="00C55C28">
        <w:rPr>
          <w:rFonts w:ascii="Arial" w:hAnsi="Arial" w:cs="Arial"/>
          <w:sz w:val="18"/>
          <w:szCs w:val="18"/>
        </w:rPr>
        <w:t xml:space="preserve">, at [3.6].  See also </w:t>
      </w:r>
      <w:r w:rsidRPr="00C55C28">
        <w:rPr>
          <w:rFonts w:ascii="Arial" w:hAnsi="Arial" w:cs="Arial"/>
          <w:i/>
          <w:iCs/>
          <w:sz w:val="18"/>
          <w:szCs w:val="18"/>
        </w:rPr>
        <w:t xml:space="preserve">Combined Beneficiaries Union Inc v Auckland City COGS Committee </w:t>
      </w:r>
      <w:r w:rsidRPr="00C55C28">
        <w:rPr>
          <w:rFonts w:ascii="Arial" w:hAnsi="Arial" w:cs="Arial"/>
          <w:sz w:val="18"/>
          <w:szCs w:val="18"/>
        </w:rPr>
        <w:t>[2008] NZCA 423, [2009] 2 NZLR 56 at [95]-[96] per Baragwanath J.</w:t>
      </w:r>
    </w:p>
  </w:footnote>
  <w:footnote w:id="130">
    <w:p w14:paraId="4158452F" w14:textId="117B4843" w:rsidR="00DF4D1E" w:rsidRPr="00C55C28" w:rsidRDefault="00DF4D1E" w:rsidP="002625D3">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For example, the Standard Minimum Rules for the Treatment of Prisoners (the Nelson Mandela Rules), adopted by the First United Nations Congress on the Prevention of Crime and the Treatment of Offenders, held at Geneva in 1955, and approved by the Economic and Social Council by its resolutions 663 C (XXIV) of 31 July 1957 and 2076 (LXII) of 13 May 1977.</w:t>
      </w:r>
    </w:p>
  </w:footnote>
  <w:footnote w:id="131">
    <w:p w14:paraId="3A43061E" w14:textId="418FFA1F"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3. </w:t>
      </w:r>
    </w:p>
  </w:footnote>
  <w:footnote w:id="132">
    <w:p w14:paraId="384E8A09" w14:textId="4B7B518D"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CCPR </w:t>
      </w:r>
      <w:r w:rsidRPr="00C55C28">
        <w:rPr>
          <w:rFonts w:ascii="Arial" w:hAnsi="Arial" w:cs="Arial"/>
          <w:i/>
          <w:iCs/>
          <w:sz w:val="18"/>
          <w:szCs w:val="18"/>
        </w:rPr>
        <w:t xml:space="preserve">General Comment No 35 </w:t>
      </w:r>
      <w:r w:rsidRPr="00C55C28">
        <w:rPr>
          <w:rFonts w:ascii="Arial" w:hAnsi="Arial" w:cs="Arial"/>
          <w:sz w:val="18"/>
          <w:szCs w:val="18"/>
        </w:rPr>
        <w:t>CCPR/C/GC/35 (2014) at [3] and [9].  Paragraph 9 states: “The right to security of person protects individuals against intentional infliction of bodily or mental injury, regardless of whether the victim is detained or non-detained.”</w:t>
      </w:r>
    </w:p>
  </w:footnote>
  <w:footnote w:id="133">
    <w:p w14:paraId="38124CA4" w14:textId="54F46357"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5. </w:t>
      </w:r>
    </w:p>
  </w:footnote>
  <w:footnote w:id="134">
    <w:p w14:paraId="31131375" w14:textId="3E93E7A2"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7. </w:t>
      </w:r>
    </w:p>
  </w:footnote>
  <w:footnote w:id="135">
    <w:p w14:paraId="43DE4E37" w14:textId="4B2A0253"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8.  </w:t>
      </w:r>
    </w:p>
  </w:footnote>
  <w:footnote w:id="136">
    <w:p w14:paraId="426B5E3C" w14:textId="25A80724"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Article 9.</w:t>
      </w:r>
    </w:p>
  </w:footnote>
  <w:footnote w:id="137">
    <w:p w14:paraId="2C0AFDDD" w14:textId="3A26B384"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10.  </w:t>
      </w:r>
    </w:p>
  </w:footnote>
  <w:footnote w:id="138">
    <w:p w14:paraId="3CB9C780" w14:textId="79C194B5"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 xml:space="preserve">Article 12. </w:t>
      </w:r>
    </w:p>
  </w:footnote>
  <w:footnote w:id="139">
    <w:p w14:paraId="3E274687" w14:textId="1272E815"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 xml:space="preserve">Article 22.  </w:t>
      </w:r>
    </w:p>
  </w:footnote>
  <w:footnote w:id="140">
    <w:p w14:paraId="03C97865" w14:textId="5D3E18B6"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25(1). </w:t>
      </w:r>
    </w:p>
  </w:footnote>
  <w:footnote w:id="141">
    <w:p w14:paraId="631C7BE1" w14:textId="3246E8F7"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 26.</w:t>
      </w:r>
    </w:p>
  </w:footnote>
  <w:footnote w:id="142">
    <w:p w14:paraId="56C941A0" w14:textId="65642651"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 27(1).</w:t>
      </w:r>
    </w:p>
  </w:footnote>
  <w:footnote w:id="143">
    <w:p w14:paraId="01E77DA2" w14:textId="4E1EE26B"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 xml:space="preserve">Article 2. </w:t>
      </w:r>
    </w:p>
  </w:footnote>
  <w:footnote w:id="144">
    <w:p w14:paraId="28CB4F8C" w14:textId="11E0F96B"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 16(3).</w:t>
      </w:r>
    </w:p>
  </w:footnote>
  <w:footnote w:id="145">
    <w:p w14:paraId="1AB78156" w14:textId="7ECD297A" w:rsidR="00DF4D1E" w:rsidRPr="00C55C28" w:rsidRDefault="00DF4D1E" w:rsidP="003B5825">
      <w:pPr>
        <w:pStyle w:val="FootnoteText"/>
        <w:tabs>
          <w:tab w:val="left" w:pos="7371"/>
        </w:tabs>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25(2).  </w:t>
      </w:r>
    </w:p>
  </w:footnote>
  <w:footnote w:id="146">
    <w:p w14:paraId="0CE971B3" w14:textId="1FBD2296"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25(2).  </w:t>
      </w:r>
    </w:p>
  </w:footnote>
  <w:footnote w:id="147">
    <w:p w14:paraId="707EB331" w14:textId="35E4924F"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ICCPR, art 1(1).  </w:t>
      </w:r>
    </w:p>
  </w:footnote>
  <w:footnote w:id="148">
    <w:p w14:paraId="47AD40BB" w14:textId="1CCDB4EC"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 xml:space="preserve">CERD, art 2(1) and ICCPR, art 26. </w:t>
      </w:r>
    </w:p>
  </w:footnote>
  <w:footnote w:id="149">
    <w:p w14:paraId="5C992F5B" w14:textId="1AA27B82"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 xml:space="preserve">ICCPR, art 7. </w:t>
      </w:r>
    </w:p>
  </w:footnote>
  <w:footnote w:id="150">
    <w:p w14:paraId="7BBAA5B3" w14:textId="6668DF6C"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ICCPR, art 9(1). </w:t>
      </w:r>
    </w:p>
  </w:footnote>
  <w:footnote w:id="151">
    <w:p w14:paraId="4273B698" w14:textId="60503116"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ICCPR, art 10(1).   </w:t>
      </w:r>
    </w:p>
  </w:footnote>
  <w:footnote w:id="152">
    <w:p w14:paraId="6C30B4B7" w14:textId="7F7806AF"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ICCPR, art 14(1).  </w:t>
      </w:r>
    </w:p>
  </w:footnote>
  <w:footnote w:id="153">
    <w:p w14:paraId="2391C5F8" w14:textId="3AA564C8"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ICCPR, art 14(1).  </w:t>
      </w:r>
    </w:p>
  </w:footnote>
  <w:footnote w:id="154">
    <w:p w14:paraId="2A648DBE" w14:textId="76181436"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ICCPR, art 17(1).  </w:t>
      </w:r>
    </w:p>
  </w:footnote>
  <w:footnote w:id="155">
    <w:p w14:paraId="6E9E72E9" w14:textId="14CC475E"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ICCPR, art 23(1).  </w:t>
      </w:r>
    </w:p>
  </w:footnote>
  <w:footnote w:id="156">
    <w:p w14:paraId="4FAB3A06" w14:textId="7BDA9C6A"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ICCPR, art 24(1).</w:t>
      </w:r>
    </w:p>
  </w:footnote>
  <w:footnote w:id="157">
    <w:p w14:paraId="76DDC8E0" w14:textId="0CAF825A"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CROC, art 7(1).</w:t>
      </w:r>
    </w:p>
  </w:footnote>
  <w:footnote w:id="158">
    <w:p w14:paraId="35702B44" w14:textId="44286347"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CROC, art 9(1).</w:t>
      </w:r>
    </w:p>
  </w:footnote>
  <w:footnote w:id="159">
    <w:p w14:paraId="2B38AD24" w14:textId="5C75778E"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CROC, art 9(3).</w:t>
      </w:r>
    </w:p>
  </w:footnote>
  <w:footnote w:id="160">
    <w:p w14:paraId="385704F6" w14:textId="2178577B" w:rsidR="00DF4D1E" w:rsidRPr="00C55C28" w:rsidRDefault="00DF4D1E" w:rsidP="003B5825">
      <w:pPr>
        <w:pStyle w:val="FootnoteText"/>
        <w:ind w:left="567" w:hanging="567"/>
        <w:rPr>
          <w:rFonts w:ascii="Arial" w:hAnsi="Arial" w:cs="Arial"/>
          <w:b/>
          <w:bCs/>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CROC, art 20(1).</w:t>
      </w:r>
    </w:p>
  </w:footnote>
  <w:footnote w:id="161">
    <w:p w14:paraId="7D6624C2" w14:textId="20C0DBCF"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ICCPR, art 27.</w:t>
      </w:r>
    </w:p>
  </w:footnote>
  <w:footnote w:id="162">
    <w:p w14:paraId="529D2D0C" w14:textId="21BD4AAD"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As </w:t>
      </w:r>
      <w:proofErr w:type="spellStart"/>
      <w:r w:rsidRPr="00C55C28">
        <w:rPr>
          <w:rFonts w:ascii="Arial" w:hAnsi="Arial" w:cs="Arial"/>
          <w:sz w:val="18"/>
          <w:szCs w:val="18"/>
        </w:rPr>
        <w:t>recognised</w:t>
      </w:r>
      <w:proofErr w:type="spellEnd"/>
      <w:r w:rsidRPr="00C55C28">
        <w:rPr>
          <w:rFonts w:ascii="Arial" w:hAnsi="Arial" w:cs="Arial"/>
          <w:sz w:val="18"/>
          <w:szCs w:val="18"/>
        </w:rPr>
        <w:t xml:space="preserve"> in ICESCR, arts 9, 11, 12 and 13.  Under art 2(1), States Parties undertake to realise these rights progressively by “all appropriate means” and "to the maximum of [their] available resources”.</w:t>
      </w:r>
    </w:p>
  </w:footnote>
  <w:footnote w:id="163">
    <w:p w14:paraId="72D607E3" w14:textId="75E68458"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CROC, art 6(2).  </w:t>
      </w:r>
    </w:p>
  </w:footnote>
  <w:footnote w:id="164">
    <w:p w14:paraId="17F98A33" w14:textId="27701856"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CROC, art 19(1).  </w:t>
      </w:r>
    </w:p>
  </w:footnote>
  <w:footnote w:id="165">
    <w:p w14:paraId="5B378E62" w14:textId="1262522B"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CROC, art 39. </w:t>
      </w:r>
    </w:p>
  </w:footnote>
  <w:footnote w:id="166">
    <w:p w14:paraId="7D5E26DB" w14:textId="60F6F491"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CRPD, art 16(4).</w:t>
      </w:r>
    </w:p>
  </w:footnote>
  <w:footnote w:id="167">
    <w:p w14:paraId="200596EC" w14:textId="7D113A4F"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CRPD, art 12(2) and (3)</w:t>
      </w:r>
      <w:r>
        <w:rPr>
          <w:rFonts w:ascii="Arial" w:hAnsi="Arial" w:cs="Arial"/>
          <w:sz w:val="18"/>
          <w:szCs w:val="18"/>
          <w:lang w:val="en-NZ"/>
        </w:rPr>
        <w:t>, and art 13(1)</w:t>
      </w:r>
      <w:r w:rsidRPr="00C55C28">
        <w:rPr>
          <w:rFonts w:ascii="Arial" w:hAnsi="Arial" w:cs="Arial"/>
          <w:sz w:val="18"/>
          <w:szCs w:val="18"/>
          <w:lang w:val="en-NZ"/>
        </w:rPr>
        <w:t xml:space="preserve">.  </w:t>
      </w:r>
    </w:p>
  </w:footnote>
  <w:footnote w:id="168">
    <w:p w14:paraId="117B9CDA" w14:textId="18F6EE86"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ICCPR, art 2(1).</w:t>
      </w:r>
    </w:p>
  </w:footnote>
  <w:footnote w:id="169">
    <w:p w14:paraId="4E3D04C0" w14:textId="54294E0A"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ICCPR, art 2(2); CERD, art 2(1)(c); CAT, art 2(1); and ICESCR, art 2(1).  </w:t>
      </w:r>
    </w:p>
  </w:footnote>
  <w:footnote w:id="170">
    <w:p w14:paraId="15EC2460" w14:textId="4FA3BAC9"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CAT, art 12.  </w:t>
      </w:r>
    </w:p>
  </w:footnote>
  <w:footnote w:id="171">
    <w:p w14:paraId="1F3C3C90" w14:textId="57419319"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CRPD, art 16(5).</w:t>
      </w:r>
    </w:p>
  </w:footnote>
  <w:footnote w:id="172">
    <w:p w14:paraId="64EC10F0" w14:textId="2913FB3E"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 xml:space="preserve">See for example ICCPR, art 2(3)(a); CERD, art 6; and CAT, art 14(1).  </w:t>
      </w:r>
      <w:r w:rsidRPr="00C55C28">
        <w:rPr>
          <w:rFonts w:ascii="Arial" w:hAnsi="Arial" w:cs="Arial"/>
          <w:sz w:val="18"/>
          <w:szCs w:val="18"/>
        </w:rPr>
        <w:t xml:space="preserve">New Zealand has however entered the following reservation to art 14(1) of CAT: "The Government of New Zealand reserves the right to award compensation to torture victims referred to in article 14 of the Convention Against Torture only at the discretion of the Attorney-General of New Zealand."  In its </w:t>
      </w:r>
      <w:r w:rsidRPr="00C55C28">
        <w:rPr>
          <w:rFonts w:ascii="Arial" w:hAnsi="Arial" w:cs="Arial"/>
          <w:i/>
          <w:iCs/>
          <w:sz w:val="18"/>
          <w:szCs w:val="18"/>
        </w:rPr>
        <w:t>Concluding observations on the sixth periodic report of New Zealand</w:t>
      </w:r>
      <w:r w:rsidRPr="00C55C28">
        <w:rPr>
          <w:rFonts w:ascii="Arial" w:hAnsi="Arial" w:cs="Arial"/>
          <w:sz w:val="18"/>
          <w:szCs w:val="18"/>
        </w:rPr>
        <w:t xml:space="preserve"> CAT/C/NZL/CO/6 (2015), the Committee </w:t>
      </w:r>
      <w:r>
        <w:rPr>
          <w:rFonts w:ascii="Arial" w:hAnsi="Arial" w:cs="Arial"/>
          <w:sz w:val="18"/>
          <w:szCs w:val="18"/>
        </w:rPr>
        <w:t>A</w:t>
      </w:r>
      <w:r w:rsidRPr="00C55C28">
        <w:rPr>
          <w:rFonts w:ascii="Arial" w:hAnsi="Arial" w:cs="Arial"/>
          <w:sz w:val="18"/>
          <w:szCs w:val="18"/>
        </w:rPr>
        <w:t>gainst Torture recommended that New Zealand withdraw this reservation, considering it incompatible with New Zealand’s obligations under art 14 of CAT.  The Committee also urged New Zealand at [20] to “ensure the provision of fair and adequate compensation through its civil jurisdiction to all victims of torture”.  New Zealand has entered a similar reservation in relation to ICCPR, art 14(6) (which concerns compensation for miscarriages of justice).</w:t>
      </w:r>
    </w:p>
  </w:footnote>
  <w:footnote w:id="173">
    <w:p w14:paraId="4F52C2F8" w14:textId="04347F96"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ICCPR, art 2(3)(b).  </w:t>
      </w:r>
    </w:p>
  </w:footnote>
  <w:footnote w:id="174">
    <w:p w14:paraId="350E80A2" w14:textId="6D0F4833"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CCPR </w:t>
      </w:r>
      <w:r w:rsidRPr="00C55C28">
        <w:rPr>
          <w:rFonts w:ascii="Arial" w:hAnsi="Arial" w:cs="Arial"/>
          <w:i/>
          <w:iCs/>
          <w:sz w:val="18"/>
          <w:szCs w:val="18"/>
          <w:lang w:val="en-NZ"/>
        </w:rPr>
        <w:t>General Comment No 31</w:t>
      </w:r>
      <w:r w:rsidRPr="00C55C28">
        <w:rPr>
          <w:rFonts w:ascii="Arial" w:hAnsi="Arial" w:cs="Arial"/>
          <w:sz w:val="18"/>
          <w:szCs w:val="18"/>
          <w:lang w:val="en-NZ"/>
        </w:rPr>
        <w:t>, above n</w:t>
      </w:r>
      <w:r>
        <w:rPr>
          <w:rFonts w:ascii="Arial" w:hAnsi="Arial" w:cs="Arial"/>
          <w:sz w:val="18"/>
          <w:szCs w:val="18"/>
          <w:lang w:val="en-NZ"/>
        </w:rPr>
        <w:t xml:space="preserve"> 22</w:t>
      </w:r>
      <w:r w:rsidRPr="00C55C28">
        <w:rPr>
          <w:rFonts w:ascii="Arial" w:hAnsi="Arial" w:cs="Arial"/>
          <w:sz w:val="18"/>
          <w:szCs w:val="18"/>
          <w:lang w:val="en-NZ"/>
        </w:rPr>
        <w:t>, at [15].</w:t>
      </w:r>
    </w:p>
  </w:footnote>
  <w:footnote w:id="175">
    <w:p w14:paraId="58FE710F" w14:textId="7E51BAE5"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1. </w:t>
      </w:r>
    </w:p>
  </w:footnote>
  <w:footnote w:id="176">
    <w:p w14:paraId="0ACFB66A" w14:textId="207BD276"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 2.</w:t>
      </w:r>
    </w:p>
  </w:footnote>
  <w:footnote w:id="177">
    <w:p w14:paraId="1D95E994" w14:textId="4945C8AA"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Article 4.</w:t>
      </w:r>
    </w:p>
  </w:footnote>
  <w:footnote w:id="178">
    <w:p w14:paraId="0B0E104C" w14:textId="15300CC2"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7(1).  </w:t>
      </w:r>
    </w:p>
  </w:footnote>
  <w:footnote w:id="179">
    <w:p w14:paraId="37273E11" w14:textId="7C946DF6"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11(1). </w:t>
      </w:r>
    </w:p>
  </w:footnote>
  <w:footnote w:id="180">
    <w:p w14:paraId="758A652D" w14:textId="654B6615"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Article 12(1).</w:t>
      </w:r>
    </w:p>
  </w:footnote>
  <w:footnote w:id="181">
    <w:p w14:paraId="0B272893" w14:textId="18982D3E"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18. </w:t>
      </w:r>
    </w:p>
  </w:footnote>
  <w:footnote w:id="182">
    <w:p w14:paraId="5B60DFD6" w14:textId="210C4F6F"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 19.</w:t>
      </w:r>
    </w:p>
  </w:footnote>
  <w:footnote w:id="183">
    <w:p w14:paraId="66F0C259" w14:textId="705019BB"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Article 21(1).</w:t>
      </w:r>
    </w:p>
  </w:footnote>
  <w:footnote w:id="184">
    <w:p w14:paraId="3789EDE4" w14:textId="4BF814EB"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 21(2).</w:t>
      </w:r>
    </w:p>
  </w:footnote>
  <w:footnote w:id="185">
    <w:p w14:paraId="2B9C941B" w14:textId="07474A20"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22(1).  </w:t>
      </w:r>
    </w:p>
  </w:footnote>
  <w:footnote w:id="186">
    <w:p w14:paraId="4BD38AAA" w14:textId="54F35D6E"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 22(2).</w:t>
      </w:r>
    </w:p>
  </w:footnote>
  <w:footnote w:id="187">
    <w:p w14:paraId="144896D9" w14:textId="17541A75"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lang w:val="en-NZ"/>
        </w:rPr>
        <w:t>Article 23.</w:t>
      </w:r>
    </w:p>
  </w:footnote>
  <w:footnote w:id="188">
    <w:p w14:paraId="34CA26CB" w14:textId="1087B7A6"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Article 29(3). </w:t>
      </w:r>
    </w:p>
  </w:footnote>
  <w:footnote w:id="189">
    <w:p w14:paraId="02CAED02" w14:textId="419D172C"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 38.</w:t>
      </w:r>
    </w:p>
  </w:footnote>
  <w:footnote w:id="190">
    <w:p w14:paraId="04813C44" w14:textId="428ED1D8"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Article 40.</w:t>
      </w:r>
    </w:p>
  </w:footnote>
  <w:footnote w:id="191">
    <w:p w14:paraId="24C870BA" w14:textId="7C1523A8"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Pr>
          <w:rFonts w:ascii="Arial" w:hAnsi="Arial" w:cs="Arial"/>
          <w:sz w:val="18"/>
          <w:szCs w:val="18"/>
        </w:rPr>
        <w:t xml:space="preserve">United Nations </w:t>
      </w:r>
      <w:r w:rsidRPr="00D04AE8">
        <w:rPr>
          <w:rFonts w:ascii="Arial" w:hAnsi="Arial" w:cs="Arial"/>
          <w:sz w:val="18"/>
          <w:szCs w:val="18"/>
        </w:rPr>
        <w:t xml:space="preserve">Office of the High Commissioner for Human Rights </w:t>
      </w:r>
      <w:r w:rsidRPr="00C55C28">
        <w:rPr>
          <w:rFonts w:ascii="Arial" w:hAnsi="Arial" w:cs="Arial"/>
          <w:sz w:val="18"/>
          <w:szCs w:val="18"/>
        </w:rPr>
        <w:t>“Acceptance of individual complaints procedures for New Zealand”</w:t>
      </w:r>
      <w:r>
        <w:rPr>
          <w:rFonts w:ascii="Arial" w:hAnsi="Arial" w:cs="Arial"/>
          <w:sz w:val="18"/>
          <w:szCs w:val="18"/>
        </w:rPr>
        <w:t xml:space="preserve"> &lt;</w:t>
      </w:r>
      <w:r w:rsidRPr="00D04AE8">
        <w:rPr>
          <w:rFonts w:ascii="Arial" w:hAnsi="Arial" w:cs="Arial"/>
          <w:sz w:val="18"/>
          <w:szCs w:val="18"/>
        </w:rPr>
        <w:t>tbinternet.ohchr.org</w:t>
      </w:r>
      <w:r>
        <w:rPr>
          <w:rFonts w:ascii="Arial" w:hAnsi="Arial" w:cs="Arial"/>
          <w:sz w:val="18"/>
          <w:szCs w:val="18"/>
        </w:rPr>
        <w:t>&gt;</w:t>
      </w:r>
      <w:r w:rsidRPr="00C55C28">
        <w:rPr>
          <w:rFonts w:ascii="Arial" w:hAnsi="Arial" w:cs="Arial"/>
          <w:sz w:val="18"/>
          <w:szCs w:val="18"/>
        </w:rPr>
        <w:t>.</w:t>
      </w:r>
    </w:p>
  </w:footnote>
  <w:footnote w:id="192">
    <w:p w14:paraId="38996092" w14:textId="5205DC37"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For example, in </w:t>
      </w:r>
      <w:proofErr w:type="spellStart"/>
      <w:r w:rsidRPr="00C55C28">
        <w:rPr>
          <w:rFonts w:ascii="Arial" w:hAnsi="Arial" w:cs="Arial"/>
          <w:i/>
          <w:iCs/>
          <w:sz w:val="18"/>
          <w:szCs w:val="18"/>
        </w:rPr>
        <w:t>Taunoa</w:t>
      </w:r>
      <w:proofErr w:type="spellEnd"/>
      <w:r w:rsidRPr="00C55C28">
        <w:rPr>
          <w:rFonts w:ascii="Arial" w:hAnsi="Arial" w:cs="Arial"/>
          <w:sz w:val="18"/>
          <w:szCs w:val="18"/>
        </w:rPr>
        <w:t>, above n</w:t>
      </w:r>
      <w:r>
        <w:rPr>
          <w:rFonts w:ascii="Arial" w:hAnsi="Arial" w:cs="Arial"/>
          <w:sz w:val="18"/>
          <w:szCs w:val="18"/>
        </w:rPr>
        <w:t xml:space="preserve"> 55</w:t>
      </w:r>
      <w:r w:rsidRPr="00C55C28">
        <w:rPr>
          <w:rFonts w:ascii="Arial" w:hAnsi="Arial" w:cs="Arial"/>
          <w:sz w:val="18"/>
          <w:szCs w:val="18"/>
        </w:rPr>
        <w:t xml:space="preserve">, the Supreme Court took into account judgments of the European Court of Human Rights and the views of UN treaty committees, as well as judgments from other jurisdictions. </w:t>
      </w:r>
    </w:p>
  </w:footnote>
  <w:footnote w:id="193">
    <w:p w14:paraId="7BDAEBFA" w14:textId="7E694BE4" w:rsidR="00DF4D1E" w:rsidRPr="00D04AE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D04AE8">
        <w:rPr>
          <w:rFonts w:ascii="Arial" w:hAnsi="Arial" w:cs="Arial"/>
          <w:sz w:val="18"/>
          <w:szCs w:val="18"/>
          <w:lang w:val="en-NZ"/>
        </w:rPr>
        <w:t xml:space="preserve"> </w:t>
      </w:r>
      <w:r w:rsidR="00BF40C6">
        <w:rPr>
          <w:rFonts w:ascii="Arial" w:hAnsi="Arial" w:cs="Arial"/>
          <w:sz w:val="18"/>
          <w:szCs w:val="18"/>
          <w:lang w:val="en-NZ"/>
        </w:rPr>
        <w:tab/>
      </w:r>
      <w:r w:rsidRPr="00D04AE8">
        <w:rPr>
          <w:rFonts w:ascii="Arial" w:hAnsi="Arial" w:cs="Arial"/>
          <w:sz w:val="18"/>
          <w:szCs w:val="18"/>
          <w:lang w:val="en-NZ"/>
        </w:rPr>
        <w:t xml:space="preserve">Ministry of </w:t>
      </w:r>
      <w:r>
        <w:rPr>
          <w:rFonts w:ascii="Arial" w:hAnsi="Arial" w:cs="Arial"/>
          <w:sz w:val="18"/>
          <w:szCs w:val="18"/>
          <w:lang w:val="en-NZ"/>
        </w:rPr>
        <w:t>Foreign Affairs and Trade “Universal Periodic Review 2019” www.mfat.govt.nz</w:t>
      </w:r>
      <w:r w:rsidR="00BF40C6">
        <w:rPr>
          <w:rFonts w:ascii="Arial" w:hAnsi="Arial" w:cs="Arial"/>
          <w:sz w:val="18"/>
          <w:szCs w:val="18"/>
          <w:lang w:val="en-NZ"/>
        </w:rPr>
        <w:t>.</w:t>
      </w:r>
    </w:p>
  </w:footnote>
  <w:footnote w:id="194">
    <w:p w14:paraId="5C769C42" w14:textId="4DD92564"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CAT </w:t>
      </w:r>
      <w:r w:rsidRPr="00C55C28">
        <w:rPr>
          <w:rFonts w:ascii="Arial" w:hAnsi="Arial" w:cs="Arial"/>
          <w:i/>
          <w:iCs/>
          <w:sz w:val="18"/>
          <w:szCs w:val="18"/>
        </w:rPr>
        <w:t xml:space="preserve">Concluding Observations on the fifth periodic report of New Zealand, </w:t>
      </w:r>
      <w:r w:rsidRPr="00C55C28">
        <w:rPr>
          <w:rFonts w:ascii="Arial" w:hAnsi="Arial" w:cs="Arial"/>
          <w:sz w:val="18"/>
          <w:szCs w:val="18"/>
        </w:rPr>
        <w:t>CAT/C/NZL/CO/5</w:t>
      </w:r>
      <w:r>
        <w:rPr>
          <w:rFonts w:ascii="Arial" w:hAnsi="Arial" w:cs="Arial"/>
          <w:sz w:val="18"/>
          <w:szCs w:val="18"/>
        </w:rPr>
        <w:t xml:space="preserve"> (</w:t>
      </w:r>
      <w:r w:rsidRPr="00C55C28">
        <w:rPr>
          <w:rFonts w:ascii="Arial" w:hAnsi="Arial" w:cs="Arial"/>
          <w:sz w:val="18"/>
          <w:szCs w:val="18"/>
        </w:rPr>
        <w:t>2009</w:t>
      </w:r>
      <w:r>
        <w:rPr>
          <w:rFonts w:ascii="Arial" w:hAnsi="Arial" w:cs="Arial"/>
          <w:sz w:val="18"/>
          <w:szCs w:val="18"/>
        </w:rPr>
        <w:t>)</w:t>
      </w:r>
      <w:r w:rsidRPr="00C55C28">
        <w:rPr>
          <w:rFonts w:ascii="Arial" w:hAnsi="Arial" w:cs="Arial"/>
          <w:i/>
          <w:iCs/>
          <w:sz w:val="18"/>
          <w:szCs w:val="18"/>
        </w:rPr>
        <w:t xml:space="preserve"> </w:t>
      </w:r>
      <w:r w:rsidRPr="00C55C28">
        <w:rPr>
          <w:rFonts w:ascii="Arial" w:hAnsi="Arial" w:cs="Arial"/>
          <w:sz w:val="18"/>
          <w:szCs w:val="18"/>
        </w:rPr>
        <w:t>at [11].</w:t>
      </w:r>
    </w:p>
  </w:footnote>
  <w:footnote w:id="195">
    <w:p w14:paraId="0DB581D2" w14:textId="5D9E3202" w:rsidR="00DF4D1E" w:rsidRPr="003B5825" w:rsidRDefault="00DF4D1E" w:rsidP="003B5825">
      <w:pPr>
        <w:pStyle w:val="FootnoteText"/>
        <w:ind w:left="567" w:hanging="567"/>
        <w:rPr>
          <w:lang w:val="en-NZ"/>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09298A">
        <w:rPr>
          <w:rFonts w:ascii="Arial" w:hAnsi="Arial" w:cs="Arial"/>
          <w:i/>
          <w:iCs/>
          <w:sz w:val="18"/>
          <w:szCs w:val="18"/>
        </w:rPr>
        <w:t>Follow-up responses by New Zealand to the concluding observations of the Committee against Torture</w:t>
      </w:r>
      <w:r w:rsidRPr="0009298A">
        <w:rPr>
          <w:rFonts w:ascii="Arial" w:hAnsi="Arial" w:cs="Arial"/>
          <w:sz w:val="18"/>
          <w:szCs w:val="18"/>
        </w:rPr>
        <w:t xml:space="preserve">, </w:t>
      </w:r>
      <w:r w:rsidRPr="0009298A">
        <w:rPr>
          <w:rFonts w:ascii="Arial" w:hAnsi="Arial" w:cs="Arial"/>
          <w:i/>
          <w:iCs/>
          <w:sz w:val="18"/>
          <w:szCs w:val="18"/>
        </w:rPr>
        <w:t>(CAT/C/NZL/CO/5)</w:t>
      </w:r>
      <w:r w:rsidRPr="0009298A">
        <w:rPr>
          <w:rFonts w:ascii="Arial" w:hAnsi="Arial" w:cs="Arial"/>
          <w:sz w:val="18"/>
          <w:szCs w:val="18"/>
        </w:rPr>
        <w:t>, CAT/C/NZL/CO/5/Add.1</w:t>
      </w:r>
      <w:r>
        <w:rPr>
          <w:rFonts w:ascii="Arial" w:hAnsi="Arial" w:cs="Arial"/>
          <w:sz w:val="18"/>
          <w:szCs w:val="18"/>
        </w:rPr>
        <w:t xml:space="preserve"> (</w:t>
      </w:r>
      <w:r w:rsidRPr="0009298A">
        <w:rPr>
          <w:rFonts w:ascii="Arial" w:hAnsi="Arial" w:cs="Arial"/>
          <w:sz w:val="18"/>
          <w:szCs w:val="18"/>
        </w:rPr>
        <w:t>2010</w:t>
      </w:r>
      <w:r>
        <w:rPr>
          <w:rFonts w:ascii="Arial" w:hAnsi="Arial" w:cs="Arial"/>
          <w:sz w:val="18"/>
          <w:szCs w:val="18"/>
        </w:rPr>
        <w:t>)</w:t>
      </w:r>
      <w:r w:rsidRPr="0009298A">
        <w:rPr>
          <w:rFonts w:ascii="Arial" w:hAnsi="Arial" w:cs="Arial"/>
          <w:sz w:val="18"/>
          <w:szCs w:val="18"/>
        </w:rPr>
        <w:t xml:space="preserve"> at [19]-[22].</w:t>
      </w:r>
    </w:p>
  </w:footnote>
  <w:footnote w:id="196">
    <w:p w14:paraId="677BC651" w14:textId="18F167F2"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At [23]-[28].</w:t>
      </w:r>
    </w:p>
  </w:footnote>
  <w:footnote w:id="197">
    <w:p w14:paraId="4642DE45" w14:textId="002D7401"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C71119">
        <w:rPr>
          <w:rFonts w:ascii="Arial" w:hAnsi="Arial" w:cs="Arial"/>
          <w:i/>
          <w:iCs/>
          <w:sz w:val="18"/>
          <w:szCs w:val="18"/>
        </w:rPr>
        <w:t>Sixth periodic reports of States parties due in 2013</w:t>
      </w:r>
      <w:r w:rsidRPr="00C71119">
        <w:rPr>
          <w:rFonts w:ascii="Arial" w:hAnsi="Arial" w:cs="Arial"/>
          <w:sz w:val="18"/>
          <w:szCs w:val="18"/>
        </w:rPr>
        <w:t xml:space="preserve">- </w:t>
      </w:r>
      <w:r w:rsidRPr="00C71119">
        <w:rPr>
          <w:rFonts w:ascii="Arial" w:hAnsi="Arial" w:cs="Arial"/>
          <w:i/>
          <w:iCs/>
          <w:sz w:val="18"/>
          <w:szCs w:val="18"/>
        </w:rPr>
        <w:t xml:space="preserve">New Zealand </w:t>
      </w:r>
      <w:r w:rsidRPr="00C71119">
        <w:rPr>
          <w:rFonts w:ascii="Arial" w:hAnsi="Arial" w:cs="Arial"/>
          <w:sz w:val="18"/>
          <w:szCs w:val="18"/>
        </w:rPr>
        <w:t>CAT/C/NZL/6, (2013) at [228]-[246].</w:t>
      </w:r>
    </w:p>
  </w:footnote>
  <w:footnote w:id="198">
    <w:p w14:paraId="7BD7E285" w14:textId="6AC7E99B" w:rsidR="00DF4D1E" w:rsidRPr="00C71119" w:rsidRDefault="00DF4D1E" w:rsidP="003B5825">
      <w:pPr>
        <w:pStyle w:val="FootnoteText"/>
        <w:ind w:left="567" w:hanging="567"/>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C71119">
        <w:rPr>
          <w:rFonts w:ascii="Arial" w:hAnsi="Arial" w:cs="Arial"/>
          <w:sz w:val="18"/>
          <w:szCs w:val="18"/>
        </w:rPr>
        <w:t>CAT</w:t>
      </w:r>
      <w:r w:rsidRPr="00C55C28">
        <w:rPr>
          <w:rFonts w:ascii="Arial" w:hAnsi="Arial" w:cs="Arial"/>
          <w:sz w:val="18"/>
          <w:szCs w:val="18"/>
        </w:rPr>
        <w:t xml:space="preserve"> </w:t>
      </w:r>
      <w:r w:rsidRPr="00C55C28">
        <w:rPr>
          <w:rFonts w:ascii="Arial" w:hAnsi="Arial" w:cs="Arial"/>
          <w:i/>
          <w:iCs/>
          <w:sz w:val="18"/>
          <w:szCs w:val="18"/>
        </w:rPr>
        <w:t>Concluding observations on the sixth periodic report of New Zealand</w:t>
      </w:r>
      <w:r w:rsidRPr="00C55C28">
        <w:rPr>
          <w:rFonts w:ascii="Arial" w:hAnsi="Arial" w:cs="Arial"/>
          <w:sz w:val="18"/>
          <w:szCs w:val="18"/>
        </w:rPr>
        <w:t>, above n</w:t>
      </w:r>
      <w:r>
        <w:rPr>
          <w:rFonts w:ascii="Arial" w:hAnsi="Arial" w:cs="Arial"/>
          <w:sz w:val="18"/>
          <w:szCs w:val="18"/>
        </w:rPr>
        <w:t xml:space="preserve"> 172</w:t>
      </w:r>
      <w:r w:rsidRPr="00C55C28">
        <w:rPr>
          <w:rFonts w:ascii="Arial" w:hAnsi="Arial" w:cs="Arial"/>
          <w:sz w:val="18"/>
          <w:szCs w:val="18"/>
        </w:rPr>
        <w:t xml:space="preserve">, at </w:t>
      </w:r>
      <w:r w:rsidRPr="00C55C28">
        <w:rPr>
          <w:rFonts w:ascii="Arial" w:hAnsi="Arial" w:cs="Arial"/>
          <w:sz w:val="18"/>
          <w:szCs w:val="18"/>
          <w:lang w:val="en-NZ"/>
        </w:rPr>
        <w:t>[1</w:t>
      </w:r>
      <w:r>
        <w:rPr>
          <w:rFonts w:ascii="Arial" w:hAnsi="Arial" w:cs="Arial"/>
          <w:sz w:val="18"/>
          <w:szCs w:val="18"/>
          <w:lang w:val="en-NZ"/>
        </w:rPr>
        <w:t>5</w:t>
      </w:r>
      <w:r w:rsidRPr="00C55C28">
        <w:rPr>
          <w:rFonts w:ascii="Arial" w:hAnsi="Arial" w:cs="Arial"/>
          <w:sz w:val="18"/>
          <w:szCs w:val="18"/>
          <w:lang w:val="en-NZ"/>
        </w:rPr>
        <w:t>]</w:t>
      </w:r>
      <w:r>
        <w:rPr>
          <w:rFonts w:ascii="Arial" w:hAnsi="Arial" w:cs="Arial"/>
          <w:sz w:val="18"/>
          <w:szCs w:val="18"/>
          <w:lang w:val="en-NZ"/>
        </w:rPr>
        <w:t>.</w:t>
      </w:r>
    </w:p>
  </w:footnote>
  <w:footnote w:id="199">
    <w:p w14:paraId="7C0C4465" w14:textId="1259D5B3"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At [15](c).</w:t>
      </w:r>
    </w:p>
  </w:footnote>
  <w:footnote w:id="200">
    <w:p w14:paraId="1B5419C7" w14:textId="1B67F598"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Pr>
          <w:rFonts w:ascii="Arial" w:hAnsi="Arial" w:cs="Arial"/>
          <w:sz w:val="18"/>
          <w:szCs w:val="18"/>
        </w:rPr>
        <w:t>A</w:t>
      </w:r>
      <w:r w:rsidRPr="00C55C28">
        <w:rPr>
          <w:rFonts w:ascii="Arial" w:hAnsi="Arial" w:cs="Arial"/>
          <w:sz w:val="18"/>
          <w:szCs w:val="18"/>
        </w:rPr>
        <w:t xml:space="preserve">t </w:t>
      </w:r>
      <w:r w:rsidRPr="00C55C28">
        <w:rPr>
          <w:rFonts w:ascii="Arial" w:hAnsi="Arial" w:cs="Arial"/>
          <w:sz w:val="18"/>
          <w:szCs w:val="18"/>
          <w:lang w:val="en-NZ"/>
        </w:rPr>
        <w:t>[19].</w:t>
      </w:r>
    </w:p>
  </w:footnote>
  <w:footnote w:id="201">
    <w:p w14:paraId="17A9F2B8" w14:textId="0A8B26FB"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Pr>
          <w:rFonts w:ascii="Arial" w:hAnsi="Arial" w:cs="Arial"/>
          <w:sz w:val="18"/>
          <w:szCs w:val="18"/>
        </w:rPr>
        <w:t>A</w:t>
      </w:r>
      <w:r w:rsidRPr="00C55C28">
        <w:rPr>
          <w:rFonts w:ascii="Arial" w:hAnsi="Arial" w:cs="Arial"/>
          <w:sz w:val="18"/>
          <w:szCs w:val="18"/>
        </w:rPr>
        <w:t xml:space="preserve">t </w:t>
      </w:r>
      <w:r w:rsidRPr="00C55C28">
        <w:rPr>
          <w:rFonts w:ascii="Arial" w:hAnsi="Arial" w:cs="Arial"/>
          <w:sz w:val="18"/>
          <w:szCs w:val="18"/>
          <w:lang w:val="en-NZ"/>
        </w:rPr>
        <w:t>[19].</w:t>
      </w:r>
    </w:p>
  </w:footnote>
  <w:footnote w:id="202">
    <w:p w14:paraId="4D50CB7E" w14:textId="4A48519A" w:rsidR="00DF4D1E" w:rsidRPr="0009298A" w:rsidRDefault="00DF4D1E" w:rsidP="003B5825">
      <w:pPr>
        <w:pStyle w:val="FootnoteText"/>
        <w:ind w:left="567" w:hanging="567"/>
        <w:rPr>
          <w:rFonts w:ascii="Arial" w:hAnsi="Arial" w:cs="Arial"/>
          <w:sz w:val="18"/>
          <w:szCs w:val="18"/>
        </w:rPr>
      </w:pPr>
      <w:r w:rsidRPr="0009298A">
        <w:rPr>
          <w:rStyle w:val="FootnoteReference"/>
          <w:rFonts w:ascii="Arial" w:hAnsi="Arial" w:cs="Arial"/>
          <w:sz w:val="18"/>
          <w:szCs w:val="18"/>
        </w:rPr>
        <w:footnoteRef/>
      </w:r>
      <w:r w:rsidRPr="0009298A">
        <w:rPr>
          <w:rFonts w:ascii="Arial" w:hAnsi="Arial" w:cs="Arial"/>
          <w:sz w:val="18"/>
          <w:szCs w:val="18"/>
        </w:rPr>
        <w:t xml:space="preserve"> </w:t>
      </w:r>
      <w:r w:rsidR="00BF40C6">
        <w:rPr>
          <w:rFonts w:ascii="Arial" w:hAnsi="Arial" w:cs="Arial"/>
          <w:sz w:val="18"/>
          <w:szCs w:val="18"/>
        </w:rPr>
        <w:tab/>
      </w:r>
      <w:r w:rsidRPr="0009298A">
        <w:rPr>
          <w:rFonts w:ascii="Arial" w:hAnsi="Arial" w:cs="Arial"/>
          <w:i/>
          <w:iCs/>
          <w:sz w:val="18"/>
          <w:szCs w:val="18"/>
        </w:rPr>
        <w:t>Information received from New Zealand in follow-up to the concluding observations</w:t>
      </w:r>
      <w:r w:rsidRPr="0009298A">
        <w:rPr>
          <w:rFonts w:ascii="Arial" w:hAnsi="Arial" w:cs="Arial"/>
          <w:sz w:val="18"/>
          <w:szCs w:val="18"/>
        </w:rPr>
        <w:t xml:space="preserve"> CAT/C/NZL/CO/6/Add.1 (2016)</w:t>
      </w:r>
      <w:r>
        <w:rPr>
          <w:rFonts w:ascii="Arial" w:hAnsi="Arial" w:cs="Arial"/>
          <w:sz w:val="18"/>
          <w:szCs w:val="18"/>
        </w:rPr>
        <w:t xml:space="preserve"> at [31].</w:t>
      </w:r>
    </w:p>
  </w:footnote>
  <w:footnote w:id="203">
    <w:p w14:paraId="6DD13543" w14:textId="536F6F50"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CAT </w:t>
      </w:r>
      <w:r w:rsidRPr="00C55C28">
        <w:rPr>
          <w:rFonts w:ascii="Arial" w:hAnsi="Arial" w:cs="Arial"/>
          <w:i/>
          <w:iCs/>
          <w:sz w:val="18"/>
          <w:szCs w:val="18"/>
        </w:rPr>
        <w:t>List of issues prior to submission of the seventh periodic report of New Zealand</w:t>
      </w:r>
      <w:r w:rsidRPr="00C55C28">
        <w:rPr>
          <w:rFonts w:ascii="Arial" w:hAnsi="Arial" w:cs="Arial"/>
          <w:sz w:val="18"/>
          <w:szCs w:val="18"/>
        </w:rPr>
        <w:t xml:space="preserve"> CAT/C/NZL/QPR/7 (2017) </w:t>
      </w:r>
      <w:r w:rsidRPr="00C55C28">
        <w:rPr>
          <w:rFonts w:ascii="Arial" w:hAnsi="Arial" w:cs="Arial"/>
          <w:sz w:val="18"/>
          <w:szCs w:val="18"/>
          <w:lang w:val="en-NZ"/>
        </w:rPr>
        <w:t>at [28].</w:t>
      </w:r>
    </w:p>
  </w:footnote>
  <w:footnote w:id="204">
    <w:p w14:paraId="0DF542EE" w14:textId="750E3F41"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i/>
          <w:iCs/>
          <w:sz w:val="18"/>
          <w:szCs w:val="18"/>
        </w:rPr>
        <w:t>Seventh periodic report submitted by New Zealand under article 19 of the Convention pursuant to the optional reporting procedure, due in 2019</w:t>
      </w:r>
      <w:r w:rsidRPr="00C55C28">
        <w:rPr>
          <w:rFonts w:ascii="Arial" w:hAnsi="Arial" w:cs="Arial"/>
          <w:sz w:val="18"/>
          <w:szCs w:val="18"/>
        </w:rPr>
        <w:t xml:space="preserve"> </w:t>
      </w:r>
      <w:r w:rsidRPr="00C55C28">
        <w:rPr>
          <w:rFonts w:ascii="Arial" w:hAnsi="Arial" w:cs="Arial"/>
          <w:sz w:val="18"/>
          <w:szCs w:val="18"/>
          <w:lang w:val="en-NZ"/>
        </w:rPr>
        <w:t>(advance unedited version) (2019) at [301].</w:t>
      </w:r>
    </w:p>
  </w:footnote>
  <w:footnote w:id="205">
    <w:p w14:paraId="1515540B" w14:textId="3E9D8FBB"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At </w:t>
      </w:r>
      <w:r w:rsidRPr="00C55C28">
        <w:rPr>
          <w:rFonts w:ascii="Arial" w:hAnsi="Arial" w:cs="Arial"/>
          <w:sz w:val="18"/>
          <w:szCs w:val="18"/>
          <w:lang w:val="en-NZ"/>
        </w:rPr>
        <w:t>[303]-[304].</w:t>
      </w:r>
    </w:p>
  </w:footnote>
  <w:footnote w:id="206">
    <w:p w14:paraId="6E45EA95" w14:textId="3D9FE129"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At </w:t>
      </w:r>
      <w:r w:rsidRPr="00C55C28">
        <w:rPr>
          <w:rFonts w:ascii="Arial" w:hAnsi="Arial" w:cs="Arial"/>
          <w:sz w:val="18"/>
          <w:szCs w:val="18"/>
          <w:lang w:val="en-NZ"/>
        </w:rPr>
        <w:t>[305]-[306].</w:t>
      </w:r>
    </w:p>
  </w:footnote>
  <w:footnote w:id="207">
    <w:p w14:paraId="0B454600" w14:textId="398DAEC6" w:rsidR="00DF4D1E" w:rsidRPr="00C55C28" w:rsidRDefault="00DF4D1E" w:rsidP="003B5825">
      <w:pPr>
        <w:pStyle w:val="FootnoteText"/>
        <w:ind w:left="567" w:hanging="567"/>
        <w:rPr>
          <w:rFonts w:ascii="Arial" w:hAnsi="Arial" w:cs="Arial"/>
          <w:sz w:val="18"/>
          <w:szCs w:val="18"/>
          <w:lang w:val="en-NZ"/>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At </w:t>
      </w:r>
      <w:r w:rsidRPr="00C55C28">
        <w:rPr>
          <w:rFonts w:ascii="Arial" w:hAnsi="Arial" w:cs="Arial"/>
          <w:sz w:val="18"/>
          <w:szCs w:val="18"/>
          <w:lang w:val="en-NZ"/>
        </w:rPr>
        <w:t>[307]-[308].</w:t>
      </w:r>
    </w:p>
  </w:footnote>
  <w:footnote w:id="208">
    <w:p w14:paraId="7B9B28D1" w14:textId="0B76A358"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At [309].</w:t>
      </w:r>
    </w:p>
  </w:footnote>
  <w:footnote w:id="209">
    <w:p w14:paraId="7CFE8CE6" w14:textId="61653066"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At [310].</w:t>
      </w:r>
    </w:p>
  </w:footnote>
  <w:footnote w:id="210">
    <w:p w14:paraId="59BAB0BB" w14:textId="01FE9333"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Art</w:t>
      </w:r>
      <w:r>
        <w:rPr>
          <w:rFonts w:ascii="Arial" w:hAnsi="Arial" w:cs="Arial"/>
          <w:sz w:val="18"/>
          <w:szCs w:val="18"/>
        </w:rPr>
        <w:t>icle</w:t>
      </w:r>
      <w:r w:rsidRPr="003B5825">
        <w:rPr>
          <w:rFonts w:ascii="Arial" w:hAnsi="Arial" w:cs="Arial"/>
          <w:sz w:val="18"/>
          <w:szCs w:val="18"/>
        </w:rPr>
        <w:t xml:space="preserve"> 22(1) of CAT.</w:t>
      </w:r>
    </w:p>
  </w:footnote>
  <w:footnote w:id="211">
    <w:p w14:paraId="6A96E529" w14:textId="1E61AC59"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Pr>
          <w:rFonts w:ascii="Arial" w:hAnsi="Arial" w:cs="Arial"/>
          <w:sz w:val="18"/>
          <w:szCs w:val="18"/>
        </w:rPr>
        <w:t>Above n 31.</w:t>
      </w:r>
    </w:p>
  </w:footnote>
  <w:footnote w:id="212">
    <w:p w14:paraId="035D40CD" w14:textId="241D9B3E"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 xml:space="preserve">At [2.3] and </w:t>
      </w:r>
      <w:proofErr w:type="spellStart"/>
      <w:r w:rsidRPr="003B5825">
        <w:rPr>
          <w:rFonts w:ascii="Arial" w:hAnsi="Arial" w:cs="Arial"/>
          <w:sz w:val="18"/>
          <w:szCs w:val="18"/>
        </w:rPr>
        <w:t>fn</w:t>
      </w:r>
      <w:proofErr w:type="spellEnd"/>
      <w:r w:rsidRPr="003B5825">
        <w:rPr>
          <w:rFonts w:ascii="Arial" w:hAnsi="Arial" w:cs="Arial"/>
          <w:sz w:val="18"/>
          <w:szCs w:val="18"/>
        </w:rPr>
        <w:t xml:space="preserve"> 6.</w:t>
      </w:r>
    </w:p>
  </w:footnote>
  <w:footnote w:id="213">
    <w:p w14:paraId="136F7460" w14:textId="1ED959E4"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Art</w:t>
      </w:r>
      <w:r>
        <w:rPr>
          <w:rFonts w:ascii="Arial" w:hAnsi="Arial" w:cs="Arial"/>
          <w:sz w:val="18"/>
          <w:szCs w:val="18"/>
        </w:rPr>
        <w:t>icle</w:t>
      </w:r>
      <w:r w:rsidRPr="003B5825">
        <w:rPr>
          <w:rFonts w:ascii="Arial" w:hAnsi="Arial" w:cs="Arial"/>
          <w:sz w:val="18"/>
          <w:szCs w:val="18"/>
        </w:rPr>
        <w:t xml:space="preserve"> 12 of CAT.</w:t>
      </w:r>
    </w:p>
  </w:footnote>
  <w:footnote w:id="214">
    <w:p w14:paraId="4CED97D2" w14:textId="135A346E"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Art</w:t>
      </w:r>
      <w:r>
        <w:rPr>
          <w:rFonts w:ascii="Arial" w:hAnsi="Arial" w:cs="Arial"/>
          <w:sz w:val="18"/>
          <w:szCs w:val="18"/>
        </w:rPr>
        <w:t>icle</w:t>
      </w:r>
      <w:r w:rsidRPr="003B5825">
        <w:rPr>
          <w:rFonts w:ascii="Arial" w:hAnsi="Arial" w:cs="Arial"/>
          <w:sz w:val="18"/>
          <w:szCs w:val="18"/>
        </w:rPr>
        <w:t xml:space="preserve"> 13 of CAT.</w:t>
      </w:r>
    </w:p>
  </w:footnote>
  <w:footnote w:id="215">
    <w:p w14:paraId="39AB29A1" w14:textId="069A2712" w:rsidR="00DF4D1E" w:rsidRPr="003B5825" w:rsidRDefault="00DF4D1E" w:rsidP="003B5825">
      <w:pPr>
        <w:pStyle w:val="FootnoteText"/>
        <w:ind w:left="567" w:hanging="567"/>
        <w:rPr>
          <w:rFonts w:ascii="Arial" w:hAnsi="Arial" w:cs="Arial"/>
        </w:rPr>
      </w:pPr>
      <w:r w:rsidRPr="003B5825">
        <w:rPr>
          <w:rStyle w:val="FootnoteReference"/>
          <w:rFonts w:ascii="Arial" w:hAnsi="Arial" w:cs="Arial"/>
        </w:rPr>
        <w:footnoteRef/>
      </w:r>
      <w:r w:rsidRPr="003B5825">
        <w:rPr>
          <w:rFonts w:ascii="Arial" w:hAnsi="Arial" w:cs="Arial"/>
        </w:rPr>
        <w:t xml:space="preserve"> </w:t>
      </w:r>
      <w:r w:rsidR="00BF40C6">
        <w:rPr>
          <w:rFonts w:ascii="Arial" w:hAnsi="Arial" w:cs="Arial"/>
        </w:rPr>
        <w:tab/>
      </w:r>
      <w:r w:rsidRPr="003B5825">
        <w:rPr>
          <w:rFonts w:ascii="Arial" w:hAnsi="Arial" w:cs="Arial"/>
        </w:rPr>
        <w:t>Art</w:t>
      </w:r>
      <w:r>
        <w:rPr>
          <w:rFonts w:ascii="Arial" w:hAnsi="Arial" w:cs="Arial"/>
        </w:rPr>
        <w:t>icle</w:t>
      </w:r>
      <w:r w:rsidRPr="003B5825">
        <w:rPr>
          <w:rFonts w:ascii="Arial" w:hAnsi="Arial" w:cs="Arial"/>
        </w:rPr>
        <w:t xml:space="preserve"> 14 of CAT.</w:t>
      </w:r>
    </w:p>
  </w:footnote>
  <w:footnote w:id="216">
    <w:p w14:paraId="4E369F0F" w14:textId="62D99F79" w:rsidR="00DF4D1E" w:rsidRPr="00E56803"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 xml:space="preserve">At [9.4].  While not stated by the Committee, this point may have been significant because “torture” is defined in art 1(1) of CAT as meaning “any act by which severe pain or suffering, whether physical </w:t>
      </w:r>
      <w:r w:rsidRPr="00E56803">
        <w:rPr>
          <w:rFonts w:ascii="Arial" w:hAnsi="Arial" w:cs="Arial"/>
          <w:sz w:val="18"/>
          <w:szCs w:val="18"/>
        </w:rPr>
        <w:t>or mental, is intentionally inflicted on a person for such purposes as […] punishing him for an act he or a third person has committed or is suspected of having committed, or intimidating or coercing him or a third person […]”.</w:t>
      </w:r>
    </w:p>
  </w:footnote>
  <w:footnote w:id="217">
    <w:p w14:paraId="2080DEC3" w14:textId="51C7DF2A" w:rsidR="00DF4D1E" w:rsidRPr="003B5825" w:rsidRDefault="00DF4D1E" w:rsidP="003B5825">
      <w:pPr>
        <w:pStyle w:val="FootnoteText"/>
        <w:ind w:left="567" w:hanging="567"/>
        <w:rPr>
          <w:rFonts w:ascii="Arial" w:hAnsi="Arial" w:cs="Arial"/>
          <w:sz w:val="18"/>
          <w:szCs w:val="18"/>
        </w:rPr>
      </w:pPr>
      <w:r w:rsidRPr="00E56803">
        <w:rPr>
          <w:rStyle w:val="FootnoteReference"/>
          <w:rFonts w:ascii="Arial" w:hAnsi="Arial" w:cs="Arial"/>
          <w:sz w:val="18"/>
          <w:szCs w:val="18"/>
        </w:rPr>
        <w:footnoteRef/>
      </w:r>
      <w:r w:rsidRPr="00E56803">
        <w:rPr>
          <w:rFonts w:ascii="Arial" w:hAnsi="Arial" w:cs="Arial"/>
          <w:sz w:val="18"/>
          <w:szCs w:val="18"/>
        </w:rPr>
        <w:t xml:space="preserve"> </w:t>
      </w:r>
      <w:r w:rsidR="00BF40C6">
        <w:rPr>
          <w:rFonts w:ascii="Arial" w:hAnsi="Arial" w:cs="Arial"/>
          <w:sz w:val="18"/>
          <w:szCs w:val="18"/>
        </w:rPr>
        <w:tab/>
      </w:r>
      <w:r w:rsidRPr="00E56803">
        <w:rPr>
          <w:rFonts w:ascii="Arial" w:hAnsi="Arial" w:cs="Arial"/>
          <w:sz w:val="18"/>
          <w:szCs w:val="18"/>
        </w:rPr>
        <w:t>At [9.4].</w:t>
      </w:r>
    </w:p>
  </w:footnote>
  <w:footnote w:id="218">
    <w:p w14:paraId="5250B0C8" w14:textId="7BC931E9" w:rsidR="00DF4D1E" w:rsidRPr="00E56803" w:rsidRDefault="00DF4D1E" w:rsidP="003B5825">
      <w:pPr>
        <w:pStyle w:val="FootnoteText"/>
        <w:ind w:left="567" w:hanging="567"/>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At [4.8] and [9.5].</w:t>
      </w:r>
    </w:p>
  </w:footnote>
  <w:footnote w:id="219">
    <w:p w14:paraId="52E98D7C" w14:textId="708CA7CF"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E56803">
        <w:rPr>
          <w:rFonts w:ascii="Arial" w:hAnsi="Arial" w:cs="Arial"/>
          <w:sz w:val="18"/>
          <w:szCs w:val="18"/>
        </w:rPr>
        <w:t>At [9.5].</w:t>
      </w:r>
    </w:p>
  </w:footnote>
  <w:footnote w:id="220">
    <w:p w14:paraId="359F6B4E" w14:textId="5F0EAD41"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At [9.6].</w:t>
      </w:r>
    </w:p>
  </w:footnote>
  <w:footnote w:id="221">
    <w:p w14:paraId="30853699" w14:textId="51197699" w:rsidR="00DF4D1E" w:rsidRPr="0009298A" w:rsidRDefault="00DF4D1E" w:rsidP="003B5825">
      <w:pPr>
        <w:pStyle w:val="FootnoteText"/>
        <w:ind w:left="567" w:hanging="567"/>
        <w:rPr>
          <w:rFonts w:ascii="Arial" w:hAnsi="Arial" w:cs="Arial"/>
          <w:sz w:val="18"/>
          <w:szCs w:val="18"/>
          <w:lang w:val="en-NZ"/>
        </w:rPr>
      </w:pPr>
      <w:r w:rsidRPr="0009298A">
        <w:rPr>
          <w:rStyle w:val="FootnoteReference"/>
          <w:rFonts w:ascii="Arial" w:hAnsi="Arial" w:cs="Arial"/>
          <w:sz w:val="18"/>
          <w:szCs w:val="18"/>
        </w:rPr>
        <w:footnoteRef/>
      </w:r>
      <w:r w:rsidRPr="0009298A">
        <w:rPr>
          <w:rFonts w:ascii="Arial" w:hAnsi="Arial" w:cs="Arial"/>
          <w:sz w:val="18"/>
          <w:szCs w:val="18"/>
        </w:rPr>
        <w:t xml:space="preserve"> </w:t>
      </w:r>
      <w:r w:rsidR="00BF40C6">
        <w:rPr>
          <w:rFonts w:ascii="Arial" w:hAnsi="Arial" w:cs="Arial"/>
          <w:sz w:val="18"/>
          <w:szCs w:val="18"/>
        </w:rPr>
        <w:tab/>
      </w:r>
      <w:r w:rsidRPr="0009298A">
        <w:rPr>
          <w:rFonts w:ascii="Arial" w:hAnsi="Arial" w:cs="Arial"/>
          <w:sz w:val="18"/>
          <w:szCs w:val="18"/>
          <w:lang w:val="en-NZ"/>
        </w:rPr>
        <w:t>At [8.5].</w:t>
      </w:r>
    </w:p>
  </w:footnote>
  <w:footnote w:id="222">
    <w:p w14:paraId="168B46D3" w14:textId="58E79935"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At [11(a)].</w:t>
      </w:r>
    </w:p>
  </w:footnote>
  <w:footnote w:id="223">
    <w:p w14:paraId="2253B661" w14:textId="47ED66FC" w:rsidR="00DF4D1E" w:rsidRPr="003B5825" w:rsidRDefault="00DF4D1E" w:rsidP="003B5825">
      <w:pPr>
        <w:pStyle w:val="FootnoteText"/>
        <w:ind w:left="567" w:hanging="567"/>
        <w:rPr>
          <w:rFonts w:ascii="Arial" w:hAnsi="Arial" w:cs="Arial"/>
          <w:sz w:val="18"/>
          <w:szCs w:val="18"/>
        </w:rPr>
      </w:pPr>
      <w:r w:rsidRPr="003B5825">
        <w:rPr>
          <w:rStyle w:val="FootnoteReference"/>
          <w:rFonts w:ascii="Arial" w:hAnsi="Arial" w:cs="Arial"/>
          <w:sz w:val="18"/>
          <w:szCs w:val="18"/>
        </w:rPr>
        <w:footnoteRef/>
      </w:r>
      <w:r w:rsidRPr="003B5825">
        <w:rPr>
          <w:rFonts w:ascii="Arial" w:hAnsi="Arial" w:cs="Arial"/>
          <w:sz w:val="18"/>
          <w:szCs w:val="18"/>
        </w:rPr>
        <w:t xml:space="preserve"> </w:t>
      </w:r>
      <w:r w:rsidR="00BF40C6">
        <w:rPr>
          <w:rFonts w:ascii="Arial" w:hAnsi="Arial" w:cs="Arial"/>
          <w:sz w:val="18"/>
          <w:szCs w:val="18"/>
        </w:rPr>
        <w:tab/>
      </w:r>
      <w:r w:rsidRPr="003B5825">
        <w:rPr>
          <w:rFonts w:ascii="Arial" w:hAnsi="Arial" w:cs="Arial"/>
          <w:sz w:val="18"/>
          <w:szCs w:val="18"/>
        </w:rPr>
        <w:t>At [11(b)].</w:t>
      </w:r>
    </w:p>
  </w:footnote>
  <w:footnote w:id="224">
    <w:p w14:paraId="0A79CA52" w14:textId="7994BE7D"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CERD </w:t>
      </w:r>
      <w:r w:rsidRPr="00C55C28">
        <w:rPr>
          <w:rFonts w:ascii="Arial" w:hAnsi="Arial" w:cs="Arial"/>
          <w:i/>
          <w:iCs/>
          <w:sz w:val="18"/>
          <w:szCs w:val="18"/>
        </w:rPr>
        <w:t>Concluding observations on the combined twenty-first and twenty-second periodic reports of New Zealand</w:t>
      </w:r>
      <w:r w:rsidRPr="00C55C28">
        <w:rPr>
          <w:rFonts w:ascii="Arial" w:hAnsi="Arial" w:cs="Arial"/>
          <w:sz w:val="18"/>
          <w:szCs w:val="18"/>
        </w:rPr>
        <w:t xml:space="preserve"> CERD/C/NZL/CO/21-22 (2017) at [33]-[34(a)].</w:t>
      </w:r>
    </w:p>
  </w:footnote>
  <w:footnote w:id="225">
    <w:p w14:paraId="7D5370F2" w14:textId="5A5CC5A8"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At [34(b)].</w:t>
      </w:r>
    </w:p>
  </w:footnote>
  <w:footnote w:id="226">
    <w:p w14:paraId="0520E6DC" w14:textId="3417AECD"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CERD </w:t>
      </w:r>
      <w:r w:rsidRPr="00C55C28">
        <w:rPr>
          <w:rFonts w:ascii="Arial" w:hAnsi="Arial" w:cs="Arial"/>
          <w:i/>
          <w:iCs/>
          <w:sz w:val="18"/>
          <w:szCs w:val="18"/>
        </w:rPr>
        <w:t>Information received from New Zealand on follow-up to the concluding observations</w:t>
      </w:r>
      <w:r w:rsidRPr="00C55C28">
        <w:rPr>
          <w:rFonts w:ascii="Arial" w:hAnsi="Arial" w:cs="Arial"/>
          <w:sz w:val="18"/>
          <w:szCs w:val="18"/>
        </w:rPr>
        <w:t xml:space="preserve"> CERD/C/NZL/CO/21-22/Add.1 (2018) at [18]-[28].</w:t>
      </w:r>
    </w:p>
  </w:footnote>
  <w:footnote w:id="227">
    <w:p w14:paraId="5A452B9C" w14:textId="0B99B01D"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At [29]-[34].</w:t>
      </w:r>
    </w:p>
  </w:footnote>
  <w:footnote w:id="228">
    <w:p w14:paraId="2AA6E786" w14:textId="22060082"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CRPD </w:t>
      </w:r>
      <w:r w:rsidRPr="00C55C28">
        <w:rPr>
          <w:rFonts w:ascii="Arial" w:hAnsi="Arial" w:cs="Arial"/>
          <w:i/>
          <w:iCs/>
          <w:sz w:val="18"/>
          <w:szCs w:val="18"/>
        </w:rPr>
        <w:t>List of issues prior to submission of the combined second and third periodic reports of New Zealand</w:t>
      </w:r>
      <w:r w:rsidRPr="00C55C28">
        <w:rPr>
          <w:rFonts w:ascii="Arial" w:hAnsi="Arial" w:cs="Arial"/>
          <w:sz w:val="18"/>
          <w:szCs w:val="18"/>
        </w:rPr>
        <w:t xml:space="preserve"> CRPD/C/NZL/QPR/2-3 (2018) at [7(d)].</w:t>
      </w:r>
    </w:p>
  </w:footnote>
  <w:footnote w:id="229">
    <w:p w14:paraId="600CD013" w14:textId="5B4E4900"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i/>
          <w:iCs/>
          <w:sz w:val="18"/>
          <w:szCs w:val="18"/>
        </w:rPr>
        <w:t>Combined second and third periodic reports submitted by New Zealand under article 35 of the Convention pursuant to the optional reporting procedure, due in 2019</w:t>
      </w:r>
      <w:r w:rsidRPr="00C55C28">
        <w:rPr>
          <w:rFonts w:ascii="Arial" w:hAnsi="Arial" w:cs="Arial"/>
          <w:sz w:val="18"/>
          <w:szCs w:val="18"/>
        </w:rPr>
        <w:t xml:space="preserve"> CRPD/C/NZL/2-3 (2019) at [72]-[77].</w:t>
      </w:r>
    </w:p>
  </w:footnote>
  <w:footnote w:id="230">
    <w:p w14:paraId="66976548" w14:textId="655373AB" w:rsidR="00DF4D1E" w:rsidRPr="00C55C28" w:rsidRDefault="00DF4D1E" w:rsidP="003B5825">
      <w:pPr>
        <w:pStyle w:val="FootnoteText"/>
        <w:ind w:left="567" w:hanging="567"/>
        <w:rPr>
          <w:rFonts w:ascii="Arial" w:hAnsi="Arial" w:cs="Arial"/>
          <w:sz w:val="18"/>
          <w:szCs w:val="18"/>
        </w:rPr>
      </w:pPr>
      <w:r w:rsidRPr="00C55C28">
        <w:rPr>
          <w:rStyle w:val="FootnoteReference"/>
          <w:rFonts w:ascii="Arial" w:hAnsi="Arial" w:cs="Arial"/>
          <w:sz w:val="18"/>
          <w:szCs w:val="18"/>
        </w:rPr>
        <w:footnoteRef/>
      </w:r>
      <w:r w:rsidRPr="00C55C28">
        <w:rPr>
          <w:rFonts w:ascii="Arial" w:hAnsi="Arial" w:cs="Arial"/>
          <w:sz w:val="18"/>
          <w:szCs w:val="18"/>
        </w:rPr>
        <w:t xml:space="preserve"> </w:t>
      </w:r>
      <w:r w:rsidR="00BF40C6">
        <w:rPr>
          <w:rFonts w:ascii="Arial" w:hAnsi="Arial" w:cs="Arial"/>
          <w:sz w:val="18"/>
          <w:szCs w:val="18"/>
        </w:rPr>
        <w:tab/>
      </w:r>
      <w:r w:rsidRPr="00C55C28">
        <w:rPr>
          <w:rFonts w:ascii="Arial" w:hAnsi="Arial" w:cs="Arial"/>
          <w:sz w:val="18"/>
          <w:szCs w:val="18"/>
        </w:rPr>
        <w:t xml:space="preserve">CESCR </w:t>
      </w:r>
      <w:r w:rsidRPr="00C55C28">
        <w:rPr>
          <w:rFonts w:ascii="Arial" w:hAnsi="Arial" w:cs="Arial"/>
          <w:i/>
          <w:iCs/>
          <w:sz w:val="18"/>
          <w:szCs w:val="18"/>
        </w:rPr>
        <w:t>Concluding observations on the fourth periodic report</w:t>
      </w:r>
      <w:r w:rsidRPr="00C55C28">
        <w:rPr>
          <w:rFonts w:ascii="Arial" w:hAnsi="Arial" w:cs="Arial"/>
          <w:sz w:val="18"/>
          <w:szCs w:val="18"/>
        </w:rPr>
        <w:t xml:space="preserve"> </w:t>
      </w:r>
      <w:r w:rsidRPr="00C55C28">
        <w:rPr>
          <w:rFonts w:ascii="Arial" w:hAnsi="Arial" w:cs="Arial"/>
          <w:i/>
          <w:iCs/>
          <w:sz w:val="18"/>
          <w:szCs w:val="18"/>
        </w:rPr>
        <w:t>of New Zealand</w:t>
      </w:r>
      <w:r w:rsidRPr="00C55C28">
        <w:rPr>
          <w:rFonts w:ascii="Arial" w:hAnsi="Arial" w:cs="Arial"/>
          <w:sz w:val="18"/>
          <w:szCs w:val="18"/>
        </w:rPr>
        <w:t xml:space="preserve"> E/C.12/NZL/CO/4 (2018) at [12] and [13(e)].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B16"/>
    <w:multiLevelType w:val="hybridMultilevel"/>
    <w:tmpl w:val="58AC22B8"/>
    <w:lvl w:ilvl="0" w:tplc="47B67BC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F0399A"/>
    <w:multiLevelType w:val="hybridMultilevel"/>
    <w:tmpl w:val="3E084584"/>
    <w:lvl w:ilvl="0" w:tplc="EB72FB1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236C19"/>
    <w:multiLevelType w:val="hybridMultilevel"/>
    <w:tmpl w:val="A5B23572"/>
    <w:lvl w:ilvl="0" w:tplc="9558BBC2">
      <w:start w:val="1"/>
      <w:numFmt w:val="lowerLetter"/>
      <w:lvlText w:val="(%1)"/>
      <w:lvlJc w:val="left"/>
      <w:pPr>
        <w:ind w:left="860" w:hanging="360"/>
      </w:pPr>
      <w:rPr>
        <w:rFonts w:hint="default"/>
      </w:rPr>
    </w:lvl>
    <w:lvl w:ilvl="1" w:tplc="14090019" w:tentative="1">
      <w:start w:val="1"/>
      <w:numFmt w:val="lowerLetter"/>
      <w:lvlText w:val="%2."/>
      <w:lvlJc w:val="left"/>
      <w:pPr>
        <w:ind w:left="1580" w:hanging="360"/>
      </w:p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3" w15:restartNumberingAfterBreak="0">
    <w:nsid w:val="0CC50826"/>
    <w:multiLevelType w:val="hybridMultilevel"/>
    <w:tmpl w:val="0D26CA88"/>
    <w:lvl w:ilvl="0" w:tplc="1409000B">
      <w:start w:val="1"/>
      <w:numFmt w:val="bullet"/>
      <w:lvlText w:val=""/>
      <w:lvlJc w:val="left"/>
      <w:pPr>
        <w:ind w:left="1220" w:hanging="360"/>
      </w:pPr>
      <w:rPr>
        <w:rFonts w:ascii="Wingdings" w:hAnsi="Wingdings" w:hint="default"/>
      </w:rPr>
    </w:lvl>
    <w:lvl w:ilvl="1" w:tplc="14090003" w:tentative="1">
      <w:start w:val="1"/>
      <w:numFmt w:val="bullet"/>
      <w:lvlText w:val="o"/>
      <w:lvlJc w:val="left"/>
      <w:pPr>
        <w:ind w:left="1940" w:hanging="360"/>
      </w:pPr>
      <w:rPr>
        <w:rFonts w:ascii="Courier New" w:hAnsi="Courier New" w:cs="Courier New" w:hint="default"/>
      </w:rPr>
    </w:lvl>
    <w:lvl w:ilvl="2" w:tplc="14090005" w:tentative="1">
      <w:start w:val="1"/>
      <w:numFmt w:val="bullet"/>
      <w:lvlText w:val=""/>
      <w:lvlJc w:val="left"/>
      <w:pPr>
        <w:ind w:left="2660" w:hanging="360"/>
      </w:pPr>
      <w:rPr>
        <w:rFonts w:ascii="Wingdings" w:hAnsi="Wingdings" w:hint="default"/>
      </w:rPr>
    </w:lvl>
    <w:lvl w:ilvl="3" w:tplc="14090001" w:tentative="1">
      <w:start w:val="1"/>
      <w:numFmt w:val="bullet"/>
      <w:lvlText w:val=""/>
      <w:lvlJc w:val="left"/>
      <w:pPr>
        <w:ind w:left="3380" w:hanging="360"/>
      </w:pPr>
      <w:rPr>
        <w:rFonts w:ascii="Symbol" w:hAnsi="Symbol" w:hint="default"/>
      </w:rPr>
    </w:lvl>
    <w:lvl w:ilvl="4" w:tplc="14090003" w:tentative="1">
      <w:start w:val="1"/>
      <w:numFmt w:val="bullet"/>
      <w:lvlText w:val="o"/>
      <w:lvlJc w:val="left"/>
      <w:pPr>
        <w:ind w:left="4100" w:hanging="360"/>
      </w:pPr>
      <w:rPr>
        <w:rFonts w:ascii="Courier New" w:hAnsi="Courier New" w:cs="Courier New" w:hint="default"/>
      </w:rPr>
    </w:lvl>
    <w:lvl w:ilvl="5" w:tplc="14090005" w:tentative="1">
      <w:start w:val="1"/>
      <w:numFmt w:val="bullet"/>
      <w:lvlText w:val=""/>
      <w:lvlJc w:val="left"/>
      <w:pPr>
        <w:ind w:left="4820" w:hanging="360"/>
      </w:pPr>
      <w:rPr>
        <w:rFonts w:ascii="Wingdings" w:hAnsi="Wingdings" w:hint="default"/>
      </w:rPr>
    </w:lvl>
    <w:lvl w:ilvl="6" w:tplc="14090001" w:tentative="1">
      <w:start w:val="1"/>
      <w:numFmt w:val="bullet"/>
      <w:lvlText w:val=""/>
      <w:lvlJc w:val="left"/>
      <w:pPr>
        <w:ind w:left="5540" w:hanging="360"/>
      </w:pPr>
      <w:rPr>
        <w:rFonts w:ascii="Symbol" w:hAnsi="Symbol" w:hint="default"/>
      </w:rPr>
    </w:lvl>
    <w:lvl w:ilvl="7" w:tplc="14090003" w:tentative="1">
      <w:start w:val="1"/>
      <w:numFmt w:val="bullet"/>
      <w:lvlText w:val="o"/>
      <w:lvlJc w:val="left"/>
      <w:pPr>
        <w:ind w:left="6260" w:hanging="360"/>
      </w:pPr>
      <w:rPr>
        <w:rFonts w:ascii="Courier New" w:hAnsi="Courier New" w:cs="Courier New" w:hint="default"/>
      </w:rPr>
    </w:lvl>
    <w:lvl w:ilvl="8" w:tplc="14090005" w:tentative="1">
      <w:start w:val="1"/>
      <w:numFmt w:val="bullet"/>
      <w:lvlText w:val=""/>
      <w:lvlJc w:val="left"/>
      <w:pPr>
        <w:ind w:left="6980" w:hanging="360"/>
      </w:pPr>
      <w:rPr>
        <w:rFonts w:ascii="Wingdings" w:hAnsi="Wingdings" w:hint="default"/>
      </w:rPr>
    </w:lvl>
  </w:abstractNum>
  <w:abstractNum w:abstractNumId="4" w15:restartNumberingAfterBreak="0">
    <w:nsid w:val="13BC4487"/>
    <w:multiLevelType w:val="hybridMultilevel"/>
    <w:tmpl w:val="1D021B88"/>
    <w:lvl w:ilvl="0" w:tplc="4A7E2216">
      <w:start w:val="1"/>
      <w:numFmt w:val="lowerLetter"/>
      <w:lvlText w:val="(%1)"/>
      <w:lvlJc w:val="left"/>
      <w:pPr>
        <w:ind w:left="860" w:hanging="360"/>
      </w:pPr>
      <w:rPr>
        <w:rFonts w:hint="default"/>
      </w:rPr>
    </w:lvl>
    <w:lvl w:ilvl="1" w:tplc="14090019" w:tentative="1">
      <w:start w:val="1"/>
      <w:numFmt w:val="lowerLetter"/>
      <w:lvlText w:val="%2."/>
      <w:lvlJc w:val="left"/>
      <w:pPr>
        <w:ind w:left="1580" w:hanging="360"/>
      </w:p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5" w15:restartNumberingAfterBreak="0">
    <w:nsid w:val="14646AD6"/>
    <w:multiLevelType w:val="hybridMultilevel"/>
    <w:tmpl w:val="A9084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25738A"/>
    <w:multiLevelType w:val="hybridMultilevel"/>
    <w:tmpl w:val="11F8D186"/>
    <w:lvl w:ilvl="0" w:tplc="DE3A0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484125A"/>
    <w:multiLevelType w:val="hybridMultilevel"/>
    <w:tmpl w:val="26725170"/>
    <w:lvl w:ilvl="0" w:tplc="1E3E885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8" w15:restartNumberingAfterBreak="0">
    <w:nsid w:val="2A537BC2"/>
    <w:multiLevelType w:val="hybridMultilevel"/>
    <w:tmpl w:val="14A66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BC83AA7"/>
    <w:multiLevelType w:val="hybridMultilevel"/>
    <w:tmpl w:val="26725170"/>
    <w:lvl w:ilvl="0" w:tplc="1E3E885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0" w15:restartNumberingAfterBreak="0">
    <w:nsid w:val="42B4362E"/>
    <w:multiLevelType w:val="hybridMultilevel"/>
    <w:tmpl w:val="58AC22B8"/>
    <w:lvl w:ilvl="0" w:tplc="47B67BC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724674F"/>
    <w:multiLevelType w:val="hybridMultilevel"/>
    <w:tmpl w:val="0026F5BE"/>
    <w:lvl w:ilvl="0" w:tplc="1294132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256720D"/>
    <w:multiLevelType w:val="hybridMultilevel"/>
    <w:tmpl w:val="D3A29982"/>
    <w:lvl w:ilvl="0" w:tplc="14AA310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C0E4863"/>
    <w:multiLevelType w:val="hybridMultilevel"/>
    <w:tmpl w:val="9EDE33CE"/>
    <w:lvl w:ilvl="0" w:tplc="50506D1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F116406"/>
    <w:multiLevelType w:val="hybridMultilevel"/>
    <w:tmpl w:val="30A20A86"/>
    <w:lvl w:ilvl="0" w:tplc="1ACEB71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F534850"/>
    <w:multiLevelType w:val="hybridMultilevel"/>
    <w:tmpl w:val="26725170"/>
    <w:lvl w:ilvl="0" w:tplc="1E3E885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6" w15:restartNumberingAfterBreak="0">
    <w:nsid w:val="669103E2"/>
    <w:multiLevelType w:val="hybridMultilevel"/>
    <w:tmpl w:val="D97E4858"/>
    <w:lvl w:ilvl="0" w:tplc="5BF41B98">
      <w:start w:val="1"/>
      <w:numFmt w:val="lowerLetter"/>
      <w:lvlText w:val="(%1)"/>
      <w:lvlJc w:val="left"/>
      <w:pPr>
        <w:ind w:left="860" w:hanging="360"/>
      </w:pPr>
      <w:rPr>
        <w:rFonts w:hint="default"/>
      </w:rPr>
    </w:lvl>
    <w:lvl w:ilvl="1" w:tplc="14090019" w:tentative="1">
      <w:start w:val="1"/>
      <w:numFmt w:val="lowerLetter"/>
      <w:lvlText w:val="%2."/>
      <w:lvlJc w:val="left"/>
      <w:pPr>
        <w:ind w:left="1580" w:hanging="360"/>
      </w:p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17" w15:restartNumberingAfterBreak="0">
    <w:nsid w:val="66F5203D"/>
    <w:multiLevelType w:val="hybridMultilevel"/>
    <w:tmpl w:val="E6CCB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7FE530E"/>
    <w:multiLevelType w:val="hybridMultilevel"/>
    <w:tmpl w:val="3CF4C1D8"/>
    <w:lvl w:ilvl="0" w:tplc="7F10F7B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0F36BFB"/>
    <w:multiLevelType w:val="hybridMultilevel"/>
    <w:tmpl w:val="72F0DE0C"/>
    <w:lvl w:ilvl="0" w:tplc="14090001">
      <w:start w:val="1"/>
      <w:numFmt w:val="bullet"/>
      <w:lvlText w:val=""/>
      <w:lvlJc w:val="left"/>
      <w:pPr>
        <w:ind w:left="1220" w:hanging="360"/>
      </w:pPr>
      <w:rPr>
        <w:rFonts w:ascii="Symbol" w:hAnsi="Symbol" w:hint="default"/>
      </w:rPr>
    </w:lvl>
    <w:lvl w:ilvl="1" w:tplc="14090003" w:tentative="1">
      <w:start w:val="1"/>
      <w:numFmt w:val="bullet"/>
      <w:lvlText w:val="o"/>
      <w:lvlJc w:val="left"/>
      <w:pPr>
        <w:ind w:left="1940" w:hanging="360"/>
      </w:pPr>
      <w:rPr>
        <w:rFonts w:ascii="Courier New" w:hAnsi="Courier New" w:cs="Courier New" w:hint="default"/>
      </w:rPr>
    </w:lvl>
    <w:lvl w:ilvl="2" w:tplc="14090005" w:tentative="1">
      <w:start w:val="1"/>
      <w:numFmt w:val="bullet"/>
      <w:lvlText w:val=""/>
      <w:lvlJc w:val="left"/>
      <w:pPr>
        <w:ind w:left="2660" w:hanging="360"/>
      </w:pPr>
      <w:rPr>
        <w:rFonts w:ascii="Wingdings" w:hAnsi="Wingdings" w:hint="default"/>
      </w:rPr>
    </w:lvl>
    <w:lvl w:ilvl="3" w:tplc="14090001" w:tentative="1">
      <w:start w:val="1"/>
      <w:numFmt w:val="bullet"/>
      <w:lvlText w:val=""/>
      <w:lvlJc w:val="left"/>
      <w:pPr>
        <w:ind w:left="3380" w:hanging="360"/>
      </w:pPr>
      <w:rPr>
        <w:rFonts w:ascii="Symbol" w:hAnsi="Symbol" w:hint="default"/>
      </w:rPr>
    </w:lvl>
    <w:lvl w:ilvl="4" w:tplc="14090003" w:tentative="1">
      <w:start w:val="1"/>
      <w:numFmt w:val="bullet"/>
      <w:lvlText w:val="o"/>
      <w:lvlJc w:val="left"/>
      <w:pPr>
        <w:ind w:left="4100" w:hanging="360"/>
      </w:pPr>
      <w:rPr>
        <w:rFonts w:ascii="Courier New" w:hAnsi="Courier New" w:cs="Courier New" w:hint="default"/>
      </w:rPr>
    </w:lvl>
    <w:lvl w:ilvl="5" w:tplc="14090005" w:tentative="1">
      <w:start w:val="1"/>
      <w:numFmt w:val="bullet"/>
      <w:lvlText w:val=""/>
      <w:lvlJc w:val="left"/>
      <w:pPr>
        <w:ind w:left="4820" w:hanging="360"/>
      </w:pPr>
      <w:rPr>
        <w:rFonts w:ascii="Wingdings" w:hAnsi="Wingdings" w:hint="default"/>
      </w:rPr>
    </w:lvl>
    <w:lvl w:ilvl="6" w:tplc="14090001" w:tentative="1">
      <w:start w:val="1"/>
      <w:numFmt w:val="bullet"/>
      <w:lvlText w:val=""/>
      <w:lvlJc w:val="left"/>
      <w:pPr>
        <w:ind w:left="5540" w:hanging="360"/>
      </w:pPr>
      <w:rPr>
        <w:rFonts w:ascii="Symbol" w:hAnsi="Symbol" w:hint="default"/>
      </w:rPr>
    </w:lvl>
    <w:lvl w:ilvl="7" w:tplc="14090003" w:tentative="1">
      <w:start w:val="1"/>
      <w:numFmt w:val="bullet"/>
      <w:lvlText w:val="o"/>
      <w:lvlJc w:val="left"/>
      <w:pPr>
        <w:ind w:left="6260" w:hanging="360"/>
      </w:pPr>
      <w:rPr>
        <w:rFonts w:ascii="Courier New" w:hAnsi="Courier New" w:cs="Courier New" w:hint="default"/>
      </w:rPr>
    </w:lvl>
    <w:lvl w:ilvl="8" w:tplc="14090005" w:tentative="1">
      <w:start w:val="1"/>
      <w:numFmt w:val="bullet"/>
      <w:lvlText w:val=""/>
      <w:lvlJc w:val="left"/>
      <w:pPr>
        <w:ind w:left="6980" w:hanging="360"/>
      </w:pPr>
      <w:rPr>
        <w:rFonts w:ascii="Wingdings" w:hAnsi="Wingdings" w:hint="default"/>
      </w:rPr>
    </w:lvl>
  </w:abstractNum>
  <w:abstractNum w:abstractNumId="20" w15:restartNumberingAfterBreak="0">
    <w:nsid w:val="72A1494E"/>
    <w:multiLevelType w:val="hybridMultilevel"/>
    <w:tmpl w:val="C82E44E2"/>
    <w:lvl w:ilvl="0" w:tplc="24B209F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43555FA"/>
    <w:multiLevelType w:val="hybridMultilevel"/>
    <w:tmpl w:val="98962576"/>
    <w:lvl w:ilvl="0" w:tplc="5FE4271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14"/>
  </w:num>
  <w:num w:numId="3">
    <w:abstractNumId w:val="12"/>
  </w:num>
  <w:num w:numId="4">
    <w:abstractNumId w:val="17"/>
  </w:num>
  <w:num w:numId="5">
    <w:abstractNumId w:val="5"/>
  </w:num>
  <w:num w:numId="6">
    <w:abstractNumId w:val="8"/>
  </w:num>
  <w:num w:numId="7">
    <w:abstractNumId w:val="1"/>
  </w:num>
  <w:num w:numId="8">
    <w:abstractNumId w:val="18"/>
  </w:num>
  <w:num w:numId="9">
    <w:abstractNumId w:val="13"/>
  </w:num>
  <w:num w:numId="10">
    <w:abstractNumId w:val="20"/>
  </w:num>
  <w:num w:numId="11">
    <w:abstractNumId w:val="21"/>
  </w:num>
  <w:num w:numId="12">
    <w:abstractNumId w:val="6"/>
  </w:num>
  <w:num w:numId="13">
    <w:abstractNumId w:val="3"/>
  </w:num>
  <w:num w:numId="14">
    <w:abstractNumId w:val="4"/>
  </w:num>
  <w:num w:numId="15">
    <w:abstractNumId w:val="11"/>
  </w:num>
  <w:num w:numId="16">
    <w:abstractNumId w:val="9"/>
  </w:num>
  <w:num w:numId="17">
    <w:abstractNumId w:val="15"/>
  </w:num>
  <w:num w:numId="18">
    <w:abstractNumId w:val="19"/>
  </w:num>
  <w:num w:numId="19">
    <w:abstractNumId w:val="2"/>
  </w:num>
  <w:num w:numId="20">
    <w:abstractNumId w:val="16"/>
  </w:num>
  <w:num w:numId="21">
    <w:abstractNumId w:val="0"/>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DFE859E-C0DB-4ECA-9755-A0945331AEF1}"/>
    <w:docVar w:name="dgnword-eventsink" w:val="61872320"/>
    <w:docVar w:name="dgnword-lastRevisionsView" w:val="0"/>
  </w:docVars>
  <w:rsids>
    <w:rsidRoot w:val="00010D54"/>
    <w:rsid w:val="00006E25"/>
    <w:rsid w:val="00007B7A"/>
    <w:rsid w:val="00010D54"/>
    <w:rsid w:val="000144D3"/>
    <w:rsid w:val="00021EA7"/>
    <w:rsid w:val="000220F8"/>
    <w:rsid w:val="000229B1"/>
    <w:rsid w:val="00023149"/>
    <w:rsid w:val="00024CD8"/>
    <w:rsid w:val="0002564A"/>
    <w:rsid w:val="0002738C"/>
    <w:rsid w:val="00032109"/>
    <w:rsid w:val="00032F1C"/>
    <w:rsid w:val="000363D4"/>
    <w:rsid w:val="00043249"/>
    <w:rsid w:val="000460A5"/>
    <w:rsid w:val="00050043"/>
    <w:rsid w:val="00050352"/>
    <w:rsid w:val="00050FAD"/>
    <w:rsid w:val="000514D9"/>
    <w:rsid w:val="00052E3C"/>
    <w:rsid w:val="000532E2"/>
    <w:rsid w:val="00057561"/>
    <w:rsid w:val="00057F7C"/>
    <w:rsid w:val="00061231"/>
    <w:rsid w:val="0006266C"/>
    <w:rsid w:val="00064DE6"/>
    <w:rsid w:val="00065E45"/>
    <w:rsid w:val="00067BAD"/>
    <w:rsid w:val="00070CBB"/>
    <w:rsid w:val="000713C5"/>
    <w:rsid w:val="00071D73"/>
    <w:rsid w:val="000726D1"/>
    <w:rsid w:val="000759D8"/>
    <w:rsid w:val="00080231"/>
    <w:rsid w:val="00080BDF"/>
    <w:rsid w:val="000839AE"/>
    <w:rsid w:val="00084724"/>
    <w:rsid w:val="00091251"/>
    <w:rsid w:val="00092FF1"/>
    <w:rsid w:val="000945D2"/>
    <w:rsid w:val="000952A1"/>
    <w:rsid w:val="0009629F"/>
    <w:rsid w:val="000A0E05"/>
    <w:rsid w:val="000A5762"/>
    <w:rsid w:val="000A5F45"/>
    <w:rsid w:val="000C032E"/>
    <w:rsid w:val="000C053D"/>
    <w:rsid w:val="000C0794"/>
    <w:rsid w:val="000C103F"/>
    <w:rsid w:val="000C1BFC"/>
    <w:rsid w:val="000C1EE0"/>
    <w:rsid w:val="000C55F0"/>
    <w:rsid w:val="000C698B"/>
    <w:rsid w:val="000D0B5C"/>
    <w:rsid w:val="000D0EA9"/>
    <w:rsid w:val="000D193C"/>
    <w:rsid w:val="000D4C64"/>
    <w:rsid w:val="000D5B63"/>
    <w:rsid w:val="000D7E2E"/>
    <w:rsid w:val="000E0E3B"/>
    <w:rsid w:val="000E2539"/>
    <w:rsid w:val="000E6853"/>
    <w:rsid w:val="000E6DE4"/>
    <w:rsid w:val="000F0F1A"/>
    <w:rsid w:val="000F2C30"/>
    <w:rsid w:val="000F4203"/>
    <w:rsid w:val="000F54EF"/>
    <w:rsid w:val="000F5640"/>
    <w:rsid w:val="000F5BFD"/>
    <w:rsid w:val="000F653E"/>
    <w:rsid w:val="000F6BD6"/>
    <w:rsid w:val="000F7AF3"/>
    <w:rsid w:val="00105578"/>
    <w:rsid w:val="00106198"/>
    <w:rsid w:val="00106AD5"/>
    <w:rsid w:val="00113E10"/>
    <w:rsid w:val="00113EA5"/>
    <w:rsid w:val="001158AF"/>
    <w:rsid w:val="00116749"/>
    <w:rsid w:val="00126994"/>
    <w:rsid w:val="0013317A"/>
    <w:rsid w:val="0013342C"/>
    <w:rsid w:val="0013412D"/>
    <w:rsid w:val="001355D4"/>
    <w:rsid w:val="00137059"/>
    <w:rsid w:val="001426E2"/>
    <w:rsid w:val="00143B41"/>
    <w:rsid w:val="00144FAC"/>
    <w:rsid w:val="00151542"/>
    <w:rsid w:val="001524D4"/>
    <w:rsid w:val="001627E2"/>
    <w:rsid w:val="00164206"/>
    <w:rsid w:val="001660EE"/>
    <w:rsid w:val="001740F2"/>
    <w:rsid w:val="001741E3"/>
    <w:rsid w:val="0017488E"/>
    <w:rsid w:val="00176926"/>
    <w:rsid w:val="00182CFB"/>
    <w:rsid w:val="001833F7"/>
    <w:rsid w:val="001869BA"/>
    <w:rsid w:val="00191954"/>
    <w:rsid w:val="0019514A"/>
    <w:rsid w:val="00195E20"/>
    <w:rsid w:val="001962F8"/>
    <w:rsid w:val="00197ECF"/>
    <w:rsid w:val="001A4465"/>
    <w:rsid w:val="001A67D0"/>
    <w:rsid w:val="001B4632"/>
    <w:rsid w:val="001B5ADA"/>
    <w:rsid w:val="001C1642"/>
    <w:rsid w:val="001C2722"/>
    <w:rsid w:val="001C31B9"/>
    <w:rsid w:val="001C4696"/>
    <w:rsid w:val="001C48BE"/>
    <w:rsid w:val="001C4CBA"/>
    <w:rsid w:val="001C6365"/>
    <w:rsid w:val="001C7C0B"/>
    <w:rsid w:val="001C7F6E"/>
    <w:rsid w:val="001D055F"/>
    <w:rsid w:val="001D0AED"/>
    <w:rsid w:val="001D1FCE"/>
    <w:rsid w:val="001D3874"/>
    <w:rsid w:val="001D3AED"/>
    <w:rsid w:val="001D4619"/>
    <w:rsid w:val="001D55A9"/>
    <w:rsid w:val="001D5EBA"/>
    <w:rsid w:val="001D644F"/>
    <w:rsid w:val="001D7869"/>
    <w:rsid w:val="001E0336"/>
    <w:rsid w:val="001E3056"/>
    <w:rsid w:val="001E5B63"/>
    <w:rsid w:val="001E6459"/>
    <w:rsid w:val="001E677D"/>
    <w:rsid w:val="001E6F65"/>
    <w:rsid w:val="001F2188"/>
    <w:rsid w:val="001F3A1E"/>
    <w:rsid w:val="001F3B21"/>
    <w:rsid w:val="001F3DC5"/>
    <w:rsid w:val="001F5345"/>
    <w:rsid w:val="001F590A"/>
    <w:rsid w:val="001F75A1"/>
    <w:rsid w:val="002050D6"/>
    <w:rsid w:val="00207D82"/>
    <w:rsid w:val="00210A92"/>
    <w:rsid w:val="00212226"/>
    <w:rsid w:val="00212C17"/>
    <w:rsid w:val="002223AA"/>
    <w:rsid w:val="002229BD"/>
    <w:rsid w:val="00222F39"/>
    <w:rsid w:val="00230E1D"/>
    <w:rsid w:val="002351E9"/>
    <w:rsid w:val="002425AE"/>
    <w:rsid w:val="00243251"/>
    <w:rsid w:val="0024353A"/>
    <w:rsid w:val="0024448C"/>
    <w:rsid w:val="00244509"/>
    <w:rsid w:val="00246736"/>
    <w:rsid w:val="00251767"/>
    <w:rsid w:val="00257B97"/>
    <w:rsid w:val="00261E3A"/>
    <w:rsid w:val="002625D3"/>
    <w:rsid w:val="00270AED"/>
    <w:rsid w:val="0027138C"/>
    <w:rsid w:val="00272359"/>
    <w:rsid w:val="002747C3"/>
    <w:rsid w:val="002776FD"/>
    <w:rsid w:val="00283FE9"/>
    <w:rsid w:val="00286053"/>
    <w:rsid w:val="00287EAC"/>
    <w:rsid w:val="00293143"/>
    <w:rsid w:val="002A158B"/>
    <w:rsid w:val="002A2344"/>
    <w:rsid w:val="002A3847"/>
    <w:rsid w:val="002A4DA6"/>
    <w:rsid w:val="002A51B9"/>
    <w:rsid w:val="002A65E5"/>
    <w:rsid w:val="002A65FA"/>
    <w:rsid w:val="002B03CF"/>
    <w:rsid w:val="002B0AB0"/>
    <w:rsid w:val="002B24A4"/>
    <w:rsid w:val="002B518C"/>
    <w:rsid w:val="002B5BC8"/>
    <w:rsid w:val="002B65DD"/>
    <w:rsid w:val="002C0DBF"/>
    <w:rsid w:val="002C3966"/>
    <w:rsid w:val="002C5554"/>
    <w:rsid w:val="002C5C1E"/>
    <w:rsid w:val="002C66F8"/>
    <w:rsid w:val="002D197C"/>
    <w:rsid w:val="002D20CF"/>
    <w:rsid w:val="002D300A"/>
    <w:rsid w:val="002D3996"/>
    <w:rsid w:val="002E027B"/>
    <w:rsid w:val="002E0A22"/>
    <w:rsid w:val="002E3B30"/>
    <w:rsid w:val="002E4DEB"/>
    <w:rsid w:val="002E6089"/>
    <w:rsid w:val="002E7350"/>
    <w:rsid w:val="002E7D02"/>
    <w:rsid w:val="002F00FD"/>
    <w:rsid w:val="002F034C"/>
    <w:rsid w:val="002F1CCB"/>
    <w:rsid w:val="002F60BF"/>
    <w:rsid w:val="003011D8"/>
    <w:rsid w:val="00304D6A"/>
    <w:rsid w:val="00310976"/>
    <w:rsid w:val="0031120D"/>
    <w:rsid w:val="003112B1"/>
    <w:rsid w:val="003112B5"/>
    <w:rsid w:val="00311F23"/>
    <w:rsid w:val="00315918"/>
    <w:rsid w:val="003210A6"/>
    <w:rsid w:val="00322005"/>
    <w:rsid w:val="00322065"/>
    <w:rsid w:val="0032269A"/>
    <w:rsid w:val="00326063"/>
    <w:rsid w:val="003268A5"/>
    <w:rsid w:val="00330B9B"/>
    <w:rsid w:val="00331868"/>
    <w:rsid w:val="00336CAF"/>
    <w:rsid w:val="00337A8F"/>
    <w:rsid w:val="00340D84"/>
    <w:rsid w:val="003430AE"/>
    <w:rsid w:val="00343FBA"/>
    <w:rsid w:val="00344D7F"/>
    <w:rsid w:val="00345D15"/>
    <w:rsid w:val="00351E8C"/>
    <w:rsid w:val="00354349"/>
    <w:rsid w:val="00360CB3"/>
    <w:rsid w:val="00361794"/>
    <w:rsid w:val="003618B3"/>
    <w:rsid w:val="0036234A"/>
    <w:rsid w:val="00366DA1"/>
    <w:rsid w:val="003701E3"/>
    <w:rsid w:val="003742AA"/>
    <w:rsid w:val="00374721"/>
    <w:rsid w:val="00377955"/>
    <w:rsid w:val="003779A5"/>
    <w:rsid w:val="0038089E"/>
    <w:rsid w:val="00381B7A"/>
    <w:rsid w:val="00382D2F"/>
    <w:rsid w:val="003835FE"/>
    <w:rsid w:val="00385953"/>
    <w:rsid w:val="003919E6"/>
    <w:rsid w:val="0039521C"/>
    <w:rsid w:val="00397256"/>
    <w:rsid w:val="0039738F"/>
    <w:rsid w:val="0039768C"/>
    <w:rsid w:val="003A1E05"/>
    <w:rsid w:val="003A2653"/>
    <w:rsid w:val="003A36A7"/>
    <w:rsid w:val="003A3A0F"/>
    <w:rsid w:val="003A4022"/>
    <w:rsid w:val="003B042C"/>
    <w:rsid w:val="003B5825"/>
    <w:rsid w:val="003B76C3"/>
    <w:rsid w:val="003C4794"/>
    <w:rsid w:val="003D3051"/>
    <w:rsid w:val="003D3638"/>
    <w:rsid w:val="003E10E5"/>
    <w:rsid w:val="003E3C8F"/>
    <w:rsid w:val="003E4273"/>
    <w:rsid w:val="003E623D"/>
    <w:rsid w:val="003E78C4"/>
    <w:rsid w:val="003F02C6"/>
    <w:rsid w:val="003F042D"/>
    <w:rsid w:val="003F0932"/>
    <w:rsid w:val="003F2066"/>
    <w:rsid w:val="003F34B8"/>
    <w:rsid w:val="003F5887"/>
    <w:rsid w:val="00400DC7"/>
    <w:rsid w:val="004044A4"/>
    <w:rsid w:val="004075D8"/>
    <w:rsid w:val="00407D35"/>
    <w:rsid w:val="00407EF7"/>
    <w:rsid w:val="0041031A"/>
    <w:rsid w:val="0041062D"/>
    <w:rsid w:val="004117AA"/>
    <w:rsid w:val="00413DEA"/>
    <w:rsid w:val="00414012"/>
    <w:rsid w:val="004143C8"/>
    <w:rsid w:val="00417DCB"/>
    <w:rsid w:val="0042264B"/>
    <w:rsid w:val="00425A63"/>
    <w:rsid w:val="004261AD"/>
    <w:rsid w:val="004409C4"/>
    <w:rsid w:val="00446EF9"/>
    <w:rsid w:val="00447AB6"/>
    <w:rsid w:val="00451E3F"/>
    <w:rsid w:val="00455A71"/>
    <w:rsid w:val="00456D84"/>
    <w:rsid w:val="0046041B"/>
    <w:rsid w:val="00461132"/>
    <w:rsid w:val="004611D5"/>
    <w:rsid w:val="0046255A"/>
    <w:rsid w:val="00480551"/>
    <w:rsid w:val="00481D52"/>
    <w:rsid w:val="00484CBA"/>
    <w:rsid w:val="004878E0"/>
    <w:rsid w:val="0049029C"/>
    <w:rsid w:val="00493523"/>
    <w:rsid w:val="00494794"/>
    <w:rsid w:val="00497BA5"/>
    <w:rsid w:val="004A188D"/>
    <w:rsid w:val="004A3F69"/>
    <w:rsid w:val="004B15D1"/>
    <w:rsid w:val="004B1C38"/>
    <w:rsid w:val="004B242D"/>
    <w:rsid w:val="004B5BC8"/>
    <w:rsid w:val="004B5C40"/>
    <w:rsid w:val="004B6E05"/>
    <w:rsid w:val="004B721B"/>
    <w:rsid w:val="004B7FE7"/>
    <w:rsid w:val="004C1606"/>
    <w:rsid w:val="004C239D"/>
    <w:rsid w:val="004C2955"/>
    <w:rsid w:val="004C2E0C"/>
    <w:rsid w:val="004C2F63"/>
    <w:rsid w:val="004C4CDF"/>
    <w:rsid w:val="004C6AE2"/>
    <w:rsid w:val="004D58B0"/>
    <w:rsid w:val="004E49D2"/>
    <w:rsid w:val="004F1018"/>
    <w:rsid w:val="004F2C5E"/>
    <w:rsid w:val="004F479C"/>
    <w:rsid w:val="004F4CB0"/>
    <w:rsid w:val="005021DB"/>
    <w:rsid w:val="00502F73"/>
    <w:rsid w:val="00505338"/>
    <w:rsid w:val="00514AD4"/>
    <w:rsid w:val="00521688"/>
    <w:rsid w:val="005247FE"/>
    <w:rsid w:val="00525AD9"/>
    <w:rsid w:val="00530596"/>
    <w:rsid w:val="0053251F"/>
    <w:rsid w:val="005333A1"/>
    <w:rsid w:val="00534A97"/>
    <w:rsid w:val="005420BB"/>
    <w:rsid w:val="005435DF"/>
    <w:rsid w:val="00547CBF"/>
    <w:rsid w:val="00552508"/>
    <w:rsid w:val="0055419B"/>
    <w:rsid w:val="005556F3"/>
    <w:rsid w:val="00555C02"/>
    <w:rsid w:val="00562A25"/>
    <w:rsid w:val="00566BFB"/>
    <w:rsid w:val="00567320"/>
    <w:rsid w:val="00570700"/>
    <w:rsid w:val="00570C7F"/>
    <w:rsid w:val="00575C75"/>
    <w:rsid w:val="00575D44"/>
    <w:rsid w:val="005773C1"/>
    <w:rsid w:val="0057772F"/>
    <w:rsid w:val="00580349"/>
    <w:rsid w:val="005814AE"/>
    <w:rsid w:val="0058283E"/>
    <w:rsid w:val="00582E9E"/>
    <w:rsid w:val="005846F4"/>
    <w:rsid w:val="005848A3"/>
    <w:rsid w:val="0058651E"/>
    <w:rsid w:val="005867F9"/>
    <w:rsid w:val="005926B4"/>
    <w:rsid w:val="0059356A"/>
    <w:rsid w:val="005937A8"/>
    <w:rsid w:val="0059690B"/>
    <w:rsid w:val="00596F0C"/>
    <w:rsid w:val="005A1962"/>
    <w:rsid w:val="005B27DD"/>
    <w:rsid w:val="005B2EF8"/>
    <w:rsid w:val="005B4379"/>
    <w:rsid w:val="005B4AF7"/>
    <w:rsid w:val="005B6831"/>
    <w:rsid w:val="005C032B"/>
    <w:rsid w:val="005C0AD7"/>
    <w:rsid w:val="005C240D"/>
    <w:rsid w:val="005C409F"/>
    <w:rsid w:val="005C65A7"/>
    <w:rsid w:val="005D00BF"/>
    <w:rsid w:val="005D3AD1"/>
    <w:rsid w:val="005D571E"/>
    <w:rsid w:val="005D5D30"/>
    <w:rsid w:val="005D68D7"/>
    <w:rsid w:val="005D6E33"/>
    <w:rsid w:val="005E1EFC"/>
    <w:rsid w:val="005E3717"/>
    <w:rsid w:val="005E5E11"/>
    <w:rsid w:val="005E66F2"/>
    <w:rsid w:val="005E6C80"/>
    <w:rsid w:val="005F2FC7"/>
    <w:rsid w:val="005F4D88"/>
    <w:rsid w:val="005F70BF"/>
    <w:rsid w:val="005F714F"/>
    <w:rsid w:val="00607100"/>
    <w:rsid w:val="00611067"/>
    <w:rsid w:val="00611E13"/>
    <w:rsid w:val="006144D5"/>
    <w:rsid w:val="00615EA9"/>
    <w:rsid w:val="00641795"/>
    <w:rsid w:val="006421D9"/>
    <w:rsid w:val="006436FB"/>
    <w:rsid w:val="006468E7"/>
    <w:rsid w:val="00653A76"/>
    <w:rsid w:val="00661C48"/>
    <w:rsid w:val="00661DCE"/>
    <w:rsid w:val="006726D9"/>
    <w:rsid w:val="00677344"/>
    <w:rsid w:val="0068063F"/>
    <w:rsid w:val="00681656"/>
    <w:rsid w:val="00681836"/>
    <w:rsid w:val="006858F5"/>
    <w:rsid w:val="0069075F"/>
    <w:rsid w:val="00692289"/>
    <w:rsid w:val="00692E1D"/>
    <w:rsid w:val="00693521"/>
    <w:rsid w:val="00695441"/>
    <w:rsid w:val="006960D1"/>
    <w:rsid w:val="006974A5"/>
    <w:rsid w:val="00697941"/>
    <w:rsid w:val="00697F73"/>
    <w:rsid w:val="006A3443"/>
    <w:rsid w:val="006A4042"/>
    <w:rsid w:val="006B11F0"/>
    <w:rsid w:val="006C054B"/>
    <w:rsid w:val="006C28AC"/>
    <w:rsid w:val="006C2E4A"/>
    <w:rsid w:val="006C76F7"/>
    <w:rsid w:val="006D161E"/>
    <w:rsid w:val="006D2EC9"/>
    <w:rsid w:val="006D7668"/>
    <w:rsid w:val="006D7FD1"/>
    <w:rsid w:val="006E04C5"/>
    <w:rsid w:val="006E34D7"/>
    <w:rsid w:val="006E3BFC"/>
    <w:rsid w:val="006E4F27"/>
    <w:rsid w:val="006E4F42"/>
    <w:rsid w:val="006E683E"/>
    <w:rsid w:val="006E6AB4"/>
    <w:rsid w:val="006F2D2A"/>
    <w:rsid w:val="006F33F0"/>
    <w:rsid w:val="006F410D"/>
    <w:rsid w:val="006F4647"/>
    <w:rsid w:val="006F65B3"/>
    <w:rsid w:val="006F6DDE"/>
    <w:rsid w:val="006F7C26"/>
    <w:rsid w:val="00710350"/>
    <w:rsid w:val="00716C6F"/>
    <w:rsid w:val="0071734B"/>
    <w:rsid w:val="007209F1"/>
    <w:rsid w:val="00721A70"/>
    <w:rsid w:val="00724178"/>
    <w:rsid w:val="0072722A"/>
    <w:rsid w:val="00734D28"/>
    <w:rsid w:val="00735467"/>
    <w:rsid w:val="007367C3"/>
    <w:rsid w:val="00737C25"/>
    <w:rsid w:val="00737C4D"/>
    <w:rsid w:val="007406CF"/>
    <w:rsid w:val="00741522"/>
    <w:rsid w:val="00752E2E"/>
    <w:rsid w:val="00752FB9"/>
    <w:rsid w:val="007544C2"/>
    <w:rsid w:val="0076222D"/>
    <w:rsid w:val="007628CE"/>
    <w:rsid w:val="0076325A"/>
    <w:rsid w:val="00763A9B"/>
    <w:rsid w:val="00766FB5"/>
    <w:rsid w:val="007726F5"/>
    <w:rsid w:val="007752A8"/>
    <w:rsid w:val="00775346"/>
    <w:rsid w:val="0077586F"/>
    <w:rsid w:val="0077753B"/>
    <w:rsid w:val="007918B2"/>
    <w:rsid w:val="00792298"/>
    <w:rsid w:val="007A2486"/>
    <w:rsid w:val="007A7CC8"/>
    <w:rsid w:val="007B1291"/>
    <w:rsid w:val="007B1BC8"/>
    <w:rsid w:val="007C0843"/>
    <w:rsid w:val="007C0A5A"/>
    <w:rsid w:val="007C4CF4"/>
    <w:rsid w:val="007C5CBC"/>
    <w:rsid w:val="007D08EC"/>
    <w:rsid w:val="007D0B55"/>
    <w:rsid w:val="007D0DE6"/>
    <w:rsid w:val="007D2860"/>
    <w:rsid w:val="007E5365"/>
    <w:rsid w:val="007F762F"/>
    <w:rsid w:val="0080365E"/>
    <w:rsid w:val="00804613"/>
    <w:rsid w:val="008047E1"/>
    <w:rsid w:val="00805B14"/>
    <w:rsid w:val="00815DFB"/>
    <w:rsid w:val="00816787"/>
    <w:rsid w:val="0082130D"/>
    <w:rsid w:val="00823193"/>
    <w:rsid w:val="0082444E"/>
    <w:rsid w:val="00827485"/>
    <w:rsid w:val="00830A74"/>
    <w:rsid w:val="00832372"/>
    <w:rsid w:val="0083450C"/>
    <w:rsid w:val="0083495E"/>
    <w:rsid w:val="0083618B"/>
    <w:rsid w:val="00840C06"/>
    <w:rsid w:val="00842687"/>
    <w:rsid w:val="00843B92"/>
    <w:rsid w:val="008472E1"/>
    <w:rsid w:val="00850C23"/>
    <w:rsid w:val="008523B1"/>
    <w:rsid w:val="00853176"/>
    <w:rsid w:val="00855C30"/>
    <w:rsid w:val="008611A4"/>
    <w:rsid w:val="00861685"/>
    <w:rsid w:val="0086385A"/>
    <w:rsid w:val="00863A5B"/>
    <w:rsid w:val="00863E76"/>
    <w:rsid w:val="00865B0D"/>
    <w:rsid w:val="00865ED4"/>
    <w:rsid w:val="00866369"/>
    <w:rsid w:val="0086707D"/>
    <w:rsid w:val="00867ADB"/>
    <w:rsid w:val="008709F2"/>
    <w:rsid w:val="008733AA"/>
    <w:rsid w:val="00875E6A"/>
    <w:rsid w:val="00880127"/>
    <w:rsid w:val="00882E86"/>
    <w:rsid w:val="0088649B"/>
    <w:rsid w:val="00887FBB"/>
    <w:rsid w:val="00893892"/>
    <w:rsid w:val="0089765E"/>
    <w:rsid w:val="008A3B4A"/>
    <w:rsid w:val="008A406F"/>
    <w:rsid w:val="008A4CFA"/>
    <w:rsid w:val="008A5E23"/>
    <w:rsid w:val="008A6A9A"/>
    <w:rsid w:val="008A7667"/>
    <w:rsid w:val="008B006F"/>
    <w:rsid w:val="008B0FB0"/>
    <w:rsid w:val="008B649C"/>
    <w:rsid w:val="008C01FC"/>
    <w:rsid w:val="008C1214"/>
    <w:rsid w:val="008C31A3"/>
    <w:rsid w:val="008C6E7F"/>
    <w:rsid w:val="008D02A1"/>
    <w:rsid w:val="008D16F1"/>
    <w:rsid w:val="008D35DE"/>
    <w:rsid w:val="008D62A2"/>
    <w:rsid w:val="008E141B"/>
    <w:rsid w:val="008E2AA4"/>
    <w:rsid w:val="008E3BA1"/>
    <w:rsid w:val="008E5167"/>
    <w:rsid w:val="008E649F"/>
    <w:rsid w:val="008E7086"/>
    <w:rsid w:val="008F0849"/>
    <w:rsid w:val="008F0C00"/>
    <w:rsid w:val="008F2301"/>
    <w:rsid w:val="008F69B5"/>
    <w:rsid w:val="008F7E5E"/>
    <w:rsid w:val="00900E8F"/>
    <w:rsid w:val="009016D7"/>
    <w:rsid w:val="00911533"/>
    <w:rsid w:val="00914312"/>
    <w:rsid w:val="00915323"/>
    <w:rsid w:val="009170C8"/>
    <w:rsid w:val="009177B9"/>
    <w:rsid w:val="00917C89"/>
    <w:rsid w:val="0092034F"/>
    <w:rsid w:val="00921FB9"/>
    <w:rsid w:val="00922DDF"/>
    <w:rsid w:val="00931953"/>
    <w:rsid w:val="00933270"/>
    <w:rsid w:val="00935165"/>
    <w:rsid w:val="00935284"/>
    <w:rsid w:val="00935415"/>
    <w:rsid w:val="00936D96"/>
    <w:rsid w:val="0094195E"/>
    <w:rsid w:val="009444B0"/>
    <w:rsid w:val="009472FD"/>
    <w:rsid w:val="00950278"/>
    <w:rsid w:val="00950749"/>
    <w:rsid w:val="009551A2"/>
    <w:rsid w:val="00957F7E"/>
    <w:rsid w:val="00961147"/>
    <w:rsid w:val="00961B7C"/>
    <w:rsid w:val="00962246"/>
    <w:rsid w:val="00962F8B"/>
    <w:rsid w:val="009636B2"/>
    <w:rsid w:val="00964540"/>
    <w:rsid w:val="00965B93"/>
    <w:rsid w:val="00966CE1"/>
    <w:rsid w:val="009671F3"/>
    <w:rsid w:val="009710D1"/>
    <w:rsid w:val="009730B6"/>
    <w:rsid w:val="00973406"/>
    <w:rsid w:val="00973D02"/>
    <w:rsid w:val="00974925"/>
    <w:rsid w:val="00974D5B"/>
    <w:rsid w:val="0097658A"/>
    <w:rsid w:val="009812CF"/>
    <w:rsid w:val="009817AE"/>
    <w:rsid w:val="00982F66"/>
    <w:rsid w:val="009901C0"/>
    <w:rsid w:val="00990287"/>
    <w:rsid w:val="00990D4D"/>
    <w:rsid w:val="0099122A"/>
    <w:rsid w:val="00993042"/>
    <w:rsid w:val="00993E63"/>
    <w:rsid w:val="00995D14"/>
    <w:rsid w:val="00996BFF"/>
    <w:rsid w:val="00997AB2"/>
    <w:rsid w:val="00997B05"/>
    <w:rsid w:val="009A0B67"/>
    <w:rsid w:val="009A4DE9"/>
    <w:rsid w:val="009A6011"/>
    <w:rsid w:val="009A7266"/>
    <w:rsid w:val="009B255C"/>
    <w:rsid w:val="009B4321"/>
    <w:rsid w:val="009B691C"/>
    <w:rsid w:val="009C0785"/>
    <w:rsid w:val="009C14DF"/>
    <w:rsid w:val="009C19FC"/>
    <w:rsid w:val="009C2D2E"/>
    <w:rsid w:val="009D01D9"/>
    <w:rsid w:val="009D5D9D"/>
    <w:rsid w:val="009E1F0F"/>
    <w:rsid w:val="009E21DE"/>
    <w:rsid w:val="009E2E44"/>
    <w:rsid w:val="009E3AB8"/>
    <w:rsid w:val="009E422F"/>
    <w:rsid w:val="009E50D2"/>
    <w:rsid w:val="009E5623"/>
    <w:rsid w:val="009E6369"/>
    <w:rsid w:val="009F11EC"/>
    <w:rsid w:val="009F43AA"/>
    <w:rsid w:val="009F4704"/>
    <w:rsid w:val="009F6100"/>
    <w:rsid w:val="00A01681"/>
    <w:rsid w:val="00A0270A"/>
    <w:rsid w:val="00A04018"/>
    <w:rsid w:val="00A04B43"/>
    <w:rsid w:val="00A0520F"/>
    <w:rsid w:val="00A06997"/>
    <w:rsid w:val="00A11A3A"/>
    <w:rsid w:val="00A12369"/>
    <w:rsid w:val="00A202B5"/>
    <w:rsid w:val="00A21432"/>
    <w:rsid w:val="00A221D2"/>
    <w:rsid w:val="00A246E7"/>
    <w:rsid w:val="00A24F08"/>
    <w:rsid w:val="00A25A9A"/>
    <w:rsid w:val="00A27832"/>
    <w:rsid w:val="00A35CCA"/>
    <w:rsid w:val="00A36ED2"/>
    <w:rsid w:val="00A376C7"/>
    <w:rsid w:val="00A37F0F"/>
    <w:rsid w:val="00A414C5"/>
    <w:rsid w:val="00A42C81"/>
    <w:rsid w:val="00A45DC8"/>
    <w:rsid w:val="00A50107"/>
    <w:rsid w:val="00A5174B"/>
    <w:rsid w:val="00A5202F"/>
    <w:rsid w:val="00A563FF"/>
    <w:rsid w:val="00A602E7"/>
    <w:rsid w:val="00A60512"/>
    <w:rsid w:val="00A610EB"/>
    <w:rsid w:val="00A621EA"/>
    <w:rsid w:val="00A66A11"/>
    <w:rsid w:val="00A70697"/>
    <w:rsid w:val="00A75F7C"/>
    <w:rsid w:val="00A76788"/>
    <w:rsid w:val="00A84A67"/>
    <w:rsid w:val="00A85F68"/>
    <w:rsid w:val="00A904FB"/>
    <w:rsid w:val="00A909A6"/>
    <w:rsid w:val="00A943DC"/>
    <w:rsid w:val="00A94474"/>
    <w:rsid w:val="00A96865"/>
    <w:rsid w:val="00A97986"/>
    <w:rsid w:val="00AA2D33"/>
    <w:rsid w:val="00AB03ED"/>
    <w:rsid w:val="00AB11BA"/>
    <w:rsid w:val="00AB3C34"/>
    <w:rsid w:val="00AB644E"/>
    <w:rsid w:val="00AC1B23"/>
    <w:rsid w:val="00AC24B4"/>
    <w:rsid w:val="00AC2D82"/>
    <w:rsid w:val="00AC60FB"/>
    <w:rsid w:val="00AC6E1C"/>
    <w:rsid w:val="00AD1DD3"/>
    <w:rsid w:val="00AE0842"/>
    <w:rsid w:val="00AE2FC4"/>
    <w:rsid w:val="00AE783B"/>
    <w:rsid w:val="00AE7B10"/>
    <w:rsid w:val="00AF05E8"/>
    <w:rsid w:val="00AF0AE0"/>
    <w:rsid w:val="00B00A43"/>
    <w:rsid w:val="00B03DE4"/>
    <w:rsid w:val="00B0734B"/>
    <w:rsid w:val="00B136DF"/>
    <w:rsid w:val="00B14512"/>
    <w:rsid w:val="00B14CC5"/>
    <w:rsid w:val="00B17ABF"/>
    <w:rsid w:val="00B20455"/>
    <w:rsid w:val="00B25800"/>
    <w:rsid w:val="00B420CF"/>
    <w:rsid w:val="00B43F6D"/>
    <w:rsid w:val="00B469FC"/>
    <w:rsid w:val="00B535E9"/>
    <w:rsid w:val="00B57308"/>
    <w:rsid w:val="00B57984"/>
    <w:rsid w:val="00B60067"/>
    <w:rsid w:val="00B65090"/>
    <w:rsid w:val="00B65368"/>
    <w:rsid w:val="00B65D7C"/>
    <w:rsid w:val="00B66DCE"/>
    <w:rsid w:val="00B72AA7"/>
    <w:rsid w:val="00B7420F"/>
    <w:rsid w:val="00B762DA"/>
    <w:rsid w:val="00B76DA0"/>
    <w:rsid w:val="00B8280D"/>
    <w:rsid w:val="00B846BB"/>
    <w:rsid w:val="00B87F69"/>
    <w:rsid w:val="00B91AE5"/>
    <w:rsid w:val="00B95CB7"/>
    <w:rsid w:val="00BA5876"/>
    <w:rsid w:val="00BA5EB9"/>
    <w:rsid w:val="00BA720B"/>
    <w:rsid w:val="00BA7439"/>
    <w:rsid w:val="00BA7EDD"/>
    <w:rsid w:val="00BB02C3"/>
    <w:rsid w:val="00BB456C"/>
    <w:rsid w:val="00BC0441"/>
    <w:rsid w:val="00BC278A"/>
    <w:rsid w:val="00BC4382"/>
    <w:rsid w:val="00BC4E9D"/>
    <w:rsid w:val="00BC609F"/>
    <w:rsid w:val="00BC6535"/>
    <w:rsid w:val="00BD1F1A"/>
    <w:rsid w:val="00BD5304"/>
    <w:rsid w:val="00BE038C"/>
    <w:rsid w:val="00BE186C"/>
    <w:rsid w:val="00BE1B39"/>
    <w:rsid w:val="00BE3F04"/>
    <w:rsid w:val="00BE423D"/>
    <w:rsid w:val="00BE48DF"/>
    <w:rsid w:val="00BF3990"/>
    <w:rsid w:val="00BF40C6"/>
    <w:rsid w:val="00BF4DAF"/>
    <w:rsid w:val="00BF7913"/>
    <w:rsid w:val="00C00BA7"/>
    <w:rsid w:val="00C041D4"/>
    <w:rsid w:val="00C121CA"/>
    <w:rsid w:val="00C135A3"/>
    <w:rsid w:val="00C16E6F"/>
    <w:rsid w:val="00C20222"/>
    <w:rsid w:val="00C20593"/>
    <w:rsid w:val="00C22176"/>
    <w:rsid w:val="00C24339"/>
    <w:rsid w:val="00C24D20"/>
    <w:rsid w:val="00C2581E"/>
    <w:rsid w:val="00C261C7"/>
    <w:rsid w:val="00C333AE"/>
    <w:rsid w:val="00C33A8E"/>
    <w:rsid w:val="00C33C21"/>
    <w:rsid w:val="00C36981"/>
    <w:rsid w:val="00C41363"/>
    <w:rsid w:val="00C47343"/>
    <w:rsid w:val="00C50860"/>
    <w:rsid w:val="00C50E1E"/>
    <w:rsid w:val="00C526B8"/>
    <w:rsid w:val="00C53DD7"/>
    <w:rsid w:val="00C55C28"/>
    <w:rsid w:val="00C565B9"/>
    <w:rsid w:val="00C57A6F"/>
    <w:rsid w:val="00C6052D"/>
    <w:rsid w:val="00C66066"/>
    <w:rsid w:val="00C66471"/>
    <w:rsid w:val="00C67529"/>
    <w:rsid w:val="00C70367"/>
    <w:rsid w:val="00C71026"/>
    <w:rsid w:val="00C71119"/>
    <w:rsid w:val="00C71971"/>
    <w:rsid w:val="00C72C65"/>
    <w:rsid w:val="00C739B4"/>
    <w:rsid w:val="00C75AAF"/>
    <w:rsid w:val="00C77DBE"/>
    <w:rsid w:val="00C829E1"/>
    <w:rsid w:val="00C82A22"/>
    <w:rsid w:val="00C86DF4"/>
    <w:rsid w:val="00C87A4D"/>
    <w:rsid w:val="00C902F3"/>
    <w:rsid w:val="00C921AF"/>
    <w:rsid w:val="00C92FF7"/>
    <w:rsid w:val="00CA16BB"/>
    <w:rsid w:val="00CA1754"/>
    <w:rsid w:val="00CA2933"/>
    <w:rsid w:val="00CA78AB"/>
    <w:rsid w:val="00CB103F"/>
    <w:rsid w:val="00CB295B"/>
    <w:rsid w:val="00CB6D80"/>
    <w:rsid w:val="00CC004C"/>
    <w:rsid w:val="00CC0FFC"/>
    <w:rsid w:val="00CC1F4C"/>
    <w:rsid w:val="00CC54CD"/>
    <w:rsid w:val="00CC7C57"/>
    <w:rsid w:val="00CD5BCD"/>
    <w:rsid w:val="00CD67C3"/>
    <w:rsid w:val="00CE3FC3"/>
    <w:rsid w:val="00CE75CA"/>
    <w:rsid w:val="00CF08FF"/>
    <w:rsid w:val="00CF12C4"/>
    <w:rsid w:val="00CF555C"/>
    <w:rsid w:val="00D01E65"/>
    <w:rsid w:val="00D0304A"/>
    <w:rsid w:val="00D04AE8"/>
    <w:rsid w:val="00D05DF7"/>
    <w:rsid w:val="00D07281"/>
    <w:rsid w:val="00D1088D"/>
    <w:rsid w:val="00D154B4"/>
    <w:rsid w:val="00D159F8"/>
    <w:rsid w:val="00D175AA"/>
    <w:rsid w:val="00D24FC2"/>
    <w:rsid w:val="00D34796"/>
    <w:rsid w:val="00D355E6"/>
    <w:rsid w:val="00D37044"/>
    <w:rsid w:val="00D37ED9"/>
    <w:rsid w:val="00D40907"/>
    <w:rsid w:val="00D42B29"/>
    <w:rsid w:val="00D45241"/>
    <w:rsid w:val="00D463A3"/>
    <w:rsid w:val="00D510D5"/>
    <w:rsid w:val="00D541D3"/>
    <w:rsid w:val="00D545D8"/>
    <w:rsid w:val="00D55983"/>
    <w:rsid w:val="00D60339"/>
    <w:rsid w:val="00D60C62"/>
    <w:rsid w:val="00D6247E"/>
    <w:rsid w:val="00D675D1"/>
    <w:rsid w:val="00D71F76"/>
    <w:rsid w:val="00D72D09"/>
    <w:rsid w:val="00D74D07"/>
    <w:rsid w:val="00D77C0F"/>
    <w:rsid w:val="00D80935"/>
    <w:rsid w:val="00D82714"/>
    <w:rsid w:val="00D85E54"/>
    <w:rsid w:val="00D871CE"/>
    <w:rsid w:val="00D905BE"/>
    <w:rsid w:val="00D9125F"/>
    <w:rsid w:val="00D9206E"/>
    <w:rsid w:val="00DA2E78"/>
    <w:rsid w:val="00DA32A6"/>
    <w:rsid w:val="00DA530B"/>
    <w:rsid w:val="00DB14AC"/>
    <w:rsid w:val="00DB1E32"/>
    <w:rsid w:val="00DB3328"/>
    <w:rsid w:val="00DB387A"/>
    <w:rsid w:val="00DB41B0"/>
    <w:rsid w:val="00DB648E"/>
    <w:rsid w:val="00DC1652"/>
    <w:rsid w:val="00DC29A3"/>
    <w:rsid w:val="00DC4E43"/>
    <w:rsid w:val="00DC5F71"/>
    <w:rsid w:val="00DC6A12"/>
    <w:rsid w:val="00DD3672"/>
    <w:rsid w:val="00DD5748"/>
    <w:rsid w:val="00DD5839"/>
    <w:rsid w:val="00DD5AC6"/>
    <w:rsid w:val="00DD6957"/>
    <w:rsid w:val="00DD6B58"/>
    <w:rsid w:val="00DD7AB1"/>
    <w:rsid w:val="00DD7E55"/>
    <w:rsid w:val="00DE12C1"/>
    <w:rsid w:val="00DE76B4"/>
    <w:rsid w:val="00DF4D1E"/>
    <w:rsid w:val="00DF693C"/>
    <w:rsid w:val="00DF6CD0"/>
    <w:rsid w:val="00DF7549"/>
    <w:rsid w:val="00E0073B"/>
    <w:rsid w:val="00E049BA"/>
    <w:rsid w:val="00E1517E"/>
    <w:rsid w:val="00E16395"/>
    <w:rsid w:val="00E16C16"/>
    <w:rsid w:val="00E20A10"/>
    <w:rsid w:val="00E243F6"/>
    <w:rsid w:val="00E25397"/>
    <w:rsid w:val="00E25BE1"/>
    <w:rsid w:val="00E25CC3"/>
    <w:rsid w:val="00E274BE"/>
    <w:rsid w:val="00E32BE3"/>
    <w:rsid w:val="00E3353F"/>
    <w:rsid w:val="00E357D0"/>
    <w:rsid w:val="00E35800"/>
    <w:rsid w:val="00E37603"/>
    <w:rsid w:val="00E4156C"/>
    <w:rsid w:val="00E46C86"/>
    <w:rsid w:val="00E50D7E"/>
    <w:rsid w:val="00E52593"/>
    <w:rsid w:val="00E54313"/>
    <w:rsid w:val="00E550F1"/>
    <w:rsid w:val="00E56803"/>
    <w:rsid w:val="00E60264"/>
    <w:rsid w:val="00E632D5"/>
    <w:rsid w:val="00E67360"/>
    <w:rsid w:val="00E7026D"/>
    <w:rsid w:val="00E72D0E"/>
    <w:rsid w:val="00E7474C"/>
    <w:rsid w:val="00E749C4"/>
    <w:rsid w:val="00E74AFF"/>
    <w:rsid w:val="00E75A2A"/>
    <w:rsid w:val="00E8158A"/>
    <w:rsid w:val="00E81A7E"/>
    <w:rsid w:val="00E830FF"/>
    <w:rsid w:val="00E83CA9"/>
    <w:rsid w:val="00E84A87"/>
    <w:rsid w:val="00E85613"/>
    <w:rsid w:val="00E86044"/>
    <w:rsid w:val="00E91F35"/>
    <w:rsid w:val="00E93107"/>
    <w:rsid w:val="00E94E91"/>
    <w:rsid w:val="00E955A5"/>
    <w:rsid w:val="00EA3247"/>
    <w:rsid w:val="00EA523D"/>
    <w:rsid w:val="00EA76EE"/>
    <w:rsid w:val="00EA7A9C"/>
    <w:rsid w:val="00EA7AFF"/>
    <w:rsid w:val="00EB2CC0"/>
    <w:rsid w:val="00EB2F80"/>
    <w:rsid w:val="00EB4D4C"/>
    <w:rsid w:val="00EC031D"/>
    <w:rsid w:val="00EC5172"/>
    <w:rsid w:val="00EC559B"/>
    <w:rsid w:val="00EC69D6"/>
    <w:rsid w:val="00EC6CC7"/>
    <w:rsid w:val="00EC7810"/>
    <w:rsid w:val="00ED03E8"/>
    <w:rsid w:val="00ED0A50"/>
    <w:rsid w:val="00ED1531"/>
    <w:rsid w:val="00ED23C1"/>
    <w:rsid w:val="00ED2D53"/>
    <w:rsid w:val="00ED4567"/>
    <w:rsid w:val="00ED775B"/>
    <w:rsid w:val="00EE2014"/>
    <w:rsid w:val="00EE3AAF"/>
    <w:rsid w:val="00EE4097"/>
    <w:rsid w:val="00EE5AE0"/>
    <w:rsid w:val="00EF09CF"/>
    <w:rsid w:val="00EF78E3"/>
    <w:rsid w:val="00EF7A5D"/>
    <w:rsid w:val="00F07763"/>
    <w:rsid w:val="00F07D48"/>
    <w:rsid w:val="00F11994"/>
    <w:rsid w:val="00F17235"/>
    <w:rsid w:val="00F221E8"/>
    <w:rsid w:val="00F26FB3"/>
    <w:rsid w:val="00F275F7"/>
    <w:rsid w:val="00F3114B"/>
    <w:rsid w:val="00F327E3"/>
    <w:rsid w:val="00F33843"/>
    <w:rsid w:val="00F349FA"/>
    <w:rsid w:val="00F35149"/>
    <w:rsid w:val="00F465BF"/>
    <w:rsid w:val="00F4710E"/>
    <w:rsid w:val="00F51BFB"/>
    <w:rsid w:val="00F540E0"/>
    <w:rsid w:val="00F57F7E"/>
    <w:rsid w:val="00F60E33"/>
    <w:rsid w:val="00F60EEB"/>
    <w:rsid w:val="00F60F7D"/>
    <w:rsid w:val="00F620AE"/>
    <w:rsid w:val="00F631A0"/>
    <w:rsid w:val="00F653C1"/>
    <w:rsid w:val="00F67BD2"/>
    <w:rsid w:val="00F67F48"/>
    <w:rsid w:val="00F717C1"/>
    <w:rsid w:val="00F749FD"/>
    <w:rsid w:val="00F75A48"/>
    <w:rsid w:val="00F76D4F"/>
    <w:rsid w:val="00F8281F"/>
    <w:rsid w:val="00F846B7"/>
    <w:rsid w:val="00F97869"/>
    <w:rsid w:val="00F97A3E"/>
    <w:rsid w:val="00FA05A2"/>
    <w:rsid w:val="00FA1773"/>
    <w:rsid w:val="00FB1938"/>
    <w:rsid w:val="00FB312D"/>
    <w:rsid w:val="00FB711C"/>
    <w:rsid w:val="00FC37A4"/>
    <w:rsid w:val="00FC3F96"/>
    <w:rsid w:val="00FC5B71"/>
    <w:rsid w:val="00FC6396"/>
    <w:rsid w:val="00FC6476"/>
    <w:rsid w:val="00FC6F9A"/>
    <w:rsid w:val="00FD07AA"/>
    <w:rsid w:val="00FD133F"/>
    <w:rsid w:val="00FD2D13"/>
    <w:rsid w:val="00FD4610"/>
    <w:rsid w:val="00FD66C5"/>
    <w:rsid w:val="00FD6C4B"/>
    <w:rsid w:val="00FE0789"/>
    <w:rsid w:val="00FE193D"/>
    <w:rsid w:val="00FE4EE3"/>
    <w:rsid w:val="00FF073C"/>
    <w:rsid w:val="00FF1A56"/>
    <w:rsid w:val="00FF3B42"/>
    <w:rsid w:val="00FF5357"/>
    <w:rsid w:val="00FF637E"/>
    <w:rsid w:val="00FF6A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3AF5"/>
  <w15:chartTrackingRefBased/>
  <w15:docId w15:val="{2998C48C-C436-4247-9DE4-FDC58894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409F"/>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C409F"/>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8B"/>
    <w:pPr>
      <w:ind w:left="720"/>
      <w:contextualSpacing/>
    </w:pPr>
  </w:style>
  <w:style w:type="paragraph" w:styleId="NoSpacing">
    <w:name w:val="No Spacing"/>
    <w:uiPriority w:val="1"/>
    <w:qFormat/>
    <w:rsid w:val="00021EA7"/>
    <w:pPr>
      <w:spacing w:after="0" w:line="240" w:lineRule="auto"/>
    </w:pPr>
  </w:style>
  <w:style w:type="paragraph" w:styleId="Header">
    <w:name w:val="header"/>
    <w:basedOn w:val="Normal"/>
    <w:link w:val="HeaderChar"/>
    <w:uiPriority w:val="99"/>
    <w:unhideWhenUsed/>
    <w:rsid w:val="00377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9A5"/>
  </w:style>
  <w:style w:type="paragraph" w:styleId="Footer">
    <w:name w:val="footer"/>
    <w:basedOn w:val="Normal"/>
    <w:link w:val="FooterChar"/>
    <w:uiPriority w:val="99"/>
    <w:unhideWhenUsed/>
    <w:rsid w:val="00377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9A5"/>
  </w:style>
  <w:style w:type="character" w:customStyle="1" w:styleId="Heading2Char">
    <w:name w:val="Heading 2 Char"/>
    <w:basedOn w:val="DefaultParagraphFont"/>
    <w:link w:val="Heading2"/>
    <w:uiPriority w:val="9"/>
    <w:rsid w:val="005C409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C409F"/>
    <w:rPr>
      <w:rFonts w:asciiTheme="majorHAnsi" w:eastAsiaTheme="majorEastAsia" w:hAnsiTheme="majorHAnsi" w:cstheme="majorBidi"/>
      <w:color w:val="1F3763" w:themeColor="accent1" w:themeShade="7F"/>
      <w:sz w:val="24"/>
      <w:szCs w:val="24"/>
      <w:lang w:val="en-US"/>
    </w:rPr>
  </w:style>
  <w:style w:type="paragraph" w:styleId="FootnoteText">
    <w:name w:val="footnote text"/>
    <w:basedOn w:val="Normal"/>
    <w:link w:val="FootnoteTextChar"/>
    <w:uiPriority w:val="99"/>
    <w:unhideWhenUsed/>
    <w:rsid w:val="005C409F"/>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5C409F"/>
    <w:rPr>
      <w:sz w:val="20"/>
      <w:szCs w:val="20"/>
      <w:lang w:val="en-US"/>
    </w:rPr>
  </w:style>
  <w:style w:type="character" w:styleId="FootnoteReference">
    <w:name w:val="footnote reference"/>
    <w:basedOn w:val="DefaultParagraphFont"/>
    <w:uiPriority w:val="99"/>
    <w:semiHidden/>
    <w:unhideWhenUsed/>
    <w:rsid w:val="005C409F"/>
    <w:rPr>
      <w:vertAlign w:val="superscript"/>
    </w:rPr>
  </w:style>
  <w:style w:type="character" w:customStyle="1" w:styleId="legds2">
    <w:name w:val="legds2"/>
    <w:basedOn w:val="DefaultParagraphFont"/>
    <w:rsid w:val="005C409F"/>
    <w:rPr>
      <w:vanish w:val="0"/>
      <w:webHidden w:val="0"/>
      <w:specVanish w:val="0"/>
    </w:rPr>
  </w:style>
  <w:style w:type="paragraph" w:customStyle="1" w:styleId="legclearfix2">
    <w:name w:val="legclearfix2"/>
    <w:basedOn w:val="Normal"/>
    <w:rsid w:val="005C409F"/>
    <w:pPr>
      <w:shd w:val="clear" w:color="auto" w:fill="FFFFFF"/>
      <w:spacing w:after="120" w:line="360" w:lineRule="atLeast"/>
    </w:pPr>
    <w:rPr>
      <w:rFonts w:ascii="Times New Roman" w:eastAsia="Times New Roman" w:hAnsi="Times New Roman" w:cs="Times New Roman"/>
      <w:color w:val="000000"/>
      <w:sz w:val="19"/>
      <w:szCs w:val="19"/>
      <w:lang w:eastAsia="en-NZ"/>
    </w:rPr>
  </w:style>
  <w:style w:type="character" w:styleId="Hyperlink">
    <w:name w:val="Hyperlink"/>
    <w:basedOn w:val="DefaultParagraphFont"/>
    <w:uiPriority w:val="99"/>
    <w:unhideWhenUsed/>
    <w:rsid w:val="005F2FC7"/>
    <w:rPr>
      <w:color w:val="0563C1" w:themeColor="hyperlink"/>
      <w:u w:val="single"/>
    </w:rPr>
  </w:style>
  <w:style w:type="character" w:styleId="UnresolvedMention">
    <w:name w:val="Unresolved Mention"/>
    <w:basedOn w:val="DefaultParagraphFont"/>
    <w:uiPriority w:val="99"/>
    <w:semiHidden/>
    <w:unhideWhenUsed/>
    <w:rsid w:val="005F2FC7"/>
    <w:rPr>
      <w:color w:val="605E5C"/>
      <w:shd w:val="clear" w:color="auto" w:fill="E1DFDD"/>
    </w:rPr>
  </w:style>
  <w:style w:type="paragraph" w:styleId="EndnoteText">
    <w:name w:val="endnote text"/>
    <w:basedOn w:val="Normal"/>
    <w:link w:val="EndnoteTextChar"/>
    <w:uiPriority w:val="99"/>
    <w:semiHidden/>
    <w:unhideWhenUsed/>
    <w:rsid w:val="00A04B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4B43"/>
    <w:rPr>
      <w:sz w:val="20"/>
      <w:szCs w:val="20"/>
    </w:rPr>
  </w:style>
  <w:style w:type="character" w:styleId="EndnoteReference">
    <w:name w:val="endnote reference"/>
    <w:basedOn w:val="DefaultParagraphFont"/>
    <w:uiPriority w:val="99"/>
    <w:semiHidden/>
    <w:unhideWhenUsed/>
    <w:rsid w:val="00A04B43"/>
    <w:rPr>
      <w:vertAlign w:val="superscript"/>
    </w:rPr>
  </w:style>
  <w:style w:type="paragraph" w:styleId="Revision">
    <w:name w:val="Revision"/>
    <w:hidden/>
    <w:uiPriority w:val="99"/>
    <w:semiHidden/>
    <w:rsid w:val="00050FAD"/>
    <w:pPr>
      <w:spacing w:after="0" w:line="240" w:lineRule="auto"/>
    </w:pPr>
  </w:style>
  <w:style w:type="paragraph" w:styleId="BalloonText">
    <w:name w:val="Balloon Text"/>
    <w:basedOn w:val="Normal"/>
    <w:link w:val="BalloonTextChar"/>
    <w:uiPriority w:val="99"/>
    <w:semiHidden/>
    <w:unhideWhenUsed/>
    <w:rsid w:val="00050F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0FA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50FAD"/>
    <w:rPr>
      <w:sz w:val="16"/>
      <w:szCs w:val="16"/>
    </w:rPr>
  </w:style>
  <w:style w:type="paragraph" w:styleId="CommentText">
    <w:name w:val="annotation text"/>
    <w:basedOn w:val="Normal"/>
    <w:link w:val="CommentTextChar"/>
    <w:uiPriority w:val="99"/>
    <w:semiHidden/>
    <w:unhideWhenUsed/>
    <w:rsid w:val="00050FAD"/>
    <w:pPr>
      <w:spacing w:line="240" w:lineRule="auto"/>
    </w:pPr>
    <w:rPr>
      <w:sz w:val="20"/>
      <w:szCs w:val="20"/>
    </w:rPr>
  </w:style>
  <w:style w:type="character" w:customStyle="1" w:styleId="CommentTextChar">
    <w:name w:val="Comment Text Char"/>
    <w:basedOn w:val="DefaultParagraphFont"/>
    <w:link w:val="CommentText"/>
    <w:uiPriority w:val="99"/>
    <w:semiHidden/>
    <w:rsid w:val="00050FAD"/>
    <w:rPr>
      <w:sz w:val="20"/>
      <w:szCs w:val="20"/>
    </w:rPr>
  </w:style>
  <w:style w:type="paragraph" w:styleId="CommentSubject">
    <w:name w:val="annotation subject"/>
    <w:basedOn w:val="CommentText"/>
    <w:next w:val="CommentText"/>
    <w:link w:val="CommentSubjectChar"/>
    <w:uiPriority w:val="99"/>
    <w:semiHidden/>
    <w:unhideWhenUsed/>
    <w:rsid w:val="00050FAD"/>
    <w:rPr>
      <w:b/>
      <w:bCs/>
    </w:rPr>
  </w:style>
  <w:style w:type="character" w:customStyle="1" w:styleId="CommentSubjectChar">
    <w:name w:val="Comment Subject Char"/>
    <w:basedOn w:val="CommentTextChar"/>
    <w:link w:val="CommentSubject"/>
    <w:uiPriority w:val="99"/>
    <w:semiHidden/>
    <w:rsid w:val="00050FAD"/>
    <w:rPr>
      <w:b/>
      <w:bCs/>
      <w:sz w:val="20"/>
      <w:szCs w:val="20"/>
    </w:rPr>
  </w:style>
  <w:style w:type="paragraph" w:styleId="NormalWeb">
    <w:name w:val="Normal (Web)"/>
    <w:basedOn w:val="Normal"/>
    <w:uiPriority w:val="99"/>
    <w:semiHidden/>
    <w:unhideWhenUsed/>
    <w:rsid w:val="007775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7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872288">
      <w:bodyDiv w:val="1"/>
      <w:marLeft w:val="0"/>
      <w:marRight w:val="0"/>
      <w:marTop w:val="0"/>
      <w:marBottom w:val="0"/>
      <w:divBdr>
        <w:top w:val="none" w:sz="0" w:space="0" w:color="auto"/>
        <w:left w:val="none" w:sz="0" w:space="0" w:color="auto"/>
        <w:bottom w:val="none" w:sz="0" w:space="0" w:color="auto"/>
        <w:right w:val="none" w:sz="0" w:space="0" w:color="auto"/>
      </w:divBdr>
      <w:divsChild>
        <w:div w:id="507403534">
          <w:marLeft w:val="0"/>
          <w:marRight w:val="0"/>
          <w:marTop w:val="0"/>
          <w:marBottom w:val="0"/>
          <w:divBdr>
            <w:top w:val="none" w:sz="0" w:space="0" w:color="auto"/>
            <w:left w:val="none" w:sz="0" w:space="0" w:color="auto"/>
            <w:bottom w:val="none" w:sz="0" w:space="0" w:color="auto"/>
            <w:right w:val="none" w:sz="0" w:space="0" w:color="auto"/>
          </w:divBdr>
          <w:divsChild>
            <w:div w:id="424962787">
              <w:marLeft w:val="0"/>
              <w:marRight w:val="0"/>
              <w:marTop w:val="0"/>
              <w:marBottom w:val="0"/>
              <w:divBdr>
                <w:top w:val="none" w:sz="0" w:space="0" w:color="auto"/>
                <w:left w:val="none" w:sz="0" w:space="0" w:color="auto"/>
                <w:bottom w:val="none" w:sz="0" w:space="0" w:color="auto"/>
                <w:right w:val="none" w:sz="0" w:space="0" w:color="auto"/>
              </w:divBdr>
              <w:divsChild>
                <w:div w:id="21407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83A7-B011-4F5F-A1BC-145895C4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9460</Words>
  <Characters>53922</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Tony Wallace</cp:lastModifiedBy>
  <cp:revision>2</cp:revision>
  <cp:lastPrinted>2019-12-17T22:01:00Z</cp:lastPrinted>
  <dcterms:created xsi:type="dcterms:W3CDTF">2020-03-10T03:01:00Z</dcterms:created>
  <dcterms:modified xsi:type="dcterms:W3CDTF">2020-03-10T03:01:00Z</dcterms:modified>
</cp:coreProperties>
</file>