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11D7" w14:textId="423B2204" w:rsidR="00010D54" w:rsidRPr="005607FC" w:rsidRDefault="00010D54" w:rsidP="0095527E">
      <w:pPr>
        <w:spacing w:line="360" w:lineRule="auto"/>
        <w:ind w:left="567"/>
        <w:rPr>
          <w:rFonts w:cstheme="minorHAnsi"/>
          <w:b/>
          <w:bCs/>
        </w:rPr>
      </w:pPr>
      <w:r w:rsidRPr="005607FC">
        <w:rPr>
          <w:rFonts w:cstheme="minorHAnsi"/>
          <w:b/>
          <w:bCs/>
          <w:noProof/>
          <w:lang w:eastAsia="en-NZ"/>
        </w:rPr>
        <w:drawing>
          <wp:inline distT="0" distB="0" distL="0" distR="0" wp14:anchorId="7194D382" wp14:editId="499582C4">
            <wp:extent cx="5731510" cy="3223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2686298E" w14:textId="4D85346B" w:rsidR="00010D54" w:rsidRPr="005607FC" w:rsidRDefault="00010D54" w:rsidP="0095527E">
      <w:pPr>
        <w:spacing w:line="360" w:lineRule="auto"/>
        <w:ind w:left="567"/>
        <w:rPr>
          <w:rFonts w:cstheme="minorHAnsi"/>
          <w:b/>
          <w:bCs/>
        </w:rPr>
      </w:pPr>
    </w:p>
    <w:p w14:paraId="62A97D7E" w14:textId="248151AB" w:rsidR="00010D54" w:rsidRPr="005607FC" w:rsidRDefault="00010D54" w:rsidP="0095527E">
      <w:pPr>
        <w:spacing w:line="360" w:lineRule="auto"/>
        <w:ind w:left="567"/>
        <w:rPr>
          <w:rFonts w:cstheme="minorHAnsi"/>
          <w:b/>
          <w:bCs/>
        </w:rPr>
      </w:pPr>
      <w:r w:rsidRPr="005607FC">
        <w:rPr>
          <w:rFonts w:cstheme="minorHAnsi"/>
          <w:b/>
          <w:bCs/>
        </w:rPr>
        <w:t>_____________________________________________________________________________</w:t>
      </w:r>
    </w:p>
    <w:p w14:paraId="67A8B06D" w14:textId="77777777" w:rsidR="00010D54" w:rsidRPr="005607FC" w:rsidRDefault="00010D54" w:rsidP="0095527E">
      <w:pPr>
        <w:spacing w:line="360" w:lineRule="auto"/>
        <w:ind w:left="567"/>
        <w:rPr>
          <w:rFonts w:cstheme="minorHAnsi"/>
          <w:b/>
          <w:bCs/>
        </w:rPr>
      </w:pPr>
    </w:p>
    <w:p w14:paraId="26CBA1FE" w14:textId="71176371" w:rsidR="005C409F" w:rsidRPr="0018683D" w:rsidRDefault="0083618B" w:rsidP="0095527E">
      <w:pPr>
        <w:spacing w:line="360" w:lineRule="auto"/>
        <w:ind w:left="567"/>
        <w:jc w:val="center"/>
        <w:rPr>
          <w:rFonts w:ascii="Arial" w:hAnsi="Arial" w:cs="Arial"/>
          <w:b/>
          <w:bCs/>
          <w:sz w:val="24"/>
          <w:szCs w:val="24"/>
        </w:rPr>
      </w:pPr>
      <w:r w:rsidRPr="0018683D">
        <w:rPr>
          <w:rFonts w:ascii="Arial" w:hAnsi="Arial" w:cs="Arial"/>
          <w:b/>
          <w:bCs/>
          <w:sz w:val="24"/>
          <w:szCs w:val="24"/>
        </w:rPr>
        <w:t xml:space="preserve">PUBLIC </w:t>
      </w:r>
      <w:r w:rsidR="00010D54" w:rsidRPr="0018683D">
        <w:rPr>
          <w:rFonts w:ascii="Arial" w:hAnsi="Arial" w:cs="Arial"/>
          <w:b/>
          <w:bCs/>
          <w:sz w:val="24"/>
          <w:szCs w:val="24"/>
        </w:rPr>
        <w:t xml:space="preserve">HEARING </w:t>
      </w:r>
      <w:r w:rsidRPr="0018683D">
        <w:rPr>
          <w:rFonts w:ascii="Arial" w:hAnsi="Arial" w:cs="Arial"/>
          <w:b/>
          <w:bCs/>
          <w:sz w:val="24"/>
          <w:szCs w:val="24"/>
        </w:rPr>
        <w:t>– MARCH 2020</w:t>
      </w:r>
      <w:r w:rsidR="005C409F" w:rsidRPr="0018683D">
        <w:rPr>
          <w:rFonts w:ascii="Arial" w:hAnsi="Arial" w:cs="Arial"/>
          <w:b/>
          <w:bCs/>
          <w:sz w:val="24"/>
          <w:szCs w:val="24"/>
        </w:rPr>
        <w:t xml:space="preserve"> </w:t>
      </w:r>
    </w:p>
    <w:p w14:paraId="23D7345D" w14:textId="21F42DE8" w:rsidR="00010D54" w:rsidRPr="0018683D" w:rsidRDefault="00010D54" w:rsidP="0095527E">
      <w:pPr>
        <w:spacing w:line="360" w:lineRule="auto"/>
        <w:ind w:left="567"/>
        <w:jc w:val="center"/>
        <w:rPr>
          <w:rFonts w:ascii="Arial" w:hAnsi="Arial" w:cs="Arial"/>
          <w:b/>
          <w:bCs/>
          <w:sz w:val="24"/>
          <w:szCs w:val="24"/>
        </w:rPr>
      </w:pPr>
      <w:r w:rsidRPr="0018683D">
        <w:rPr>
          <w:rFonts w:ascii="Arial" w:hAnsi="Arial" w:cs="Arial"/>
          <w:b/>
          <w:bCs/>
          <w:sz w:val="24"/>
          <w:szCs w:val="24"/>
        </w:rPr>
        <w:t xml:space="preserve">CIVIL CLAIMS AND CIVIL LITIGATION REDRESS PROCESSES RELATING TO ABUSE IN STATE CARE </w:t>
      </w:r>
    </w:p>
    <w:p w14:paraId="0C69755C" w14:textId="77777777" w:rsidR="005C409F" w:rsidRPr="005607FC" w:rsidRDefault="005C409F" w:rsidP="0095527E">
      <w:pPr>
        <w:pBdr>
          <w:bottom w:val="single" w:sz="12" w:space="1" w:color="auto"/>
        </w:pBdr>
        <w:spacing w:line="360" w:lineRule="auto"/>
        <w:ind w:left="567"/>
        <w:jc w:val="center"/>
        <w:rPr>
          <w:rFonts w:cstheme="minorHAnsi"/>
          <w:b/>
          <w:bCs/>
        </w:rPr>
      </w:pPr>
    </w:p>
    <w:p w14:paraId="44C7F222" w14:textId="77777777" w:rsidR="005C409F" w:rsidRPr="005607FC" w:rsidRDefault="005C409F" w:rsidP="0095527E">
      <w:pPr>
        <w:spacing w:line="360" w:lineRule="auto"/>
        <w:ind w:left="567"/>
        <w:rPr>
          <w:rFonts w:cstheme="minorHAnsi"/>
          <w:b/>
          <w:bCs/>
        </w:rPr>
      </w:pPr>
    </w:p>
    <w:p w14:paraId="2F91EAC2" w14:textId="0BE7E747" w:rsidR="005C409F" w:rsidRPr="005607FC" w:rsidRDefault="005C409F" w:rsidP="0095527E">
      <w:pPr>
        <w:spacing w:line="360" w:lineRule="auto"/>
        <w:ind w:left="567"/>
        <w:jc w:val="center"/>
        <w:rPr>
          <w:rFonts w:cstheme="minorHAnsi"/>
          <w:b/>
          <w:bCs/>
          <w:sz w:val="24"/>
          <w:szCs w:val="24"/>
        </w:rPr>
      </w:pPr>
    </w:p>
    <w:p w14:paraId="5AA03741" w14:textId="4F7495C0" w:rsidR="005C409F" w:rsidRPr="005607FC" w:rsidRDefault="005C409F" w:rsidP="0095527E">
      <w:pPr>
        <w:spacing w:line="360" w:lineRule="auto"/>
        <w:ind w:left="567"/>
        <w:jc w:val="center"/>
        <w:rPr>
          <w:rFonts w:cstheme="minorHAnsi"/>
          <w:b/>
          <w:bCs/>
          <w:sz w:val="24"/>
          <w:szCs w:val="24"/>
        </w:rPr>
      </w:pPr>
    </w:p>
    <w:p w14:paraId="166F9B47" w14:textId="772969D0" w:rsidR="005C409F" w:rsidRPr="0018683D" w:rsidRDefault="005C409F" w:rsidP="0095527E">
      <w:pPr>
        <w:pStyle w:val="NoSpacing"/>
        <w:spacing w:line="360" w:lineRule="auto"/>
        <w:jc w:val="center"/>
        <w:rPr>
          <w:rFonts w:ascii="Arial" w:hAnsi="Arial" w:cs="Arial"/>
          <w:b/>
          <w:bCs/>
          <w:sz w:val="24"/>
          <w:szCs w:val="24"/>
        </w:rPr>
      </w:pPr>
      <w:r w:rsidRPr="0018683D">
        <w:rPr>
          <w:rFonts w:ascii="Arial" w:hAnsi="Arial" w:cs="Arial"/>
          <w:b/>
          <w:bCs/>
          <w:sz w:val="24"/>
          <w:szCs w:val="24"/>
        </w:rPr>
        <w:t>BRIEFING PAPER:</w:t>
      </w:r>
    </w:p>
    <w:p w14:paraId="4796B35E" w14:textId="77777777" w:rsidR="005C409F" w:rsidRPr="0018683D" w:rsidRDefault="005C409F" w:rsidP="0095527E">
      <w:pPr>
        <w:pStyle w:val="NoSpacing"/>
        <w:spacing w:line="360" w:lineRule="auto"/>
        <w:jc w:val="center"/>
        <w:rPr>
          <w:rFonts w:ascii="Arial" w:hAnsi="Arial" w:cs="Arial"/>
          <w:b/>
          <w:bCs/>
          <w:sz w:val="24"/>
          <w:szCs w:val="24"/>
        </w:rPr>
      </w:pPr>
    </w:p>
    <w:p w14:paraId="7BC59714" w14:textId="50A7C82E" w:rsidR="0091411C" w:rsidRDefault="005C409F" w:rsidP="0095527E">
      <w:pPr>
        <w:pStyle w:val="NoSpacing"/>
        <w:spacing w:line="360" w:lineRule="auto"/>
        <w:jc w:val="center"/>
        <w:rPr>
          <w:rFonts w:ascii="Arial" w:hAnsi="Arial" w:cs="Arial"/>
          <w:b/>
          <w:bCs/>
          <w:sz w:val="24"/>
          <w:szCs w:val="24"/>
        </w:rPr>
      </w:pPr>
      <w:r w:rsidRPr="0018683D">
        <w:rPr>
          <w:rFonts w:ascii="Arial" w:hAnsi="Arial" w:cs="Arial"/>
          <w:b/>
          <w:bCs/>
          <w:sz w:val="24"/>
          <w:szCs w:val="24"/>
        </w:rPr>
        <w:t xml:space="preserve">FINDINGS ON </w:t>
      </w:r>
      <w:r w:rsidR="0091411C">
        <w:rPr>
          <w:rFonts w:ascii="Arial" w:hAnsi="Arial" w:cs="Arial"/>
          <w:b/>
          <w:bCs/>
          <w:sz w:val="24"/>
          <w:szCs w:val="24"/>
        </w:rPr>
        <w:t>TE TIRITI/TREATY</w:t>
      </w:r>
      <w:r w:rsidR="000A1578" w:rsidRPr="0018683D">
        <w:rPr>
          <w:rFonts w:ascii="Arial" w:hAnsi="Arial" w:cs="Arial"/>
          <w:b/>
          <w:bCs/>
          <w:sz w:val="24"/>
          <w:szCs w:val="24"/>
        </w:rPr>
        <w:t xml:space="preserve"> O</w:t>
      </w:r>
      <w:r w:rsidR="0091411C">
        <w:rPr>
          <w:rFonts w:ascii="Arial" w:hAnsi="Arial" w:cs="Arial"/>
          <w:b/>
          <w:bCs/>
          <w:sz w:val="24"/>
          <w:szCs w:val="24"/>
        </w:rPr>
        <w:t>F</w:t>
      </w:r>
      <w:r w:rsidR="000A1578" w:rsidRPr="0018683D">
        <w:rPr>
          <w:rFonts w:ascii="Arial" w:hAnsi="Arial" w:cs="Arial"/>
          <w:b/>
          <w:bCs/>
          <w:sz w:val="24"/>
          <w:szCs w:val="24"/>
        </w:rPr>
        <w:t xml:space="preserve"> WAITANGI PRINCIPLES</w:t>
      </w:r>
      <w:r w:rsidR="0091411C">
        <w:rPr>
          <w:rFonts w:ascii="Arial" w:hAnsi="Arial" w:cs="Arial"/>
          <w:b/>
          <w:bCs/>
          <w:sz w:val="24"/>
          <w:szCs w:val="24"/>
        </w:rPr>
        <w:t xml:space="preserve"> AND </w:t>
      </w:r>
      <w:r w:rsidR="00A75DB9" w:rsidRPr="0018683D">
        <w:rPr>
          <w:rFonts w:ascii="Arial" w:hAnsi="Arial" w:cs="Arial"/>
          <w:b/>
          <w:bCs/>
          <w:sz w:val="24"/>
          <w:szCs w:val="24"/>
        </w:rPr>
        <w:t xml:space="preserve">MĀORI CONSULTATION </w:t>
      </w:r>
      <w:r w:rsidRPr="0018683D">
        <w:rPr>
          <w:rFonts w:ascii="Arial" w:hAnsi="Arial" w:cs="Arial"/>
          <w:b/>
          <w:bCs/>
          <w:sz w:val="24"/>
          <w:szCs w:val="24"/>
        </w:rPr>
        <w:t>IDENTIFIED IN RECENT</w:t>
      </w:r>
      <w:r w:rsidR="0091411C">
        <w:rPr>
          <w:rFonts w:ascii="Arial" w:hAnsi="Arial" w:cs="Arial"/>
          <w:b/>
          <w:bCs/>
          <w:sz w:val="24"/>
          <w:szCs w:val="24"/>
        </w:rPr>
        <w:t xml:space="preserve"> </w:t>
      </w:r>
      <w:r w:rsidRPr="0018683D">
        <w:rPr>
          <w:rFonts w:ascii="Arial" w:hAnsi="Arial" w:cs="Arial"/>
          <w:b/>
          <w:bCs/>
          <w:sz w:val="24"/>
          <w:szCs w:val="24"/>
        </w:rPr>
        <w:t>INQUIRIES</w:t>
      </w:r>
      <w:r w:rsidR="0091411C">
        <w:rPr>
          <w:rFonts w:ascii="Arial" w:hAnsi="Arial" w:cs="Arial"/>
          <w:b/>
          <w:bCs/>
          <w:sz w:val="24"/>
          <w:szCs w:val="24"/>
        </w:rPr>
        <w:t xml:space="preserve"> AND REPORTS</w:t>
      </w:r>
    </w:p>
    <w:p w14:paraId="1537FD04" w14:textId="74EB5132" w:rsidR="005C409F" w:rsidRPr="0018683D" w:rsidRDefault="0091411C" w:rsidP="0095527E">
      <w:pPr>
        <w:pStyle w:val="NoSpacing"/>
        <w:spacing w:line="360" w:lineRule="auto"/>
        <w:jc w:val="center"/>
        <w:rPr>
          <w:rFonts w:ascii="Arial" w:hAnsi="Arial" w:cs="Arial"/>
          <w:b/>
          <w:bCs/>
          <w:sz w:val="24"/>
          <w:szCs w:val="24"/>
        </w:rPr>
      </w:pPr>
      <w:r>
        <w:rPr>
          <w:rFonts w:ascii="Arial" w:hAnsi="Arial" w:cs="Arial"/>
          <w:b/>
          <w:bCs/>
          <w:sz w:val="24"/>
          <w:szCs w:val="24"/>
        </w:rPr>
        <w:t>RELATING TO REDRESS OF ABUSE IN STATE CARE</w:t>
      </w:r>
    </w:p>
    <w:p w14:paraId="71918FA2" w14:textId="21129929" w:rsidR="005C409F" w:rsidRPr="0018683D" w:rsidRDefault="005C409F" w:rsidP="00121EE7">
      <w:pPr>
        <w:pStyle w:val="NoSpacing"/>
        <w:spacing w:line="360" w:lineRule="auto"/>
        <w:jc w:val="center"/>
        <w:rPr>
          <w:rFonts w:ascii="Arial" w:hAnsi="Arial" w:cs="Arial"/>
          <w:b/>
          <w:bCs/>
          <w:sz w:val="24"/>
          <w:szCs w:val="24"/>
        </w:rPr>
      </w:pPr>
      <w:r w:rsidRPr="0018683D">
        <w:rPr>
          <w:rFonts w:ascii="Arial" w:hAnsi="Arial" w:cs="Arial"/>
          <w:b/>
          <w:bCs/>
          <w:sz w:val="24"/>
          <w:szCs w:val="24"/>
        </w:rPr>
        <w:t xml:space="preserve"> </w:t>
      </w:r>
    </w:p>
    <w:p w14:paraId="46A1B81F" w14:textId="77777777" w:rsidR="005C409F" w:rsidRPr="005607FC" w:rsidRDefault="005C409F" w:rsidP="0095527E">
      <w:pPr>
        <w:spacing w:line="360" w:lineRule="auto"/>
        <w:ind w:left="567"/>
        <w:jc w:val="center"/>
        <w:rPr>
          <w:rFonts w:cstheme="minorHAnsi"/>
          <w:sz w:val="24"/>
          <w:szCs w:val="24"/>
        </w:rPr>
      </w:pPr>
    </w:p>
    <w:p w14:paraId="62BD4A0E" w14:textId="50C70003" w:rsidR="00575DE8" w:rsidRPr="0018683D" w:rsidRDefault="00671825" w:rsidP="00121EE7">
      <w:pPr>
        <w:pStyle w:val="NoSpacing"/>
        <w:spacing w:line="360" w:lineRule="auto"/>
        <w:ind w:left="567"/>
        <w:rPr>
          <w:rFonts w:ascii="Arial" w:hAnsi="Arial" w:cs="Arial"/>
          <w:b/>
          <w:bCs/>
          <w:sz w:val="24"/>
          <w:szCs w:val="24"/>
        </w:rPr>
      </w:pPr>
      <w:r w:rsidRPr="0018683D">
        <w:rPr>
          <w:rFonts w:ascii="Arial" w:hAnsi="Arial" w:cs="Arial"/>
          <w:b/>
          <w:bCs/>
          <w:sz w:val="24"/>
          <w:szCs w:val="24"/>
        </w:rPr>
        <w:lastRenderedPageBreak/>
        <w:t xml:space="preserve">INTRODUCTION </w:t>
      </w:r>
    </w:p>
    <w:p w14:paraId="535622ED" w14:textId="040A80E5" w:rsidR="00671825" w:rsidRDefault="00671825" w:rsidP="0095527E">
      <w:pPr>
        <w:pStyle w:val="NoSpacing"/>
        <w:spacing w:line="360" w:lineRule="auto"/>
        <w:ind w:left="567"/>
        <w:rPr>
          <w:rFonts w:ascii="Arial" w:hAnsi="Arial" w:cs="Arial"/>
          <w:sz w:val="24"/>
          <w:szCs w:val="24"/>
        </w:rPr>
      </w:pPr>
    </w:p>
    <w:p w14:paraId="40C38F62" w14:textId="07E1241F" w:rsidR="00574A69" w:rsidRPr="0018683D" w:rsidRDefault="00574A69" w:rsidP="00AB20F3">
      <w:pPr>
        <w:pStyle w:val="NoSpacing"/>
        <w:numPr>
          <w:ilvl w:val="0"/>
          <w:numId w:val="6"/>
        </w:numPr>
        <w:spacing w:line="360" w:lineRule="auto"/>
        <w:ind w:left="1134" w:hanging="567"/>
        <w:rPr>
          <w:rFonts w:ascii="Arial" w:hAnsi="Arial" w:cs="Arial"/>
          <w:sz w:val="24"/>
          <w:szCs w:val="24"/>
        </w:rPr>
      </w:pPr>
      <w:r w:rsidRPr="0018683D">
        <w:rPr>
          <w:rFonts w:ascii="Arial" w:hAnsi="Arial" w:cs="Arial"/>
          <w:sz w:val="24"/>
          <w:szCs w:val="24"/>
        </w:rPr>
        <w:t>Th</w:t>
      </w:r>
      <w:r>
        <w:rPr>
          <w:rFonts w:ascii="Arial" w:hAnsi="Arial" w:cs="Arial"/>
          <w:sz w:val="24"/>
          <w:szCs w:val="24"/>
        </w:rPr>
        <w:t>e information in th</w:t>
      </w:r>
      <w:r w:rsidRPr="0018683D">
        <w:rPr>
          <w:rFonts w:ascii="Arial" w:hAnsi="Arial" w:cs="Arial"/>
          <w:sz w:val="24"/>
          <w:szCs w:val="24"/>
        </w:rPr>
        <w:t xml:space="preserve">is briefing paper </w:t>
      </w:r>
      <w:r>
        <w:rPr>
          <w:rFonts w:ascii="Arial" w:hAnsi="Arial" w:cs="Arial"/>
          <w:sz w:val="24"/>
          <w:szCs w:val="24"/>
        </w:rPr>
        <w:t xml:space="preserve">is produced by the Inquiry </w:t>
      </w:r>
      <w:r w:rsidRPr="0018683D">
        <w:rPr>
          <w:rFonts w:ascii="Arial" w:hAnsi="Arial" w:cs="Arial"/>
          <w:sz w:val="24"/>
          <w:szCs w:val="24"/>
        </w:rPr>
        <w:t>in accordance with clause 20(d) of the Inquiry’s terms of reference.  It is also intended to assist with clause 6, which states:</w:t>
      </w:r>
    </w:p>
    <w:p w14:paraId="29607759" w14:textId="77777777" w:rsidR="00574A69" w:rsidRPr="0018683D" w:rsidRDefault="00574A69" w:rsidP="00574A69">
      <w:pPr>
        <w:pStyle w:val="NoSpacing"/>
        <w:spacing w:line="360" w:lineRule="auto"/>
        <w:ind w:left="1440"/>
        <w:rPr>
          <w:rFonts w:ascii="Arial" w:hAnsi="Arial" w:cs="Arial"/>
          <w:i/>
          <w:iCs/>
          <w:sz w:val="24"/>
          <w:szCs w:val="24"/>
        </w:rPr>
      </w:pPr>
    </w:p>
    <w:p w14:paraId="74CF5584" w14:textId="77777777" w:rsidR="00574A69" w:rsidRPr="0018683D" w:rsidRDefault="00574A69" w:rsidP="00574A69">
      <w:pPr>
        <w:pStyle w:val="NoSpacing"/>
        <w:spacing w:line="360" w:lineRule="auto"/>
        <w:ind w:left="1701"/>
        <w:rPr>
          <w:rFonts w:ascii="Arial" w:hAnsi="Arial" w:cs="Arial"/>
          <w:i/>
          <w:iCs/>
          <w:sz w:val="24"/>
          <w:szCs w:val="24"/>
        </w:rPr>
      </w:pPr>
      <w:r w:rsidRPr="0018683D">
        <w:rPr>
          <w:rFonts w:ascii="Arial" w:hAnsi="Arial" w:cs="Arial"/>
          <w:i/>
          <w:iCs/>
          <w:sz w:val="24"/>
          <w:szCs w:val="24"/>
        </w:rPr>
        <w:t>The inquiry will give appropriate recognition to Māori interests, acknowledging the disproportionate representation of Māori, particularly in care. The inquiry will be underpinned by Te Tiriti o Waitangi/the Treaty of Waitangi and its principles, and will partner with Māori throughout the inquiry process.</w:t>
      </w:r>
    </w:p>
    <w:p w14:paraId="51108E08" w14:textId="77777777" w:rsidR="00574A69" w:rsidRPr="0018683D" w:rsidRDefault="00574A69" w:rsidP="00574A69">
      <w:pPr>
        <w:pStyle w:val="NoSpacing"/>
        <w:spacing w:line="360" w:lineRule="auto"/>
        <w:ind w:left="567"/>
        <w:rPr>
          <w:rFonts w:ascii="Arial" w:hAnsi="Arial" w:cs="Arial"/>
          <w:sz w:val="24"/>
          <w:szCs w:val="24"/>
        </w:rPr>
      </w:pPr>
    </w:p>
    <w:p w14:paraId="0325A419" w14:textId="5FFED5B4" w:rsidR="00574A69" w:rsidRPr="0018683D" w:rsidRDefault="00574A69" w:rsidP="00AB20F3">
      <w:pPr>
        <w:pStyle w:val="NoSpacing"/>
        <w:numPr>
          <w:ilvl w:val="0"/>
          <w:numId w:val="6"/>
        </w:numPr>
        <w:spacing w:line="360" w:lineRule="auto"/>
        <w:ind w:left="1134" w:hanging="567"/>
        <w:rPr>
          <w:rFonts w:ascii="Arial" w:hAnsi="Arial" w:cs="Arial"/>
          <w:sz w:val="24"/>
          <w:szCs w:val="24"/>
        </w:rPr>
      </w:pPr>
      <w:r>
        <w:rPr>
          <w:rFonts w:ascii="Arial" w:hAnsi="Arial" w:cs="Arial"/>
          <w:sz w:val="24"/>
          <w:szCs w:val="24"/>
        </w:rPr>
        <w:t xml:space="preserve">At the Inquiry’s contextual hearing, </w:t>
      </w:r>
      <w:r w:rsidRPr="0018683D">
        <w:rPr>
          <w:rFonts w:ascii="Arial" w:hAnsi="Arial" w:cs="Arial"/>
          <w:sz w:val="24"/>
          <w:szCs w:val="24"/>
        </w:rPr>
        <w:t xml:space="preserve">Dr Moana Jackson </w:t>
      </w:r>
      <w:r>
        <w:rPr>
          <w:rFonts w:ascii="Arial" w:hAnsi="Arial" w:cs="Arial"/>
          <w:sz w:val="24"/>
          <w:szCs w:val="24"/>
        </w:rPr>
        <w:t>stated</w:t>
      </w:r>
      <w:r w:rsidRPr="0018683D">
        <w:rPr>
          <w:rFonts w:ascii="Arial" w:hAnsi="Arial" w:cs="Arial"/>
          <w:sz w:val="24"/>
          <w:szCs w:val="24"/>
        </w:rPr>
        <w:t>:</w:t>
      </w:r>
    </w:p>
    <w:p w14:paraId="561508BB" w14:textId="77777777" w:rsidR="00574A69" w:rsidRPr="0018683D" w:rsidRDefault="00574A69" w:rsidP="00574A69">
      <w:pPr>
        <w:pStyle w:val="NoSpacing"/>
        <w:spacing w:line="360" w:lineRule="auto"/>
        <w:ind w:left="567"/>
        <w:rPr>
          <w:rFonts w:ascii="Arial" w:hAnsi="Arial" w:cs="Arial"/>
          <w:sz w:val="24"/>
          <w:szCs w:val="24"/>
        </w:rPr>
      </w:pPr>
    </w:p>
    <w:p w14:paraId="7FFCC9DF" w14:textId="77777777" w:rsidR="00574A69" w:rsidRPr="0018683D" w:rsidRDefault="00574A69" w:rsidP="00574A69">
      <w:pPr>
        <w:pStyle w:val="NoSpacing"/>
        <w:spacing w:line="360" w:lineRule="auto"/>
        <w:ind w:left="1701"/>
        <w:rPr>
          <w:rFonts w:ascii="Arial" w:hAnsi="Arial" w:cs="Arial"/>
          <w:sz w:val="24"/>
          <w:szCs w:val="24"/>
        </w:rPr>
      </w:pPr>
      <w:r w:rsidRPr="0018683D">
        <w:rPr>
          <w:rFonts w:ascii="Arial" w:hAnsi="Arial" w:cs="Arial"/>
          <w:i/>
          <w:iCs/>
          <w:sz w:val="24"/>
          <w:szCs w:val="24"/>
        </w:rPr>
        <w:t>The fact that such a tikanga based understanding has been dismissed in the colonising history since 1840 does not invalidate it. Rather, it merely indicates the steps this country still needs to take to properly honour Te Tiriti. It also indicates that there is already a Te Tiriti based framework in place that could justly provide both a measure to assess the wrongs of abuse in care and a way to prevent such harm in the future.</w:t>
      </w:r>
      <w:r w:rsidRPr="0018683D">
        <w:rPr>
          <w:rStyle w:val="FootnoteReference"/>
          <w:rFonts w:ascii="Arial" w:hAnsi="Arial" w:cs="Arial"/>
          <w:i/>
          <w:iCs/>
          <w:sz w:val="24"/>
          <w:szCs w:val="24"/>
        </w:rPr>
        <w:footnoteReference w:id="1"/>
      </w:r>
    </w:p>
    <w:p w14:paraId="5A9B0F24" w14:textId="77777777" w:rsidR="005E6F1E" w:rsidRDefault="005E6F1E" w:rsidP="00902565">
      <w:pPr>
        <w:pStyle w:val="NoSpacing"/>
        <w:spacing w:line="360" w:lineRule="auto"/>
        <w:ind w:left="1134"/>
        <w:rPr>
          <w:rFonts w:ascii="Arial" w:hAnsi="Arial" w:cs="Arial"/>
          <w:sz w:val="24"/>
          <w:szCs w:val="24"/>
        </w:rPr>
      </w:pPr>
    </w:p>
    <w:p w14:paraId="5A021EC1" w14:textId="5566902F" w:rsidR="005E6F1E" w:rsidRDefault="009A02C6" w:rsidP="00AB20F3">
      <w:pPr>
        <w:pStyle w:val="NoSpacing"/>
        <w:numPr>
          <w:ilvl w:val="0"/>
          <w:numId w:val="6"/>
        </w:numPr>
        <w:spacing w:line="360" w:lineRule="auto"/>
        <w:ind w:left="1134" w:hanging="567"/>
        <w:rPr>
          <w:rFonts w:ascii="Arial" w:hAnsi="Arial" w:cs="Arial"/>
          <w:sz w:val="24"/>
          <w:szCs w:val="24"/>
        </w:rPr>
      </w:pPr>
      <w:r w:rsidRPr="009A02C6">
        <w:rPr>
          <w:rFonts w:ascii="Arial" w:hAnsi="Arial" w:cs="Arial"/>
          <w:sz w:val="24"/>
          <w:szCs w:val="24"/>
        </w:rPr>
        <w:t xml:space="preserve">This </w:t>
      </w:r>
      <w:r w:rsidR="00574A69">
        <w:rPr>
          <w:rFonts w:ascii="Arial" w:hAnsi="Arial" w:cs="Arial"/>
          <w:sz w:val="24"/>
          <w:szCs w:val="24"/>
        </w:rPr>
        <w:t xml:space="preserve">briefing </w:t>
      </w:r>
      <w:r w:rsidRPr="009A02C6">
        <w:rPr>
          <w:rFonts w:ascii="Arial" w:hAnsi="Arial" w:cs="Arial"/>
          <w:sz w:val="24"/>
          <w:szCs w:val="24"/>
        </w:rPr>
        <w:t xml:space="preserve">paper </w:t>
      </w:r>
      <w:r w:rsidR="00436BA1">
        <w:rPr>
          <w:rFonts w:ascii="Arial" w:hAnsi="Arial" w:cs="Arial"/>
          <w:sz w:val="24"/>
          <w:szCs w:val="24"/>
        </w:rPr>
        <w:t>out</w:t>
      </w:r>
      <w:r w:rsidR="00574A69">
        <w:rPr>
          <w:rFonts w:ascii="Arial" w:hAnsi="Arial" w:cs="Arial"/>
          <w:sz w:val="24"/>
          <w:szCs w:val="24"/>
        </w:rPr>
        <w:t>l</w:t>
      </w:r>
      <w:r w:rsidR="00436BA1">
        <w:rPr>
          <w:rFonts w:ascii="Arial" w:hAnsi="Arial" w:cs="Arial"/>
          <w:sz w:val="24"/>
          <w:szCs w:val="24"/>
        </w:rPr>
        <w:t>ines</w:t>
      </w:r>
      <w:r w:rsidR="00574A69">
        <w:rPr>
          <w:rFonts w:ascii="Arial" w:hAnsi="Arial" w:cs="Arial"/>
          <w:sz w:val="24"/>
          <w:szCs w:val="24"/>
        </w:rPr>
        <w:t>:</w:t>
      </w:r>
    </w:p>
    <w:p w14:paraId="49C3127A" w14:textId="5BA8B646" w:rsidR="00436BA1" w:rsidRDefault="00436BA1" w:rsidP="00574A69">
      <w:pPr>
        <w:pStyle w:val="NoSpacing"/>
        <w:spacing w:line="360" w:lineRule="auto"/>
        <w:rPr>
          <w:rFonts w:ascii="Arial" w:hAnsi="Arial" w:cs="Arial"/>
          <w:sz w:val="24"/>
          <w:szCs w:val="24"/>
        </w:rPr>
      </w:pPr>
    </w:p>
    <w:p w14:paraId="3B16D54E" w14:textId="77513BE6" w:rsidR="00436BA1" w:rsidRDefault="00436BA1" w:rsidP="00AB20F3">
      <w:pPr>
        <w:pStyle w:val="NoSpacing"/>
        <w:numPr>
          <w:ilvl w:val="1"/>
          <w:numId w:val="6"/>
        </w:numPr>
        <w:spacing w:line="360" w:lineRule="auto"/>
        <w:ind w:left="1701" w:hanging="567"/>
        <w:rPr>
          <w:rFonts w:ascii="Arial" w:hAnsi="Arial" w:cs="Arial"/>
          <w:sz w:val="24"/>
          <w:szCs w:val="24"/>
        </w:rPr>
      </w:pPr>
      <w:r>
        <w:rPr>
          <w:rFonts w:ascii="Arial" w:hAnsi="Arial" w:cs="Arial"/>
          <w:sz w:val="24"/>
          <w:szCs w:val="24"/>
        </w:rPr>
        <w:t xml:space="preserve">Key </w:t>
      </w:r>
      <w:r w:rsidR="00574A69">
        <w:rPr>
          <w:rFonts w:ascii="Arial" w:hAnsi="Arial" w:cs="Arial"/>
          <w:sz w:val="24"/>
          <w:szCs w:val="24"/>
        </w:rPr>
        <w:t>Te Tiriti o Waitangi/</w:t>
      </w:r>
      <w:r>
        <w:rPr>
          <w:rFonts w:ascii="Arial" w:hAnsi="Arial" w:cs="Arial"/>
          <w:sz w:val="24"/>
          <w:szCs w:val="24"/>
        </w:rPr>
        <w:t xml:space="preserve">Treaty </w:t>
      </w:r>
      <w:r w:rsidR="00574A69">
        <w:rPr>
          <w:rFonts w:ascii="Arial" w:hAnsi="Arial" w:cs="Arial"/>
          <w:sz w:val="24"/>
          <w:szCs w:val="24"/>
        </w:rPr>
        <w:t>of Waitangi (</w:t>
      </w:r>
      <w:r w:rsidR="00574A69" w:rsidRPr="00574A69">
        <w:rPr>
          <w:rFonts w:ascii="Arial" w:hAnsi="Arial" w:cs="Arial"/>
          <w:b/>
          <w:bCs/>
          <w:sz w:val="24"/>
          <w:szCs w:val="24"/>
        </w:rPr>
        <w:t>Treaty</w:t>
      </w:r>
      <w:r w:rsidR="00574A69">
        <w:rPr>
          <w:rFonts w:ascii="Arial" w:hAnsi="Arial" w:cs="Arial"/>
          <w:sz w:val="24"/>
          <w:szCs w:val="24"/>
        </w:rPr>
        <w:t xml:space="preserve">) </w:t>
      </w:r>
      <w:r w:rsidRPr="00574A69">
        <w:rPr>
          <w:rFonts w:ascii="Arial" w:hAnsi="Arial" w:cs="Arial"/>
          <w:sz w:val="24"/>
          <w:szCs w:val="24"/>
        </w:rPr>
        <w:t>principles</w:t>
      </w:r>
      <w:r>
        <w:rPr>
          <w:rFonts w:ascii="Arial" w:hAnsi="Arial" w:cs="Arial"/>
          <w:sz w:val="24"/>
          <w:szCs w:val="24"/>
        </w:rPr>
        <w:t xml:space="preserve"> as expressed in Waitangi Tribunal reports;</w:t>
      </w:r>
      <w:r>
        <w:rPr>
          <w:rStyle w:val="FootnoteReference"/>
          <w:rFonts w:ascii="Arial" w:hAnsi="Arial" w:cs="Arial"/>
          <w:sz w:val="24"/>
          <w:szCs w:val="24"/>
        </w:rPr>
        <w:footnoteReference w:id="2"/>
      </w:r>
    </w:p>
    <w:p w14:paraId="7601EBC5" w14:textId="77777777" w:rsidR="00436BA1" w:rsidRDefault="00436BA1" w:rsidP="00AB20F3">
      <w:pPr>
        <w:pStyle w:val="NoSpacing"/>
        <w:numPr>
          <w:ilvl w:val="1"/>
          <w:numId w:val="6"/>
        </w:numPr>
        <w:spacing w:line="360" w:lineRule="auto"/>
        <w:ind w:left="1701" w:hanging="567"/>
        <w:rPr>
          <w:rFonts w:ascii="Arial" w:hAnsi="Arial" w:cs="Arial"/>
          <w:sz w:val="24"/>
          <w:szCs w:val="24"/>
        </w:rPr>
      </w:pPr>
      <w:r>
        <w:rPr>
          <w:rFonts w:ascii="Arial" w:hAnsi="Arial" w:cs="Arial"/>
          <w:sz w:val="24"/>
          <w:szCs w:val="24"/>
        </w:rPr>
        <w:t>Recent Cabinet guidance on the Treaty and how it should be used to inform Government legislative and policy drafting;</w:t>
      </w:r>
    </w:p>
    <w:p w14:paraId="42BEEDFC" w14:textId="5DB0A21D" w:rsidR="00436BA1" w:rsidRDefault="00333FC4" w:rsidP="00AB20F3">
      <w:pPr>
        <w:pStyle w:val="NoSpacing"/>
        <w:numPr>
          <w:ilvl w:val="1"/>
          <w:numId w:val="6"/>
        </w:numPr>
        <w:spacing w:line="360" w:lineRule="auto"/>
        <w:ind w:left="1701" w:hanging="567"/>
        <w:rPr>
          <w:rFonts w:ascii="Arial" w:hAnsi="Arial" w:cs="Arial"/>
          <w:sz w:val="24"/>
          <w:szCs w:val="24"/>
        </w:rPr>
      </w:pPr>
      <w:r>
        <w:rPr>
          <w:rFonts w:ascii="Arial" w:hAnsi="Arial" w:cs="Arial"/>
          <w:sz w:val="24"/>
          <w:szCs w:val="24"/>
        </w:rPr>
        <w:lastRenderedPageBreak/>
        <w:t xml:space="preserve">An example considering how The Waitangi Tribunal expected Treaty principles to be applied within public sector frameworks, set out in </w:t>
      </w:r>
      <w:r w:rsidR="00436BA1">
        <w:rPr>
          <w:rFonts w:ascii="Arial" w:hAnsi="Arial" w:cs="Arial"/>
          <w:sz w:val="24"/>
          <w:szCs w:val="24"/>
        </w:rPr>
        <w:t xml:space="preserve">the </w:t>
      </w:r>
      <w:r w:rsidR="00436BA1">
        <w:rPr>
          <w:rFonts w:ascii="Arial" w:hAnsi="Arial" w:cs="Arial"/>
          <w:i/>
          <w:iCs/>
          <w:sz w:val="24"/>
          <w:szCs w:val="24"/>
        </w:rPr>
        <w:t>Hauora Report</w:t>
      </w:r>
      <w:r w:rsidR="00436BA1">
        <w:rPr>
          <w:rFonts w:ascii="Arial" w:hAnsi="Arial" w:cs="Arial"/>
          <w:sz w:val="24"/>
          <w:szCs w:val="24"/>
        </w:rPr>
        <w:t>;</w:t>
      </w:r>
      <w:r w:rsidR="00436BA1" w:rsidRPr="009846CA">
        <w:rPr>
          <w:rStyle w:val="FootnoteReference"/>
          <w:rFonts w:ascii="Arial" w:hAnsi="Arial" w:cs="Arial"/>
          <w:sz w:val="24"/>
          <w:szCs w:val="24"/>
        </w:rPr>
        <w:footnoteReference w:id="3"/>
      </w:r>
      <w:r w:rsidR="00436BA1">
        <w:rPr>
          <w:rFonts w:ascii="Arial" w:hAnsi="Arial" w:cs="Arial"/>
          <w:sz w:val="24"/>
          <w:szCs w:val="24"/>
        </w:rPr>
        <w:t xml:space="preserve"> </w:t>
      </w:r>
    </w:p>
    <w:p w14:paraId="31BCBB7B" w14:textId="683F40D9" w:rsidR="00436BA1" w:rsidRDefault="00AA55FE" w:rsidP="00AB20F3">
      <w:pPr>
        <w:pStyle w:val="NoSpacing"/>
        <w:numPr>
          <w:ilvl w:val="1"/>
          <w:numId w:val="6"/>
        </w:numPr>
        <w:spacing w:line="360" w:lineRule="auto"/>
        <w:ind w:left="1701" w:hanging="567"/>
        <w:rPr>
          <w:rFonts w:ascii="Arial" w:hAnsi="Arial" w:cs="Arial"/>
          <w:sz w:val="24"/>
          <w:szCs w:val="24"/>
        </w:rPr>
      </w:pPr>
      <w:r>
        <w:rPr>
          <w:rFonts w:ascii="Arial" w:hAnsi="Arial" w:cs="Arial"/>
          <w:sz w:val="24"/>
          <w:szCs w:val="24"/>
        </w:rPr>
        <w:t xml:space="preserve">An example </w:t>
      </w:r>
      <w:r w:rsidR="00436BA1">
        <w:rPr>
          <w:rFonts w:ascii="Arial" w:hAnsi="Arial" w:cs="Arial"/>
          <w:sz w:val="24"/>
          <w:szCs w:val="24"/>
        </w:rPr>
        <w:t>of consultation methodologies</w:t>
      </w:r>
      <w:r w:rsidR="00436BA1" w:rsidRPr="0018683D">
        <w:rPr>
          <w:rFonts w:ascii="Arial" w:hAnsi="Arial" w:cs="Arial"/>
          <w:sz w:val="24"/>
          <w:szCs w:val="24"/>
        </w:rPr>
        <w:t xml:space="preserve"> </w:t>
      </w:r>
      <w:r>
        <w:rPr>
          <w:rFonts w:ascii="Arial" w:hAnsi="Arial" w:cs="Arial"/>
          <w:sz w:val="24"/>
          <w:szCs w:val="24"/>
          <w:lang w:val="en-US"/>
        </w:rPr>
        <w:t xml:space="preserve">outlined in </w:t>
      </w:r>
      <w:r w:rsidR="00436BA1" w:rsidRPr="0018683D">
        <w:rPr>
          <w:rFonts w:ascii="Arial" w:hAnsi="Arial" w:cs="Arial"/>
          <w:sz w:val="24"/>
          <w:szCs w:val="24"/>
        </w:rPr>
        <w:t xml:space="preserve">publicly available materials within the </w:t>
      </w:r>
      <w:r w:rsidR="00436BA1">
        <w:rPr>
          <w:rFonts w:ascii="Arial" w:hAnsi="Arial" w:cs="Arial"/>
          <w:sz w:val="24"/>
          <w:szCs w:val="24"/>
        </w:rPr>
        <w:t>welfare</w:t>
      </w:r>
      <w:r w:rsidR="00436BA1" w:rsidRPr="0018683D">
        <w:rPr>
          <w:rFonts w:ascii="Arial" w:hAnsi="Arial" w:cs="Arial"/>
          <w:sz w:val="24"/>
          <w:szCs w:val="24"/>
        </w:rPr>
        <w:t xml:space="preserve"> </w:t>
      </w:r>
      <w:r w:rsidR="00436BA1">
        <w:rPr>
          <w:rFonts w:ascii="Arial" w:hAnsi="Arial" w:cs="Arial"/>
          <w:sz w:val="24"/>
          <w:szCs w:val="24"/>
        </w:rPr>
        <w:t xml:space="preserve">and justice </w:t>
      </w:r>
      <w:r w:rsidR="00436BA1" w:rsidRPr="0018683D">
        <w:rPr>
          <w:rFonts w:ascii="Arial" w:hAnsi="Arial" w:cs="Arial"/>
          <w:sz w:val="24"/>
          <w:szCs w:val="24"/>
        </w:rPr>
        <w:t>sector</w:t>
      </w:r>
      <w:r w:rsidR="00436BA1">
        <w:rPr>
          <w:rFonts w:ascii="Arial" w:hAnsi="Arial" w:cs="Arial"/>
          <w:sz w:val="24"/>
          <w:szCs w:val="24"/>
        </w:rPr>
        <w:t xml:space="preserve">s, </w:t>
      </w:r>
      <w:r w:rsidR="00333FC4">
        <w:rPr>
          <w:rFonts w:ascii="Arial" w:hAnsi="Arial" w:cs="Arial"/>
          <w:sz w:val="24"/>
          <w:szCs w:val="24"/>
        </w:rPr>
        <w:t xml:space="preserve">outlined in </w:t>
      </w:r>
      <w:r w:rsidRPr="006B08F7">
        <w:rPr>
          <w:rFonts w:ascii="Arial" w:hAnsi="Arial" w:cs="Arial"/>
          <w:i/>
          <w:iCs/>
          <w:sz w:val="24"/>
          <w:szCs w:val="24"/>
        </w:rPr>
        <w:t>Puao-Te-Ata-Tu</w:t>
      </w:r>
      <w:r>
        <w:rPr>
          <w:rFonts w:ascii="Arial" w:hAnsi="Arial" w:cs="Arial"/>
          <w:sz w:val="24"/>
          <w:szCs w:val="24"/>
        </w:rPr>
        <w:t xml:space="preserve">. </w:t>
      </w:r>
    </w:p>
    <w:p w14:paraId="5DA7BE97" w14:textId="77777777" w:rsidR="000741E1" w:rsidRDefault="000741E1" w:rsidP="000741E1">
      <w:pPr>
        <w:pStyle w:val="NoSpacing"/>
        <w:spacing w:line="360" w:lineRule="auto"/>
        <w:ind w:left="1701"/>
        <w:rPr>
          <w:rFonts w:ascii="Arial" w:hAnsi="Arial" w:cs="Arial"/>
          <w:sz w:val="24"/>
          <w:szCs w:val="24"/>
        </w:rPr>
      </w:pPr>
    </w:p>
    <w:p w14:paraId="06911666" w14:textId="149A2D63" w:rsidR="0087415F" w:rsidRPr="0018683D" w:rsidRDefault="00D57B1B" w:rsidP="00121EE7">
      <w:pPr>
        <w:pStyle w:val="NoSpacing"/>
        <w:spacing w:line="360" w:lineRule="auto"/>
        <w:ind w:left="567"/>
        <w:rPr>
          <w:rFonts w:ascii="Arial" w:hAnsi="Arial" w:cs="Arial"/>
          <w:b/>
          <w:sz w:val="24"/>
          <w:szCs w:val="24"/>
        </w:rPr>
      </w:pPr>
      <w:r w:rsidRPr="0018683D">
        <w:rPr>
          <w:rFonts w:ascii="Arial" w:hAnsi="Arial" w:cs="Arial"/>
          <w:b/>
          <w:sz w:val="24"/>
          <w:szCs w:val="24"/>
        </w:rPr>
        <w:t xml:space="preserve">TREATY OF </w:t>
      </w:r>
      <w:r w:rsidRPr="0018683D">
        <w:rPr>
          <w:rFonts w:ascii="Arial" w:hAnsi="Arial" w:cs="Arial"/>
          <w:b/>
          <w:bCs/>
          <w:sz w:val="24"/>
          <w:szCs w:val="24"/>
        </w:rPr>
        <w:t>WAITANGI</w:t>
      </w:r>
      <w:r w:rsidRPr="0018683D">
        <w:rPr>
          <w:rFonts w:ascii="Arial" w:hAnsi="Arial" w:cs="Arial"/>
          <w:b/>
          <w:sz w:val="24"/>
          <w:szCs w:val="24"/>
        </w:rPr>
        <w:t xml:space="preserve"> </w:t>
      </w:r>
    </w:p>
    <w:p w14:paraId="4ABC6680" w14:textId="77777777" w:rsidR="0087415F" w:rsidRPr="0018683D" w:rsidRDefault="0087415F" w:rsidP="0095527E">
      <w:pPr>
        <w:pStyle w:val="Heading3"/>
        <w:spacing w:line="360" w:lineRule="auto"/>
        <w:ind w:left="1134"/>
        <w:rPr>
          <w:rFonts w:ascii="Arial" w:hAnsi="Arial" w:cs="Arial"/>
          <w:b/>
          <w:color w:val="auto"/>
          <w:lang w:val="en-NZ"/>
        </w:rPr>
      </w:pPr>
    </w:p>
    <w:p w14:paraId="3875BE62" w14:textId="56147955" w:rsidR="005C409F" w:rsidRPr="0018683D" w:rsidRDefault="00731318" w:rsidP="00AB20F3">
      <w:pPr>
        <w:pStyle w:val="Heading3"/>
        <w:numPr>
          <w:ilvl w:val="0"/>
          <w:numId w:val="13"/>
        </w:numPr>
        <w:spacing w:line="360" w:lineRule="auto"/>
        <w:rPr>
          <w:rFonts w:ascii="Arial" w:hAnsi="Arial" w:cs="Arial"/>
          <w:b/>
          <w:color w:val="auto"/>
          <w:lang w:val="en-NZ"/>
        </w:rPr>
      </w:pPr>
      <w:r w:rsidRPr="0018683D">
        <w:rPr>
          <w:rFonts w:ascii="Arial" w:hAnsi="Arial" w:cs="Arial"/>
          <w:b/>
          <w:color w:val="auto"/>
          <w:lang w:val="en-NZ"/>
        </w:rPr>
        <w:t>Summary of Contemporary Waitangi Tribunal and Case Law P</w:t>
      </w:r>
      <w:bookmarkStart w:id="0" w:name="_GoBack"/>
      <w:bookmarkEnd w:id="0"/>
      <w:r w:rsidRPr="0018683D">
        <w:rPr>
          <w:rFonts w:ascii="Arial" w:hAnsi="Arial" w:cs="Arial"/>
          <w:b/>
          <w:color w:val="auto"/>
          <w:lang w:val="en-NZ"/>
        </w:rPr>
        <w:t>rinciples</w:t>
      </w:r>
    </w:p>
    <w:p w14:paraId="51432D0D" w14:textId="2AAB0D03" w:rsidR="009E21DE" w:rsidRPr="0018683D" w:rsidRDefault="00173A4F" w:rsidP="0095527E">
      <w:pPr>
        <w:spacing w:line="360" w:lineRule="auto"/>
        <w:rPr>
          <w:rFonts w:ascii="Arial" w:eastAsia="Times New Roman" w:hAnsi="Arial" w:cs="Arial"/>
          <w:sz w:val="24"/>
          <w:szCs w:val="24"/>
          <w:lang w:eastAsia="en-NZ"/>
        </w:rPr>
      </w:pPr>
      <w:r w:rsidRPr="0018683D">
        <w:rPr>
          <w:rFonts w:ascii="Arial" w:hAnsi="Arial" w:cs="Arial"/>
          <w:sz w:val="24"/>
          <w:szCs w:val="24"/>
        </w:rPr>
        <w:tab/>
      </w:r>
    </w:p>
    <w:p w14:paraId="6D7119BA" w14:textId="495A73EC" w:rsidR="001F3CCE" w:rsidRPr="0018683D" w:rsidRDefault="00051192"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 Principle of</w:t>
      </w:r>
      <w:r w:rsidR="00D57B1B" w:rsidRPr="0018683D">
        <w:rPr>
          <w:rFonts w:ascii="Arial" w:eastAsia="Times New Roman" w:hAnsi="Arial" w:cs="Arial"/>
          <w:sz w:val="24"/>
          <w:szCs w:val="24"/>
          <w:lang w:eastAsia="en-NZ"/>
        </w:rPr>
        <w:t xml:space="preserve"> </w:t>
      </w:r>
      <w:r w:rsidRPr="0018683D">
        <w:rPr>
          <w:rFonts w:ascii="Arial" w:eastAsia="Times New Roman" w:hAnsi="Arial" w:cs="Arial"/>
          <w:sz w:val="24"/>
          <w:szCs w:val="24"/>
          <w:lang w:eastAsia="en-NZ"/>
        </w:rPr>
        <w:t>Partnership</w:t>
      </w:r>
    </w:p>
    <w:p w14:paraId="52DA5A1C" w14:textId="77777777" w:rsidR="0007076C" w:rsidRPr="0018683D" w:rsidRDefault="0007076C" w:rsidP="0095527E">
      <w:pPr>
        <w:pStyle w:val="ListParagraph"/>
        <w:spacing w:after="0" w:line="360" w:lineRule="auto"/>
        <w:ind w:left="1647"/>
        <w:rPr>
          <w:rFonts w:ascii="Arial" w:eastAsia="Times New Roman" w:hAnsi="Arial" w:cs="Arial"/>
          <w:sz w:val="24"/>
          <w:szCs w:val="24"/>
          <w:lang w:eastAsia="en-NZ"/>
        </w:rPr>
      </w:pPr>
    </w:p>
    <w:p w14:paraId="362B6361" w14:textId="59F62445" w:rsidR="00E34D43" w:rsidRPr="0018683D" w:rsidRDefault="00E34D43"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An obligation ‘to act towards each other reasonably and with the utmost good faith’</w:t>
      </w:r>
      <w:r w:rsidRPr="0018683D">
        <w:rPr>
          <w:rStyle w:val="FootnoteReference"/>
          <w:rFonts w:ascii="Arial" w:eastAsia="Times New Roman" w:hAnsi="Arial" w:cs="Arial"/>
          <w:sz w:val="24"/>
          <w:szCs w:val="24"/>
          <w:lang w:eastAsia="en-NZ"/>
        </w:rPr>
        <w:footnoteReference w:id="4"/>
      </w:r>
    </w:p>
    <w:p w14:paraId="616C657E" w14:textId="77777777" w:rsidR="0007076C" w:rsidRPr="0018683D" w:rsidRDefault="0007076C" w:rsidP="0095527E">
      <w:pPr>
        <w:pStyle w:val="ListParagraph"/>
        <w:spacing w:after="0" w:line="360" w:lineRule="auto"/>
        <w:ind w:left="1701"/>
        <w:rPr>
          <w:rFonts w:ascii="Arial" w:eastAsia="Times New Roman" w:hAnsi="Arial" w:cs="Arial"/>
          <w:sz w:val="24"/>
          <w:szCs w:val="24"/>
          <w:lang w:eastAsia="en-NZ"/>
        </w:rPr>
      </w:pPr>
    </w:p>
    <w:p w14:paraId="2E1DF5BC" w14:textId="4B35939A" w:rsidR="00E34D43" w:rsidRPr="0018683D" w:rsidRDefault="00E34D43"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‘a relationship where one party is not subordinate to the other but where each must respect the other’s status and authority in all walks of life’</w:t>
      </w:r>
      <w:r w:rsidRPr="0018683D">
        <w:rPr>
          <w:rStyle w:val="FootnoteReference"/>
          <w:rFonts w:ascii="Arial" w:eastAsia="Times New Roman" w:hAnsi="Arial" w:cs="Arial"/>
          <w:sz w:val="24"/>
          <w:szCs w:val="24"/>
          <w:lang w:eastAsia="en-NZ"/>
        </w:rPr>
        <w:footnoteReference w:id="5"/>
      </w:r>
    </w:p>
    <w:p w14:paraId="0CC8C150" w14:textId="77777777" w:rsidR="0007076C" w:rsidRPr="0018683D" w:rsidRDefault="0007076C" w:rsidP="0095527E">
      <w:pPr>
        <w:pStyle w:val="ListParagraph"/>
        <w:spacing w:after="0" w:line="360" w:lineRule="auto"/>
        <w:ind w:left="1701"/>
        <w:rPr>
          <w:rFonts w:ascii="Arial" w:eastAsia="Times New Roman" w:hAnsi="Arial" w:cs="Arial"/>
          <w:sz w:val="24"/>
          <w:szCs w:val="24"/>
          <w:lang w:eastAsia="en-NZ"/>
        </w:rPr>
      </w:pPr>
    </w:p>
    <w:p w14:paraId="7E21385E" w14:textId="167E77DB" w:rsidR="00E34D43" w:rsidRPr="0018683D" w:rsidRDefault="00E34D43"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fundamental exchange of </w:t>
      </w:r>
      <w:proofErr w:type="spellStart"/>
      <w:r w:rsidRPr="0018683D">
        <w:rPr>
          <w:rFonts w:ascii="Arial" w:eastAsia="Times New Roman" w:hAnsi="Arial" w:cs="Arial"/>
          <w:sz w:val="24"/>
          <w:szCs w:val="24"/>
          <w:lang w:eastAsia="en-NZ"/>
        </w:rPr>
        <w:t>kāwanatanga</w:t>
      </w:r>
      <w:proofErr w:type="spellEnd"/>
      <w:r w:rsidRPr="0018683D">
        <w:rPr>
          <w:rFonts w:ascii="Arial" w:eastAsia="Times New Roman" w:hAnsi="Arial" w:cs="Arial"/>
          <w:sz w:val="24"/>
          <w:szCs w:val="24"/>
          <w:lang w:eastAsia="en-NZ"/>
        </w:rPr>
        <w:t xml:space="preserve">, the right of the Crown to govern and make laws for the country, in exchange for the right of Māori to exercise </w:t>
      </w:r>
      <w:proofErr w:type="spellStart"/>
      <w:r w:rsidRPr="0018683D">
        <w:rPr>
          <w:rFonts w:ascii="Arial" w:eastAsia="Times New Roman" w:hAnsi="Arial" w:cs="Arial"/>
          <w:sz w:val="24"/>
          <w:szCs w:val="24"/>
          <w:lang w:eastAsia="en-NZ"/>
        </w:rPr>
        <w:t>tino</w:t>
      </w:r>
      <w:proofErr w:type="spellEnd"/>
      <w:r w:rsidRPr="0018683D">
        <w:rPr>
          <w:rFonts w:ascii="Arial" w:eastAsia="Times New Roman" w:hAnsi="Arial" w:cs="Arial"/>
          <w:sz w:val="24"/>
          <w:szCs w:val="24"/>
          <w:lang w:eastAsia="en-NZ"/>
        </w:rPr>
        <w:t xml:space="preserve"> rangatiratanga over their land, resources, and people. The Crown’s right of </w:t>
      </w:r>
      <w:proofErr w:type="spellStart"/>
      <w:r w:rsidRPr="0018683D">
        <w:rPr>
          <w:rFonts w:ascii="Arial" w:eastAsia="Times New Roman" w:hAnsi="Arial" w:cs="Arial"/>
          <w:sz w:val="24"/>
          <w:szCs w:val="24"/>
          <w:lang w:eastAsia="en-NZ"/>
        </w:rPr>
        <w:t>kāwanatanga</w:t>
      </w:r>
      <w:proofErr w:type="spellEnd"/>
      <w:r w:rsidRPr="0018683D">
        <w:rPr>
          <w:rFonts w:ascii="Arial" w:eastAsia="Times New Roman" w:hAnsi="Arial" w:cs="Arial"/>
          <w:sz w:val="24"/>
          <w:szCs w:val="24"/>
          <w:lang w:eastAsia="en-NZ"/>
        </w:rPr>
        <w:t xml:space="preserve"> is not unfettered. The guarantee of </w:t>
      </w:r>
      <w:proofErr w:type="spellStart"/>
      <w:r w:rsidRPr="0018683D">
        <w:rPr>
          <w:rFonts w:ascii="Arial" w:eastAsia="Times New Roman" w:hAnsi="Arial" w:cs="Arial"/>
          <w:sz w:val="24"/>
          <w:szCs w:val="24"/>
          <w:lang w:eastAsia="en-NZ"/>
        </w:rPr>
        <w:t>tino</w:t>
      </w:r>
      <w:proofErr w:type="spellEnd"/>
      <w:r w:rsidRPr="0018683D">
        <w:rPr>
          <w:rFonts w:ascii="Arial" w:eastAsia="Times New Roman" w:hAnsi="Arial" w:cs="Arial"/>
          <w:sz w:val="24"/>
          <w:szCs w:val="24"/>
          <w:lang w:eastAsia="en-NZ"/>
        </w:rPr>
        <w:t xml:space="preserve"> rangatiratanga requires the Crown to acknowledge Māori control over their tikanga, resources, and people and to allow Māori to manage their own affairs in a way that aligns with their customs and values.</w:t>
      </w:r>
      <w:r w:rsidRPr="0018683D">
        <w:rPr>
          <w:rStyle w:val="FootnoteReference"/>
          <w:rFonts w:ascii="Arial" w:eastAsia="Times New Roman" w:hAnsi="Arial" w:cs="Arial"/>
          <w:sz w:val="24"/>
          <w:szCs w:val="24"/>
          <w:lang w:eastAsia="en-NZ"/>
        </w:rPr>
        <w:footnoteReference w:id="6"/>
      </w:r>
    </w:p>
    <w:p w14:paraId="5B9E0115" w14:textId="77777777" w:rsidR="0007076C" w:rsidRPr="0018683D" w:rsidRDefault="0007076C" w:rsidP="0095527E">
      <w:pPr>
        <w:pStyle w:val="ListParagraph"/>
        <w:spacing w:after="0" w:line="360" w:lineRule="auto"/>
        <w:ind w:left="1701"/>
        <w:rPr>
          <w:rFonts w:ascii="Arial" w:eastAsia="Times New Roman" w:hAnsi="Arial" w:cs="Arial"/>
          <w:sz w:val="24"/>
          <w:szCs w:val="24"/>
          <w:lang w:eastAsia="en-NZ"/>
        </w:rPr>
      </w:pPr>
    </w:p>
    <w:p w14:paraId="56424FC1" w14:textId="0CACC8BF" w:rsidR="00E34D43" w:rsidRPr="0018683D" w:rsidRDefault="00E34D43"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lastRenderedPageBreak/>
        <w:t>Due to the power imbalance between the Crown and Māori, while neither rangatiratanga nor the right to govern is absolute, it is the Crown’s Treaty responsibility to ensure that Māori are not disadvantaged in that relationship.</w:t>
      </w:r>
      <w:r w:rsidRPr="0018683D">
        <w:rPr>
          <w:rStyle w:val="FootnoteReference"/>
          <w:rFonts w:ascii="Arial" w:eastAsia="Times New Roman" w:hAnsi="Arial" w:cs="Arial"/>
          <w:sz w:val="24"/>
          <w:szCs w:val="24"/>
          <w:lang w:eastAsia="en-NZ"/>
        </w:rPr>
        <w:footnoteReference w:id="7"/>
      </w:r>
    </w:p>
    <w:p w14:paraId="23CB0252" w14:textId="77777777" w:rsidR="0007076C" w:rsidRPr="0018683D" w:rsidRDefault="0007076C" w:rsidP="0095527E">
      <w:pPr>
        <w:pStyle w:val="ListParagraph"/>
        <w:spacing w:after="0" w:line="360" w:lineRule="auto"/>
        <w:ind w:left="1701"/>
        <w:rPr>
          <w:rFonts w:ascii="Arial" w:eastAsia="Times New Roman" w:hAnsi="Arial" w:cs="Arial"/>
          <w:sz w:val="24"/>
          <w:szCs w:val="24"/>
          <w:lang w:eastAsia="en-NZ"/>
        </w:rPr>
      </w:pPr>
    </w:p>
    <w:p w14:paraId="4E5FBAD3" w14:textId="579C5739" w:rsidR="002B2DEE" w:rsidRPr="0018683D" w:rsidRDefault="002B2DEE"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Māori retain the right to choose how they organise themselves and how or through what organisations they express their </w:t>
      </w:r>
      <w:proofErr w:type="spellStart"/>
      <w:r w:rsidRPr="0018683D">
        <w:rPr>
          <w:rFonts w:ascii="Arial" w:eastAsia="Times New Roman" w:hAnsi="Arial" w:cs="Arial"/>
          <w:sz w:val="24"/>
          <w:szCs w:val="24"/>
          <w:lang w:eastAsia="en-NZ"/>
        </w:rPr>
        <w:t>tino</w:t>
      </w:r>
      <w:proofErr w:type="spellEnd"/>
      <w:r w:rsidRPr="0018683D">
        <w:rPr>
          <w:rFonts w:ascii="Arial" w:eastAsia="Times New Roman" w:hAnsi="Arial" w:cs="Arial"/>
          <w:sz w:val="24"/>
          <w:szCs w:val="24"/>
          <w:lang w:eastAsia="en-NZ"/>
        </w:rPr>
        <w:t xml:space="preserve"> rangatiratanga, and the Crown needs to be willing to work through the structures Māori prefer in the circumstances, whether through iwi, </w:t>
      </w:r>
      <w:proofErr w:type="spellStart"/>
      <w:r w:rsidRPr="0018683D">
        <w:rPr>
          <w:rFonts w:ascii="Arial" w:eastAsia="Times New Roman" w:hAnsi="Arial" w:cs="Arial"/>
          <w:sz w:val="24"/>
          <w:szCs w:val="24"/>
          <w:lang w:eastAsia="en-NZ"/>
        </w:rPr>
        <w:t>hapū</w:t>
      </w:r>
      <w:proofErr w:type="spellEnd"/>
      <w:r w:rsidRPr="0018683D">
        <w:rPr>
          <w:rFonts w:ascii="Arial" w:eastAsia="Times New Roman" w:hAnsi="Arial" w:cs="Arial"/>
          <w:sz w:val="24"/>
          <w:szCs w:val="24"/>
          <w:lang w:eastAsia="en-NZ"/>
        </w:rPr>
        <w:t xml:space="preserve">, and </w:t>
      </w:r>
      <w:proofErr w:type="spellStart"/>
      <w:r w:rsidRPr="0018683D">
        <w:rPr>
          <w:rFonts w:ascii="Arial" w:eastAsia="Times New Roman" w:hAnsi="Arial" w:cs="Arial"/>
          <w:sz w:val="24"/>
          <w:szCs w:val="24"/>
          <w:lang w:eastAsia="en-NZ"/>
        </w:rPr>
        <w:t>whānau</w:t>
      </w:r>
      <w:proofErr w:type="spellEnd"/>
      <w:r w:rsidRPr="0018683D">
        <w:rPr>
          <w:rFonts w:ascii="Arial" w:eastAsia="Times New Roman" w:hAnsi="Arial" w:cs="Arial"/>
          <w:sz w:val="24"/>
          <w:szCs w:val="24"/>
          <w:lang w:eastAsia="en-NZ"/>
        </w:rPr>
        <w:t xml:space="preserve"> or any other organisation.</w:t>
      </w:r>
      <w:r w:rsidRPr="0018683D">
        <w:rPr>
          <w:rStyle w:val="FootnoteReference"/>
          <w:rFonts w:ascii="Arial" w:eastAsia="Times New Roman" w:hAnsi="Arial" w:cs="Arial"/>
          <w:sz w:val="24"/>
          <w:szCs w:val="24"/>
          <w:lang w:eastAsia="en-NZ"/>
        </w:rPr>
        <w:footnoteReference w:id="8"/>
      </w:r>
    </w:p>
    <w:p w14:paraId="2482DBC1" w14:textId="77777777" w:rsidR="0007076C" w:rsidRPr="0018683D" w:rsidRDefault="0007076C" w:rsidP="0095527E">
      <w:pPr>
        <w:pStyle w:val="ListParagraph"/>
        <w:spacing w:after="0" w:line="360" w:lineRule="auto"/>
        <w:ind w:left="1701"/>
        <w:rPr>
          <w:rFonts w:ascii="Arial" w:eastAsia="Times New Roman" w:hAnsi="Arial" w:cs="Arial"/>
          <w:sz w:val="24"/>
          <w:szCs w:val="24"/>
          <w:lang w:eastAsia="en-NZ"/>
        </w:rPr>
      </w:pPr>
    </w:p>
    <w:p w14:paraId="0DB465F1" w14:textId="05849A47" w:rsidR="002B2DEE" w:rsidRPr="0018683D" w:rsidRDefault="002B2DEE"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requirement for </w:t>
      </w:r>
      <w:r w:rsidR="00A9610E" w:rsidRPr="0018683D">
        <w:rPr>
          <w:rFonts w:ascii="Arial" w:eastAsia="Times New Roman" w:hAnsi="Arial" w:cs="Arial"/>
          <w:sz w:val="24"/>
          <w:szCs w:val="24"/>
          <w:lang w:eastAsia="en-NZ"/>
        </w:rPr>
        <w:t xml:space="preserve">the </w:t>
      </w:r>
      <w:r w:rsidRPr="0018683D">
        <w:rPr>
          <w:rFonts w:ascii="Arial" w:eastAsia="Times New Roman" w:hAnsi="Arial" w:cs="Arial"/>
          <w:sz w:val="24"/>
          <w:szCs w:val="24"/>
          <w:lang w:eastAsia="en-NZ"/>
        </w:rPr>
        <w:t>Crown to partner with Māori is especially relevant when Māori are expressly seeking a role in the process of policy-making and this is heightened when inequities in outcomes exist.</w:t>
      </w:r>
      <w:r w:rsidRPr="0018683D">
        <w:rPr>
          <w:rStyle w:val="FootnoteReference"/>
          <w:rFonts w:ascii="Arial" w:eastAsia="Times New Roman" w:hAnsi="Arial" w:cs="Arial"/>
          <w:sz w:val="24"/>
          <w:szCs w:val="24"/>
          <w:lang w:eastAsia="en-NZ"/>
        </w:rPr>
        <w:footnoteReference w:id="9"/>
      </w:r>
    </w:p>
    <w:p w14:paraId="529F64A6" w14:textId="77777777" w:rsidR="0007076C" w:rsidRPr="0018683D" w:rsidRDefault="0007076C" w:rsidP="0095527E">
      <w:pPr>
        <w:pStyle w:val="ListParagraph"/>
        <w:spacing w:after="0" w:line="360" w:lineRule="auto"/>
        <w:ind w:left="1701"/>
        <w:rPr>
          <w:rFonts w:ascii="Arial" w:eastAsia="Times New Roman" w:hAnsi="Arial" w:cs="Arial"/>
          <w:sz w:val="24"/>
          <w:szCs w:val="24"/>
          <w:lang w:eastAsia="en-NZ"/>
        </w:rPr>
      </w:pPr>
    </w:p>
    <w:p w14:paraId="3AE7B867" w14:textId="2C56A012" w:rsidR="002B2DEE" w:rsidRDefault="002B2DEE"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It is important to consistently evaluate a practical arrangement or framework originally intended to implement partnership as it can fail to be effective after time</w:t>
      </w:r>
      <w:r w:rsidR="00C001B0" w:rsidRPr="0018683D">
        <w:rPr>
          <w:rFonts w:ascii="Arial" w:eastAsia="Times New Roman" w:hAnsi="Arial" w:cs="Arial"/>
          <w:sz w:val="24"/>
          <w:szCs w:val="24"/>
          <w:lang w:eastAsia="en-NZ"/>
        </w:rPr>
        <w:t>,</w:t>
      </w:r>
      <w:r w:rsidRPr="0018683D">
        <w:rPr>
          <w:rFonts w:ascii="Arial" w:eastAsia="Times New Roman" w:hAnsi="Arial" w:cs="Arial"/>
          <w:sz w:val="24"/>
          <w:szCs w:val="24"/>
          <w:lang w:eastAsia="en-NZ"/>
        </w:rPr>
        <w:t xml:space="preserve"> which may constitute a breach.</w:t>
      </w:r>
      <w:r w:rsidRPr="0018683D">
        <w:rPr>
          <w:rStyle w:val="FootnoteReference"/>
          <w:rFonts w:ascii="Arial" w:eastAsia="Times New Roman" w:hAnsi="Arial" w:cs="Arial"/>
          <w:sz w:val="24"/>
          <w:szCs w:val="24"/>
          <w:lang w:eastAsia="en-NZ"/>
        </w:rPr>
        <w:footnoteReference w:id="10"/>
      </w:r>
      <w:r w:rsidRPr="0018683D">
        <w:rPr>
          <w:rFonts w:ascii="Arial" w:eastAsia="Times New Roman" w:hAnsi="Arial" w:cs="Arial"/>
          <w:sz w:val="24"/>
          <w:szCs w:val="24"/>
          <w:lang w:eastAsia="en-NZ"/>
        </w:rPr>
        <w:t xml:space="preserve"> </w:t>
      </w:r>
    </w:p>
    <w:p w14:paraId="12A0D3EF" w14:textId="77777777" w:rsidR="00154D74" w:rsidRPr="00154D74" w:rsidRDefault="00154D74" w:rsidP="00154D74">
      <w:pPr>
        <w:pStyle w:val="ListParagraph"/>
        <w:rPr>
          <w:rFonts w:ascii="Arial" w:eastAsia="Times New Roman" w:hAnsi="Arial" w:cs="Arial"/>
          <w:sz w:val="24"/>
          <w:szCs w:val="24"/>
          <w:lang w:eastAsia="en-NZ"/>
        </w:rPr>
      </w:pPr>
    </w:p>
    <w:p w14:paraId="1247A33D" w14:textId="1D1334B2" w:rsidR="00154D74" w:rsidRDefault="00154D74"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t>Where consultation with Māori is inadequate, this may constitute a breach of the principle of partnership.</w:t>
      </w:r>
      <w:r>
        <w:rPr>
          <w:rStyle w:val="FootnoteReference"/>
          <w:rFonts w:ascii="Arial" w:eastAsia="Times New Roman" w:hAnsi="Arial" w:cs="Arial"/>
          <w:sz w:val="24"/>
          <w:szCs w:val="24"/>
          <w:lang w:eastAsia="en-NZ"/>
        </w:rPr>
        <w:footnoteReference w:id="11"/>
      </w:r>
    </w:p>
    <w:p w14:paraId="08A38A80" w14:textId="19E99DB9" w:rsidR="000E0090" w:rsidRDefault="000E0090" w:rsidP="00902565">
      <w:pPr>
        <w:pStyle w:val="ListParagraph"/>
        <w:ind w:left="1134"/>
        <w:rPr>
          <w:rFonts w:ascii="Arial" w:eastAsia="Times New Roman" w:hAnsi="Arial" w:cs="Arial"/>
          <w:sz w:val="24"/>
          <w:szCs w:val="24"/>
          <w:lang w:eastAsia="en-NZ"/>
        </w:rPr>
      </w:pPr>
    </w:p>
    <w:p w14:paraId="2E4F3A38" w14:textId="02311B7A" w:rsidR="000E0090" w:rsidRDefault="000E0090" w:rsidP="00AB20F3">
      <w:pPr>
        <w:pStyle w:val="ListParagraph"/>
        <w:numPr>
          <w:ilvl w:val="0"/>
          <w:numId w:val="1"/>
        </w:numPr>
        <w:ind w:left="1134" w:hanging="567"/>
        <w:rPr>
          <w:rFonts w:ascii="Arial" w:eastAsia="Times New Roman" w:hAnsi="Arial" w:cs="Arial"/>
          <w:sz w:val="24"/>
          <w:szCs w:val="24"/>
          <w:lang w:eastAsia="en-NZ"/>
        </w:rPr>
      </w:pPr>
      <w:r>
        <w:rPr>
          <w:rFonts w:ascii="Arial" w:eastAsia="Times New Roman" w:hAnsi="Arial" w:cs="Arial"/>
          <w:sz w:val="24"/>
          <w:szCs w:val="24"/>
          <w:lang w:eastAsia="en-NZ"/>
        </w:rPr>
        <w:t>The Principle of Autonomy</w:t>
      </w:r>
    </w:p>
    <w:p w14:paraId="30F7CD45" w14:textId="77777777" w:rsidR="000E0090" w:rsidRDefault="000E0090" w:rsidP="000E0090">
      <w:pPr>
        <w:pStyle w:val="ListParagraph"/>
        <w:ind w:left="1134"/>
        <w:rPr>
          <w:rFonts w:ascii="Arial" w:eastAsia="Times New Roman" w:hAnsi="Arial" w:cs="Arial"/>
          <w:sz w:val="24"/>
          <w:szCs w:val="24"/>
          <w:lang w:eastAsia="en-NZ"/>
        </w:rPr>
      </w:pPr>
    </w:p>
    <w:p w14:paraId="39014E99" w14:textId="1D4C6CCA" w:rsidR="000E0090" w:rsidRDefault="000E0090" w:rsidP="00AB20F3">
      <w:pPr>
        <w:pStyle w:val="ListParagraph"/>
        <w:numPr>
          <w:ilvl w:val="1"/>
          <w:numId w:val="1"/>
        </w:numPr>
        <w:spacing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t xml:space="preserve">As part of the mutual recognition </w:t>
      </w:r>
      <w:r w:rsidR="00BE17A0">
        <w:rPr>
          <w:rFonts w:ascii="Arial" w:eastAsia="Times New Roman" w:hAnsi="Arial" w:cs="Arial"/>
          <w:sz w:val="24"/>
          <w:szCs w:val="24"/>
          <w:lang w:eastAsia="en-NZ"/>
        </w:rPr>
        <w:t xml:space="preserve">of </w:t>
      </w:r>
      <w:proofErr w:type="spellStart"/>
      <w:r w:rsidR="00BE17A0">
        <w:rPr>
          <w:rFonts w:ascii="Arial" w:eastAsia="Times New Roman" w:hAnsi="Arial" w:cs="Arial"/>
          <w:sz w:val="24"/>
          <w:szCs w:val="24"/>
          <w:lang w:eastAsia="en-NZ"/>
        </w:rPr>
        <w:t>kawanatanga</w:t>
      </w:r>
      <w:proofErr w:type="spellEnd"/>
      <w:r w:rsidR="00BE17A0">
        <w:rPr>
          <w:rFonts w:ascii="Arial" w:eastAsia="Times New Roman" w:hAnsi="Arial" w:cs="Arial"/>
          <w:sz w:val="24"/>
          <w:szCs w:val="24"/>
          <w:lang w:eastAsia="en-NZ"/>
        </w:rPr>
        <w:t xml:space="preserve"> and </w:t>
      </w:r>
      <w:proofErr w:type="spellStart"/>
      <w:r w:rsidR="00BE17A0">
        <w:rPr>
          <w:rFonts w:ascii="Arial" w:eastAsia="Times New Roman" w:hAnsi="Arial" w:cs="Arial"/>
          <w:sz w:val="24"/>
          <w:szCs w:val="24"/>
          <w:lang w:eastAsia="en-NZ"/>
        </w:rPr>
        <w:t>tino</w:t>
      </w:r>
      <w:proofErr w:type="spellEnd"/>
      <w:r w:rsidR="00BE17A0">
        <w:rPr>
          <w:rFonts w:ascii="Arial" w:eastAsia="Times New Roman" w:hAnsi="Arial" w:cs="Arial"/>
          <w:sz w:val="24"/>
          <w:szCs w:val="24"/>
          <w:lang w:eastAsia="en-NZ"/>
        </w:rPr>
        <w:t xml:space="preserve"> rangatiratanga, the Crown guaranteed to protect Māori autonomy, which the </w:t>
      </w:r>
      <w:proofErr w:type="spellStart"/>
      <w:r w:rsidR="00BE17A0">
        <w:rPr>
          <w:rFonts w:ascii="Arial" w:eastAsia="Times New Roman" w:hAnsi="Arial" w:cs="Arial"/>
          <w:sz w:val="24"/>
          <w:szCs w:val="24"/>
          <w:lang w:eastAsia="en-NZ"/>
        </w:rPr>
        <w:t>Turanga</w:t>
      </w:r>
      <w:proofErr w:type="spellEnd"/>
      <w:r w:rsidR="00BE17A0">
        <w:rPr>
          <w:rFonts w:ascii="Arial" w:eastAsia="Times New Roman" w:hAnsi="Arial" w:cs="Arial"/>
          <w:sz w:val="24"/>
          <w:szCs w:val="24"/>
          <w:lang w:eastAsia="en-NZ"/>
        </w:rPr>
        <w:t xml:space="preserve"> Tribunal defined as ‘the ability of tribal </w:t>
      </w:r>
      <w:r w:rsidR="00BE17A0">
        <w:rPr>
          <w:rFonts w:ascii="Arial" w:eastAsia="Times New Roman" w:hAnsi="Arial" w:cs="Arial"/>
          <w:sz w:val="24"/>
          <w:szCs w:val="24"/>
          <w:lang w:eastAsia="en-NZ"/>
        </w:rPr>
        <w:lastRenderedPageBreak/>
        <w:t xml:space="preserve">communities to govern themselves as they had for centuries, to determine their own internal political, economic, and social rights and objectives, and to act collectively in accordance with those determinants. Inherent in Māori autonomy and </w:t>
      </w:r>
      <w:proofErr w:type="spellStart"/>
      <w:r w:rsidR="00BE17A0">
        <w:rPr>
          <w:rFonts w:ascii="Arial" w:eastAsia="Times New Roman" w:hAnsi="Arial" w:cs="Arial"/>
          <w:sz w:val="24"/>
          <w:szCs w:val="24"/>
          <w:lang w:eastAsia="en-NZ"/>
        </w:rPr>
        <w:t>tino</w:t>
      </w:r>
      <w:proofErr w:type="spellEnd"/>
      <w:r w:rsidR="00BE17A0">
        <w:rPr>
          <w:rFonts w:ascii="Arial" w:eastAsia="Times New Roman" w:hAnsi="Arial" w:cs="Arial"/>
          <w:sz w:val="24"/>
          <w:szCs w:val="24"/>
          <w:lang w:eastAsia="en-NZ"/>
        </w:rPr>
        <w:t xml:space="preserve"> rangatiratanga is the right to retain their own customary law and institutions and the right to determine their own decision makers and land entitlements.</w:t>
      </w:r>
      <w:r w:rsidR="00BE17A0">
        <w:rPr>
          <w:rStyle w:val="FootnoteReference"/>
          <w:rFonts w:ascii="Arial" w:eastAsia="Times New Roman" w:hAnsi="Arial" w:cs="Arial"/>
          <w:sz w:val="24"/>
          <w:szCs w:val="24"/>
          <w:lang w:eastAsia="en-NZ"/>
        </w:rPr>
        <w:footnoteReference w:id="12"/>
      </w:r>
    </w:p>
    <w:p w14:paraId="17F6517C" w14:textId="77777777" w:rsidR="00BE17A0" w:rsidRDefault="00BE17A0" w:rsidP="003E5943">
      <w:pPr>
        <w:pStyle w:val="ListParagraph"/>
        <w:ind w:left="1701" w:hanging="567"/>
        <w:rPr>
          <w:rFonts w:ascii="Arial" w:eastAsia="Times New Roman" w:hAnsi="Arial" w:cs="Arial"/>
          <w:sz w:val="24"/>
          <w:szCs w:val="24"/>
          <w:lang w:eastAsia="en-NZ"/>
        </w:rPr>
      </w:pPr>
    </w:p>
    <w:p w14:paraId="68B26505" w14:textId="2D203F07" w:rsidR="000E0090" w:rsidRDefault="00BE17A0" w:rsidP="00AB20F3">
      <w:pPr>
        <w:pStyle w:val="ListParagraph"/>
        <w:numPr>
          <w:ilvl w:val="0"/>
          <w:numId w:val="1"/>
        </w:numPr>
        <w:ind w:left="1134" w:hanging="567"/>
        <w:rPr>
          <w:rFonts w:ascii="Arial" w:eastAsia="Times New Roman" w:hAnsi="Arial" w:cs="Arial"/>
          <w:sz w:val="24"/>
          <w:szCs w:val="24"/>
          <w:lang w:eastAsia="en-NZ"/>
        </w:rPr>
      </w:pPr>
      <w:r>
        <w:rPr>
          <w:rFonts w:ascii="Arial" w:eastAsia="Times New Roman" w:hAnsi="Arial" w:cs="Arial"/>
          <w:sz w:val="24"/>
          <w:szCs w:val="24"/>
          <w:lang w:eastAsia="en-NZ"/>
        </w:rPr>
        <w:t xml:space="preserve">The Principle of Reciprocity </w:t>
      </w:r>
    </w:p>
    <w:p w14:paraId="491EC064" w14:textId="77777777" w:rsidR="00BE17A0" w:rsidRDefault="00BE17A0" w:rsidP="00BE17A0">
      <w:pPr>
        <w:pStyle w:val="ListParagraph"/>
        <w:ind w:left="1134"/>
        <w:rPr>
          <w:rFonts w:ascii="Arial" w:eastAsia="Times New Roman" w:hAnsi="Arial" w:cs="Arial"/>
          <w:sz w:val="24"/>
          <w:szCs w:val="24"/>
          <w:lang w:eastAsia="en-NZ"/>
        </w:rPr>
      </w:pPr>
    </w:p>
    <w:p w14:paraId="074CECAC" w14:textId="23E7CF6B" w:rsidR="00BE17A0" w:rsidRDefault="003D5D8A" w:rsidP="00AB20F3">
      <w:pPr>
        <w:pStyle w:val="ListParagraph"/>
        <w:numPr>
          <w:ilvl w:val="1"/>
          <w:numId w:val="1"/>
        </w:numPr>
        <w:spacing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t xml:space="preserve">Above all, the partnership is a reciprocal one, involving fundamental exchanges for mutual advantage and benefits. Māori ceded </w:t>
      </w:r>
      <w:proofErr w:type="spellStart"/>
      <w:r>
        <w:rPr>
          <w:rFonts w:ascii="Arial" w:eastAsia="Times New Roman" w:hAnsi="Arial" w:cs="Arial"/>
          <w:sz w:val="24"/>
          <w:szCs w:val="24"/>
          <w:lang w:eastAsia="en-NZ"/>
        </w:rPr>
        <w:t>kawanatanga</w:t>
      </w:r>
      <w:proofErr w:type="spellEnd"/>
      <w:r>
        <w:rPr>
          <w:rFonts w:ascii="Arial" w:eastAsia="Times New Roman" w:hAnsi="Arial" w:cs="Arial"/>
          <w:sz w:val="24"/>
          <w:szCs w:val="24"/>
          <w:lang w:eastAsia="en-NZ"/>
        </w:rPr>
        <w:t xml:space="preserve"> (governance) of the country in return for a guarantee that their </w:t>
      </w:r>
      <w:proofErr w:type="spellStart"/>
      <w:r>
        <w:rPr>
          <w:rFonts w:ascii="Arial" w:eastAsia="Times New Roman" w:hAnsi="Arial" w:cs="Arial"/>
          <w:sz w:val="24"/>
          <w:szCs w:val="24"/>
          <w:lang w:eastAsia="en-NZ"/>
        </w:rPr>
        <w:t>tino</w:t>
      </w:r>
      <w:proofErr w:type="spellEnd"/>
      <w:r>
        <w:rPr>
          <w:rFonts w:ascii="Arial" w:eastAsia="Times New Roman" w:hAnsi="Arial" w:cs="Arial"/>
          <w:sz w:val="24"/>
          <w:szCs w:val="24"/>
          <w:lang w:eastAsia="en-NZ"/>
        </w:rPr>
        <w:t xml:space="preserve"> rangatiratanga (full authority) over their land, people and taonga would be protected. Māori also ceded the right of pre-emption over their lands on the basis that this would be exercised in a protective manner and in their own interests, so that the settlement of the country could proceed in a fair and mutually advantageous manner.</w:t>
      </w:r>
      <w:r>
        <w:rPr>
          <w:rStyle w:val="FootnoteReference"/>
          <w:rFonts w:ascii="Arial" w:eastAsia="Times New Roman" w:hAnsi="Arial" w:cs="Arial"/>
          <w:sz w:val="24"/>
          <w:szCs w:val="24"/>
          <w:lang w:eastAsia="en-NZ"/>
        </w:rPr>
        <w:footnoteReference w:id="13"/>
      </w:r>
    </w:p>
    <w:p w14:paraId="7D6CFFF4" w14:textId="39E77B39" w:rsidR="00BE17A0" w:rsidRDefault="00BE17A0" w:rsidP="003E5943">
      <w:pPr>
        <w:pStyle w:val="ListParagraph"/>
        <w:ind w:left="1701" w:hanging="567"/>
        <w:rPr>
          <w:rFonts w:ascii="Arial" w:eastAsia="Times New Roman" w:hAnsi="Arial" w:cs="Arial"/>
          <w:sz w:val="24"/>
          <w:szCs w:val="24"/>
          <w:lang w:eastAsia="en-NZ"/>
        </w:rPr>
      </w:pPr>
    </w:p>
    <w:p w14:paraId="150D61EC" w14:textId="0505104E" w:rsidR="00051192" w:rsidRPr="008E2D53" w:rsidRDefault="00051192" w:rsidP="00AB20F3">
      <w:pPr>
        <w:pStyle w:val="ListParagraph"/>
        <w:numPr>
          <w:ilvl w:val="0"/>
          <w:numId w:val="1"/>
        </w:numPr>
        <w:ind w:left="1134" w:hanging="567"/>
        <w:rPr>
          <w:rFonts w:ascii="Arial" w:eastAsia="Times New Roman" w:hAnsi="Arial" w:cs="Arial"/>
          <w:sz w:val="24"/>
          <w:szCs w:val="24"/>
          <w:lang w:eastAsia="en-NZ"/>
        </w:rPr>
      </w:pPr>
      <w:r w:rsidRPr="008E2D53">
        <w:rPr>
          <w:rFonts w:ascii="Arial" w:eastAsia="Times New Roman" w:hAnsi="Arial" w:cs="Arial"/>
          <w:sz w:val="24"/>
          <w:szCs w:val="24"/>
          <w:lang w:eastAsia="en-NZ"/>
        </w:rPr>
        <w:t>The Principle of Active Protection</w:t>
      </w:r>
    </w:p>
    <w:p w14:paraId="380382A2" w14:textId="77777777" w:rsidR="0007076C" w:rsidRPr="0018683D" w:rsidRDefault="0007076C" w:rsidP="0095527E">
      <w:pPr>
        <w:pStyle w:val="ListParagraph"/>
        <w:spacing w:after="0" w:line="360" w:lineRule="auto"/>
        <w:ind w:left="1647"/>
        <w:rPr>
          <w:rFonts w:ascii="Arial" w:eastAsia="Times New Roman" w:hAnsi="Arial" w:cs="Arial"/>
          <w:sz w:val="24"/>
          <w:szCs w:val="24"/>
          <w:lang w:eastAsia="en-NZ"/>
        </w:rPr>
      </w:pPr>
    </w:p>
    <w:p w14:paraId="5F63B193" w14:textId="48D8F1C8" w:rsidR="00E34D43" w:rsidRPr="0018683D" w:rsidRDefault="00173A4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Arising from partnership discussed above, the Crown retains an obligat</w:t>
      </w:r>
      <w:r w:rsidR="00887554" w:rsidRPr="0018683D">
        <w:rPr>
          <w:rFonts w:ascii="Arial" w:eastAsia="Times New Roman" w:hAnsi="Arial" w:cs="Arial"/>
          <w:sz w:val="24"/>
          <w:szCs w:val="24"/>
          <w:lang w:eastAsia="en-NZ"/>
        </w:rPr>
        <w:t>i</w:t>
      </w:r>
      <w:r w:rsidRPr="0018683D">
        <w:rPr>
          <w:rFonts w:ascii="Arial" w:eastAsia="Times New Roman" w:hAnsi="Arial" w:cs="Arial"/>
          <w:sz w:val="24"/>
          <w:szCs w:val="24"/>
          <w:lang w:eastAsia="en-NZ"/>
        </w:rPr>
        <w:t xml:space="preserve">on to </w:t>
      </w:r>
      <w:r w:rsidR="008E2FA3" w:rsidRPr="0018683D">
        <w:rPr>
          <w:rFonts w:ascii="Arial" w:eastAsia="Times New Roman" w:hAnsi="Arial" w:cs="Arial"/>
          <w:sz w:val="24"/>
          <w:szCs w:val="24"/>
          <w:lang w:eastAsia="en-NZ"/>
        </w:rPr>
        <w:t xml:space="preserve">actively </w:t>
      </w:r>
      <w:r w:rsidRPr="0018683D">
        <w:rPr>
          <w:rFonts w:ascii="Arial" w:eastAsia="Times New Roman" w:hAnsi="Arial" w:cs="Arial"/>
          <w:sz w:val="24"/>
          <w:szCs w:val="24"/>
          <w:lang w:eastAsia="en-NZ"/>
        </w:rPr>
        <w:t xml:space="preserve">protect Māori </w:t>
      </w:r>
      <w:proofErr w:type="spellStart"/>
      <w:r w:rsidRPr="0018683D">
        <w:rPr>
          <w:rFonts w:ascii="Arial" w:eastAsia="Times New Roman" w:hAnsi="Arial" w:cs="Arial"/>
          <w:sz w:val="24"/>
          <w:szCs w:val="24"/>
          <w:lang w:eastAsia="en-NZ"/>
        </w:rPr>
        <w:t>tino</w:t>
      </w:r>
      <w:proofErr w:type="spellEnd"/>
      <w:r w:rsidRPr="0018683D">
        <w:rPr>
          <w:rFonts w:ascii="Arial" w:eastAsia="Times New Roman" w:hAnsi="Arial" w:cs="Arial"/>
          <w:sz w:val="24"/>
          <w:szCs w:val="24"/>
          <w:lang w:eastAsia="en-NZ"/>
        </w:rPr>
        <w:t xml:space="preserve"> rangatiratanga with the right to decision-making power over their affairs.</w:t>
      </w:r>
      <w:r w:rsidRPr="0018683D">
        <w:rPr>
          <w:rStyle w:val="FootnoteReference"/>
          <w:rFonts w:ascii="Arial" w:eastAsia="Times New Roman" w:hAnsi="Arial" w:cs="Arial"/>
          <w:sz w:val="24"/>
          <w:szCs w:val="24"/>
          <w:lang w:eastAsia="en-NZ"/>
        </w:rPr>
        <w:footnoteReference w:id="14"/>
      </w:r>
      <w:r w:rsidRPr="0018683D">
        <w:rPr>
          <w:rFonts w:ascii="Arial" w:eastAsia="Times New Roman" w:hAnsi="Arial" w:cs="Arial"/>
          <w:sz w:val="24"/>
          <w:szCs w:val="24"/>
          <w:lang w:eastAsia="en-NZ"/>
        </w:rPr>
        <w:t xml:space="preserve"> </w:t>
      </w:r>
    </w:p>
    <w:p w14:paraId="43E6D788" w14:textId="77777777" w:rsidR="008E2FA3" w:rsidRPr="0018683D" w:rsidRDefault="008E2FA3" w:rsidP="0095527E">
      <w:pPr>
        <w:pStyle w:val="ListParagraph"/>
        <w:spacing w:after="0" w:line="360" w:lineRule="auto"/>
        <w:ind w:left="1701"/>
        <w:rPr>
          <w:rFonts w:ascii="Arial" w:eastAsia="Times New Roman" w:hAnsi="Arial" w:cs="Arial"/>
          <w:sz w:val="24"/>
          <w:szCs w:val="24"/>
          <w:lang w:eastAsia="en-NZ"/>
        </w:rPr>
      </w:pPr>
    </w:p>
    <w:p w14:paraId="12F43726" w14:textId="4FC49722" w:rsidR="00173A4F" w:rsidRPr="0018683D" w:rsidRDefault="00173A4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This is not absolute and unqualified, and the Crown is not required to go beyond what is reasonable in the prevailing circumstances – what is reasonable will change depending on the circumstances at the time.</w:t>
      </w:r>
      <w:r w:rsidRPr="0018683D">
        <w:rPr>
          <w:rStyle w:val="FootnoteReference"/>
          <w:rFonts w:ascii="Arial" w:eastAsia="Times New Roman" w:hAnsi="Arial" w:cs="Arial"/>
          <w:sz w:val="24"/>
          <w:szCs w:val="24"/>
          <w:lang w:eastAsia="en-NZ"/>
        </w:rPr>
        <w:footnoteReference w:id="15"/>
      </w:r>
    </w:p>
    <w:p w14:paraId="2CEC118C" w14:textId="77777777" w:rsidR="006849FF" w:rsidRPr="0018683D" w:rsidRDefault="006849FF" w:rsidP="0095527E">
      <w:pPr>
        <w:pStyle w:val="ListParagraph"/>
        <w:spacing w:after="0" w:line="360" w:lineRule="auto"/>
        <w:ind w:left="1701"/>
        <w:rPr>
          <w:rFonts w:ascii="Arial" w:eastAsia="Times New Roman" w:hAnsi="Arial" w:cs="Arial"/>
          <w:sz w:val="24"/>
          <w:szCs w:val="24"/>
          <w:lang w:eastAsia="en-NZ"/>
        </w:rPr>
      </w:pPr>
    </w:p>
    <w:p w14:paraId="20579D33" w14:textId="09376360" w:rsidR="00173A4F" w:rsidRPr="0018683D" w:rsidRDefault="00173A4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 Crown is required to keep itself informed of relevant circumstances as they apply to Māori needs, including ensuring equitable access.</w:t>
      </w:r>
      <w:r w:rsidRPr="0018683D">
        <w:rPr>
          <w:rStyle w:val="FootnoteReference"/>
          <w:rFonts w:ascii="Arial" w:eastAsia="Times New Roman" w:hAnsi="Arial" w:cs="Arial"/>
          <w:sz w:val="24"/>
          <w:szCs w:val="24"/>
          <w:lang w:eastAsia="en-NZ"/>
        </w:rPr>
        <w:footnoteReference w:id="16"/>
      </w:r>
    </w:p>
    <w:p w14:paraId="254CE25B" w14:textId="4B8ACB3B" w:rsidR="005B45E1" w:rsidRDefault="005B45E1">
      <w:pPr>
        <w:rPr>
          <w:rFonts w:ascii="Arial" w:eastAsia="Times New Roman" w:hAnsi="Arial" w:cs="Arial"/>
          <w:sz w:val="24"/>
          <w:szCs w:val="24"/>
          <w:lang w:val="en-US" w:eastAsia="en-NZ"/>
        </w:rPr>
      </w:pPr>
    </w:p>
    <w:p w14:paraId="354D72EC" w14:textId="04B4C096" w:rsidR="00051192" w:rsidRPr="0018683D" w:rsidRDefault="00051192"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 Principle of Equity</w:t>
      </w:r>
    </w:p>
    <w:p w14:paraId="3893A46A" w14:textId="77777777" w:rsidR="006849FF" w:rsidRPr="0018683D" w:rsidRDefault="006849FF" w:rsidP="0095527E">
      <w:pPr>
        <w:pStyle w:val="ListParagraph"/>
        <w:spacing w:after="0" w:line="360" w:lineRule="auto"/>
        <w:ind w:left="1647"/>
        <w:rPr>
          <w:rFonts w:ascii="Arial" w:eastAsia="Times New Roman" w:hAnsi="Arial" w:cs="Arial"/>
          <w:sz w:val="24"/>
          <w:szCs w:val="24"/>
          <w:lang w:eastAsia="en-NZ"/>
        </w:rPr>
      </w:pPr>
    </w:p>
    <w:p w14:paraId="7EF6F842" w14:textId="4066A177" w:rsidR="00173A4F" w:rsidRPr="0018683D" w:rsidRDefault="00173A4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Waitangi Tribunal has found that this article not only guarantees Māori freedom from discrimination but also obliges the Crown to positively promote equity, </w:t>
      </w:r>
      <w:r w:rsidR="00DA0F42" w:rsidRPr="0018683D">
        <w:rPr>
          <w:rFonts w:ascii="Arial" w:eastAsia="Times New Roman" w:hAnsi="Arial" w:cs="Arial"/>
          <w:sz w:val="24"/>
          <w:szCs w:val="24"/>
          <w:lang w:eastAsia="en-NZ"/>
        </w:rPr>
        <w:t xml:space="preserve">and </w:t>
      </w:r>
      <w:r w:rsidRPr="0018683D">
        <w:rPr>
          <w:rFonts w:ascii="Arial" w:eastAsia="Times New Roman" w:hAnsi="Arial" w:cs="Arial"/>
          <w:sz w:val="24"/>
          <w:szCs w:val="24"/>
          <w:lang w:eastAsia="en-NZ"/>
        </w:rPr>
        <w:t xml:space="preserve">the rights and privileges of British subjects </w:t>
      </w:r>
      <w:r w:rsidR="00287ACF" w:rsidRPr="0018683D">
        <w:rPr>
          <w:rFonts w:ascii="Arial" w:eastAsia="Times New Roman" w:hAnsi="Arial" w:cs="Arial"/>
          <w:sz w:val="24"/>
          <w:szCs w:val="24"/>
          <w:lang w:eastAsia="en-NZ"/>
        </w:rPr>
        <w:t>outlined in article 3.</w:t>
      </w:r>
      <w:r w:rsidRPr="0018683D">
        <w:rPr>
          <w:rStyle w:val="FootnoteReference"/>
          <w:rFonts w:ascii="Arial" w:eastAsia="Times New Roman" w:hAnsi="Arial" w:cs="Arial"/>
          <w:sz w:val="24"/>
          <w:szCs w:val="24"/>
          <w:lang w:eastAsia="en-NZ"/>
        </w:rPr>
        <w:footnoteReference w:id="17"/>
      </w:r>
    </w:p>
    <w:p w14:paraId="01DC67B7" w14:textId="77777777" w:rsidR="006849FF" w:rsidRPr="0018683D" w:rsidRDefault="006849FF" w:rsidP="003E5943">
      <w:pPr>
        <w:pStyle w:val="ListParagraph"/>
        <w:spacing w:after="0" w:line="360" w:lineRule="auto"/>
        <w:ind w:left="1701" w:hanging="567"/>
        <w:rPr>
          <w:rFonts w:ascii="Arial" w:eastAsia="Times New Roman" w:hAnsi="Arial" w:cs="Arial"/>
          <w:sz w:val="24"/>
          <w:szCs w:val="24"/>
          <w:lang w:eastAsia="en-NZ"/>
        </w:rPr>
      </w:pPr>
    </w:p>
    <w:p w14:paraId="1025C5FF" w14:textId="00C777B7" w:rsidR="00287ACF" w:rsidRPr="0018683D" w:rsidRDefault="00287AC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Closely linked to the principle of active protection, this principle broadly guarantees freedom from discrimination, w</w:t>
      </w:r>
      <w:r w:rsidR="00DA0F42" w:rsidRPr="0018683D">
        <w:rPr>
          <w:rFonts w:ascii="Arial" w:eastAsia="Times New Roman" w:hAnsi="Arial" w:cs="Arial"/>
          <w:sz w:val="24"/>
          <w:szCs w:val="24"/>
          <w:lang w:eastAsia="en-NZ"/>
        </w:rPr>
        <w:t>he</w:t>
      </w:r>
      <w:r w:rsidRPr="0018683D">
        <w:rPr>
          <w:rFonts w:ascii="Arial" w:eastAsia="Times New Roman" w:hAnsi="Arial" w:cs="Arial"/>
          <w:sz w:val="24"/>
          <w:szCs w:val="24"/>
          <w:lang w:eastAsia="en-NZ"/>
        </w:rPr>
        <w:t>ther this is conscious or unconscious – the Crown in order to satisfy its obligations must not only reasonably ensure Māori do not suffer inequity but also actively inform itself of the occurrence of inequity.</w:t>
      </w:r>
      <w:r w:rsidRPr="0018683D">
        <w:rPr>
          <w:rStyle w:val="FootnoteReference"/>
          <w:rFonts w:ascii="Arial" w:eastAsia="Times New Roman" w:hAnsi="Arial" w:cs="Arial"/>
          <w:sz w:val="24"/>
          <w:szCs w:val="24"/>
          <w:lang w:eastAsia="en-NZ"/>
        </w:rPr>
        <w:footnoteReference w:id="18"/>
      </w:r>
    </w:p>
    <w:p w14:paraId="7151CEE3" w14:textId="77777777" w:rsidR="006849FF" w:rsidRPr="0018683D" w:rsidRDefault="006849FF" w:rsidP="003E5943">
      <w:pPr>
        <w:pStyle w:val="ListParagraph"/>
        <w:spacing w:after="0" w:line="360" w:lineRule="auto"/>
        <w:ind w:left="1701" w:hanging="567"/>
        <w:rPr>
          <w:rFonts w:ascii="Arial" w:eastAsia="Times New Roman" w:hAnsi="Arial" w:cs="Arial"/>
          <w:sz w:val="24"/>
          <w:szCs w:val="24"/>
          <w:lang w:eastAsia="en-NZ"/>
        </w:rPr>
      </w:pPr>
    </w:p>
    <w:p w14:paraId="21142871" w14:textId="7F485E06" w:rsidR="00287ACF" w:rsidRPr="0018683D" w:rsidRDefault="00287AC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It must be noted that the principle only requires the Crown to make every reasonable eff</w:t>
      </w:r>
      <w:r w:rsidR="00DA0F42" w:rsidRPr="0018683D">
        <w:rPr>
          <w:rFonts w:ascii="Arial" w:eastAsia="Times New Roman" w:hAnsi="Arial" w:cs="Arial"/>
          <w:sz w:val="24"/>
          <w:szCs w:val="24"/>
          <w:lang w:eastAsia="en-NZ"/>
        </w:rPr>
        <w:t>ort</w:t>
      </w:r>
      <w:r w:rsidRPr="0018683D">
        <w:rPr>
          <w:rFonts w:ascii="Arial" w:eastAsia="Times New Roman" w:hAnsi="Arial" w:cs="Arial"/>
          <w:sz w:val="24"/>
          <w:szCs w:val="24"/>
          <w:lang w:eastAsia="en-NZ"/>
        </w:rPr>
        <w:t xml:space="preserve"> to eliminate barriers to services that may contribute to inequity – equity of service may still produce inequality of outcomes for Māori.</w:t>
      </w:r>
      <w:r w:rsidRPr="0018683D">
        <w:rPr>
          <w:rStyle w:val="FootnoteReference"/>
          <w:rFonts w:ascii="Arial" w:eastAsia="Times New Roman" w:hAnsi="Arial" w:cs="Arial"/>
          <w:sz w:val="24"/>
          <w:szCs w:val="24"/>
          <w:lang w:eastAsia="en-NZ"/>
        </w:rPr>
        <w:footnoteReference w:id="19"/>
      </w:r>
    </w:p>
    <w:p w14:paraId="35AE2714" w14:textId="77777777" w:rsidR="00287ACF" w:rsidRPr="0018683D" w:rsidRDefault="00287ACF" w:rsidP="0095527E">
      <w:pPr>
        <w:pStyle w:val="ListParagraph"/>
        <w:spacing w:after="0" w:line="360" w:lineRule="auto"/>
        <w:ind w:left="1647"/>
        <w:rPr>
          <w:rFonts w:ascii="Arial" w:eastAsia="Times New Roman" w:hAnsi="Arial" w:cs="Arial"/>
          <w:sz w:val="24"/>
          <w:szCs w:val="24"/>
          <w:lang w:eastAsia="en-NZ"/>
        </w:rPr>
      </w:pPr>
    </w:p>
    <w:p w14:paraId="72148E2F" w14:textId="5D6FB382" w:rsidR="003D5D8A" w:rsidRDefault="003D5D8A" w:rsidP="00AB20F3">
      <w:pPr>
        <w:pStyle w:val="ListParagraph"/>
        <w:numPr>
          <w:ilvl w:val="0"/>
          <w:numId w:val="1"/>
        </w:numPr>
        <w:ind w:left="1287" w:hanging="720"/>
        <w:rPr>
          <w:rFonts w:ascii="Arial" w:eastAsia="Times New Roman" w:hAnsi="Arial" w:cs="Arial"/>
          <w:sz w:val="24"/>
          <w:szCs w:val="24"/>
          <w:lang w:eastAsia="en-NZ"/>
        </w:rPr>
      </w:pPr>
      <w:r>
        <w:rPr>
          <w:rFonts w:ascii="Arial" w:eastAsia="Times New Roman" w:hAnsi="Arial" w:cs="Arial"/>
          <w:sz w:val="24"/>
          <w:szCs w:val="24"/>
          <w:lang w:eastAsia="en-NZ"/>
        </w:rPr>
        <w:t>The Principle of Equal Treatment</w:t>
      </w:r>
    </w:p>
    <w:p w14:paraId="21466B81" w14:textId="77777777" w:rsidR="003D5D8A" w:rsidRDefault="003D5D8A" w:rsidP="003D5D8A">
      <w:pPr>
        <w:pStyle w:val="ListParagraph"/>
        <w:ind w:left="1287"/>
        <w:rPr>
          <w:rFonts w:ascii="Arial" w:eastAsia="Times New Roman" w:hAnsi="Arial" w:cs="Arial"/>
          <w:sz w:val="24"/>
          <w:szCs w:val="24"/>
          <w:lang w:eastAsia="en-NZ"/>
        </w:rPr>
      </w:pPr>
    </w:p>
    <w:p w14:paraId="636965B5" w14:textId="5A26311E" w:rsidR="003D5D8A" w:rsidRDefault="003D5D8A" w:rsidP="00AB20F3">
      <w:pPr>
        <w:pStyle w:val="ListParagraph"/>
        <w:numPr>
          <w:ilvl w:val="1"/>
          <w:numId w:val="1"/>
        </w:numPr>
        <w:spacing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t xml:space="preserve">The principles of partnership, reciprocity, autonomy, and active protection required the Crown to act fairly as between Māori groups </w:t>
      </w:r>
      <w:r>
        <w:rPr>
          <w:rFonts w:ascii="Arial" w:eastAsia="Times New Roman" w:hAnsi="Arial" w:cs="Arial"/>
          <w:sz w:val="24"/>
          <w:szCs w:val="24"/>
          <w:lang w:eastAsia="en-NZ"/>
        </w:rPr>
        <w:lastRenderedPageBreak/>
        <w:t>– it could not unfairly advantage one group over another if their circumstances, rights and interests were broadly the same.</w:t>
      </w:r>
      <w:r>
        <w:rPr>
          <w:rStyle w:val="FootnoteReference"/>
          <w:rFonts w:ascii="Arial" w:eastAsia="Times New Roman" w:hAnsi="Arial" w:cs="Arial"/>
          <w:sz w:val="24"/>
          <w:szCs w:val="24"/>
          <w:lang w:eastAsia="en-NZ"/>
        </w:rPr>
        <w:footnoteReference w:id="20"/>
      </w:r>
    </w:p>
    <w:p w14:paraId="07BABC90" w14:textId="77777777" w:rsidR="008F7A90" w:rsidRDefault="008F7A90" w:rsidP="008F7A90">
      <w:pPr>
        <w:pStyle w:val="ListParagraph"/>
        <w:ind w:left="1287"/>
        <w:rPr>
          <w:rFonts w:ascii="Arial" w:eastAsia="Times New Roman" w:hAnsi="Arial" w:cs="Arial"/>
          <w:sz w:val="24"/>
          <w:szCs w:val="24"/>
          <w:lang w:eastAsia="en-NZ"/>
        </w:rPr>
      </w:pPr>
    </w:p>
    <w:p w14:paraId="50B91415" w14:textId="68DD2AAA" w:rsidR="00051192" w:rsidRPr="0018683D" w:rsidRDefault="00051192" w:rsidP="00AB20F3">
      <w:pPr>
        <w:pStyle w:val="ListParagraph"/>
        <w:numPr>
          <w:ilvl w:val="0"/>
          <w:numId w:val="1"/>
        </w:numPr>
        <w:ind w:left="1287" w:hanging="720"/>
        <w:rPr>
          <w:rFonts w:ascii="Arial" w:eastAsia="Times New Roman" w:hAnsi="Arial" w:cs="Arial"/>
          <w:sz w:val="24"/>
          <w:szCs w:val="24"/>
          <w:lang w:eastAsia="en-NZ"/>
        </w:rPr>
      </w:pPr>
      <w:r w:rsidRPr="0018683D">
        <w:rPr>
          <w:rFonts w:ascii="Arial" w:eastAsia="Times New Roman" w:hAnsi="Arial" w:cs="Arial"/>
          <w:sz w:val="24"/>
          <w:szCs w:val="24"/>
          <w:lang w:eastAsia="en-NZ"/>
        </w:rPr>
        <w:t>The Principle of Options</w:t>
      </w:r>
    </w:p>
    <w:p w14:paraId="043AF9DB" w14:textId="77777777" w:rsidR="006849FF" w:rsidRPr="0018683D" w:rsidRDefault="006849FF" w:rsidP="0095527E">
      <w:pPr>
        <w:pStyle w:val="ListParagraph"/>
        <w:spacing w:after="0" w:line="360" w:lineRule="auto"/>
        <w:ind w:left="1647"/>
        <w:rPr>
          <w:rFonts w:ascii="Arial" w:eastAsia="Times New Roman" w:hAnsi="Arial" w:cs="Arial"/>
          <w:sz w:val="24"/>
          <w:szCs w:val="24"/>
          <w:lang w:eastAsia="en-NZ"/>
        </w:rPr>
      </w:pPr>
    </w:p>
    <w:p w14:paraId="7A7564FF" w14:textId="3E4B14FA" w:rsidR="00287ACF" w:rsidRPr="0018683D" w:rsidRDefault="00287AC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Following on from the principles of partnership, active protection, and equity this protects </w:t>
      </w:r>
      <w:r w:rsidR="00F94B39" w:rsidRPr="0018683D">
        <w:rPr>
          <w:rFonts w:ascii="Arial" w:eastAsia="Times New Roman" w:hAnsi="Arial" w:cs="Arial"/>
          <w:sz w:val="24"/>
          <w:szCs w:val="24"/>
          <w:lang w:eastAsia="en-NZ"/>
        </w:rPr>
        <w:t>the right of Māori to</w:t>
      </w:r>
      <w:r w:rsidRPr="0018683D">
        <w:rPr>
          <w:rFonts w:ascii="Arial" w:eastAsia="Times New Roman" w:hAnsi="Arial" w:cs="Arial"/>
          <w:sz w:val="24"/>
          <w:szCs w:val="24"/>
          <w:lang w:eastAsia="en-NZ"/>
        </w:rPr>
        <w:t xml:space="preserve"> continue their way of life according to their indigenous traditions and worldview while participating in British society and culture.</w:t>
      </w:r>
    </w:p>
    <w:p w14:paraId="61F3405C" w14:textId="77777777" w:rsidR="006849FF" w:rsidRPr="0018683D" w:rsidRDefault="006849FF" w:rsidP="003E5943">
      <w:pPr>
        <w:pStyle w:val="ListParagraph"/>
        <w:spacing w:after="0" w:line="360" w:lineRule="auto"/>
        <w:ind w:left="1701" w:hanging="567"/>
        <w:rPr>
          <w:rFonts w:ascii="Arial" w:eastAsia="Times New Roman" w:hAnsi="Arial" w:cs="Arial"/>
          <w:sz w:val="24"/>
          <w:szCs w:val="24"/>
          <w:lang w:eastAsia="en-NZ"/>
        </w:rPr>
      </w:pPr>
    </w:p>
    <w:p w14:paraId="7DDA900B" w14:textId="068B480F" w:rsidR="001F3CCE" w:rsidRDefault="00287ACF" w:rsidP="00AB20F3">
      <w:pPr>
        <w:pStyle w:val="ListParagraph"/>
        <w:numPr>
          <w:ilvl w:val="1"/>
          <w:numId w:val="1"/>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This requires that the Crown must adequately protect the availability and viability of </w:t>
      </w:r>
      <w:proofErr w:type="spellStart"/>
      <w:r w:rsidRPr="0018683D">
        <w:rPr>
          <w:rFonts w:ascii="Arial" w:eastAsia="Times New Roman" w:hAnsi="Arial" w:cs="Arial"/>
          <w:sz w:val="24"/>
          <w:szCs w:val="24"/>
          <w:lang w:eastAsia="en-NZ"/>
        </w:rPr>
        <w:t>kaupapa</w:t>
      </w:r>
      <w:proofErr w:type="spellEnd"/>
      <w:r w:rsidRPr="0018683D">
        <w:rPr>
          <w:rFonts w:ascii="Arial" w:eastAsia="Times New Roman" w:hAnsi="Arial" w:cs="Arial"/>
          <w:sz w:val="24"/>
          <w:szCs w:val="24"/>
          <w:lang w:eastAsia="en-NZ"/>
        </w:rPr>
        <w:t xml:space="preserve"> Māori solutions in the social sector as well as mainstream services in such a way that Māori are not disadvantaged by their choice.</w:t>
      </w:r>
      <w:r w:rsidRPr="0018683D">
        <w:rPr>
          <w:rStyle w:val="FootnoteReference"/>
          <w:rFonts w:ascii="Arial" w:eastAsia="Times New Roman" w:hAnsi="Arial" w:cs="Arial"/>
          <w:sz w:val="24"/>
          <w:szCs w:val="24"/>
          <w:lang w:eastAsia="en-NZ"/>
        </w:rPr>
        <w:footnoteReference w:id="21"/>
      </w:r>
    </w:p>
    <w:p w14:paraId="3235DC8D" w14:textId="3DDCAD4B" w:rsidR="000742D3" w:rsidRDefault="000742D3" w:rsidP="003E5943">
      <w:pPr>
        <w:pStyle w:val="ListParagraph"/>
        <w:ind w:left="1701" w:hanging="567"/>
        <w:rPr>
          <w:rFonts w:ascii="Arial" w:eastAsia="Times New Roman" w:hAnsi="Arial" w:cs="Arial"/>
          <w:sz w:val="24"/>
          <w:szCs w:val="24"/>
          <w:lang w:eastAsia="en-NZ"/>
        </w:rPr>
      </w:pPr>
    </w:p>
    <w:p w14:paraId="55F0DCFA" w14:textId="7EF2FAC4" w:rsidR="000742D3" w:rsidRDefault="000742D3" w:rsidP="00AB20F3">
      <w:pPr>
        <w:pStyle w:val="ListParagraph"/>
        <w:numPr>
          <w:ilvl w:val="0"/>
          <w:numId w:val="1"/>
        </w:numPr>
        <w:ind w:left="1134" w:hanging="567"/>
        <w:rPr>
          <w:rFonts w:ascii="Arial" w:eastAsia="Times New Roman" w:hAnsi="Arial" w:cs="Arial"/>
          <w:sz w:val="24"/>
          <w:szCs w:val="24"/>
          <w:lang w:eastAsia="en-NZ"/>
        </w:rPr>
      </w:pPr>
      <w:r>
        <w:rPr>
          <w:rFonts w:ascii="Arial" w:eastAsia="Times New Roman" w:hAnsi="Arial" w:cs="Arial"/>
          <w:sz w:val="24"/>
          <w:szCs w:val="24"/>
          <w:lang w:eastAsia="en-NZ"/>
        </w:rPr>
        <w:t xml:space="preserve">The Principle of Redress </w:t>
      </w:r>
    </w:p>
    <w:p w14:paraId="22D89A91" w14:textId="77777777" w:rsidR="000742D3" w:rsidRPr="000742D3" w:rsidRDefault="000742D3" w:rsidP="000742D3">
      <w:pPr>
        <w:pStyle w:val="ListParagraph"/>
        <w:rPr>
          <w:rFonts w:ascii="Arial" w:eastAsia="Times New Roman" w:hAnsi="Arial" w:cs="Arial"/>
          <w:sz w:val="24"/>
          <w:szCs w:val="24"/>
          <w:lang w:eastAsia="en-NZ"/>
        </w:rPr>
      </w:pPr>
    </w:p>
    <w:p w14:paraId="3D8A10D0" w14:textId="43B851AB" w:rsidR="00105F31" w:rsidRDefault="000742D3" w:rsidP="00AB20F3">
      <w:pPr>
        <w:pStyle w:val="ListParagraph"/>
        <w:numPr>
          <w:ilvl w:val="0"/>
          <w:numId w:val="14"/>
        </w:numPr>
        <w:spacing w:after="0"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t>Where the Crown has acted in breach of the principles and Māori have suffered prejudice as a result, the Waitangi Tribunal have considered that the Crown has a clear duty to set matters right.</w:t>
      </w:r>
      <w:r>
        <w:rPr>
          <w:rStyle w:val="FootnoteReference"/>
          <w:rFonts w:ascii="Arial" w:eastAsia="Times New Roman" w:hAnsi="Arial" w:cs="Arial"/>
          <w:sz w:val="24"/>
          <w:szCs w:val="24"/>
          <w:lang w:eastAsia="en-NZ"/>
        </w:rPr>
        <w:footnoteReference w:id="22"/>
      </w:r>
      <w:r>
        <w:rPr>
          <w:rFonts w:ascii="Arial" w:eastAsia="Times New Roman" w:hAnsi="Arial" w:cs="Arial"/>
          <w:sz w:val="24"/>
          <w:szCs w:val="24"/>
          <w:lang w:eastAsia="en-NZ"/>
        </w:rPr>
        <w:t xml:space="preserve"> </w:t>
      </w:r>
    </w:p>
    <w:p w14:paraId="1121E5B1" w14:textId="77777777" w:rsidR="00292381" w:rsidRDefault="00292381" w:rsidP="003E5943">
      <w:pPr>
        <w:pStyle w:val="ListParagraph"/>
        <w:spacing w:after="0" w:line="360" w:lineRule="auto"/>
        <w:ind w:left="1701" w:hanging="567"/>
        <w:rPr>
          <w:rFonts w:ascii="Arial" w:eastAsia="Times New Roman" w:hAnsi="Arial" w:cs="Arial"/>
          <w:sz w:val="24"/>
          <w:szCs w:val="24"/>
          <w:lang w:eastAsia="en-NZ"/>
        </w:rPr>
      </w:pPr>
    </w:p>
    <w:p w14:paraId="03112996" w14:textId="5C755F3C" w:rsidR="000742D3" w:rsidRDefault="000742D3" w:rsidP="00AB20F3">
      <w:pPr>
        <w:pStyle w:val="ListParagraph"/>
        <w:numPr>
          <w:ilvl w:val="0"/>
          <w:numId w:val="14"/>
        </w:numPr>
        <w:spacing w:after="0"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t xml:space="preserve">The principle of redress was developed in connection with historical claims and </w:t>
      </w:r>
      <w:r w:rsidR="00105F31">
        <w:rPr>
          <w:rFonts w:ascii="Arial" w:eastAsia="Times New Roman" w:hAnsi="Arial" w:cs="Arial"/>
          <w:sz w:val="24"/>
          <w:szCs w:val="24"/>
          <w:lang w:eastAsia="en-NZ"/>
        </w:rPr>
        <w:t xml:space="preserve">in situations </w:t>
      </w:r>
      <w:r>
        <w:rPr>
          <w:rFonts w:ascii="Arial" w:eastAsia="Times New Roman" w:hAnsi="Arial" w:cs="Arial"/>
          <w:sz w:val="24"/>
          <w:szCs w:val="24"/>
          <w:lang w:eastAsia="en-NZ"/>
        </w:rPr>
        <w:t xml:space="preserve">where the only recourse for Māori would be an appeal to the Treaty, </w:t>
      </w:r>
      <w:r w:rsidR="00105F31">
        <w:rPr>
          <w:rFonts w:ascii="Arial" w:eastAsia="Times New Roman" w:hAnsi="Arial" w:cs="Arial"/>
          <w:sz w:val="24"/>
          <w:szCs w:val="24"/>
          <w:lang w:eastAsia="en-NZ"/>
        </w:rPr>
        <w:t xml:space="preserve">where </w:t>
      </w:r>
      <w:r>
        <w:rPr>
          <w:rFonts w:ascii="Arial" w:eastAsia="Times New Roman" w:hAnsi="Arial" w:cs="Arial"/>
          <w:sz w:val="24"/>
          <w:szCs w:val="24"/>
          <w:lang w:eastAsia="en-NZ"/>
        </w:rPr>
        <w:t xml:space="preserve">restoration of a tribal base, tribal mana and sufficient remedy </w:t>
      </w:r>
      <w:r w:rsidR="00105F31">
        <w:rPr>
          <w:rFonts w:ascii="Arial" w:eastAsia="Times New Roman" w:hAnsi="Arial" w:cs="Arial"/>
          <w:sz w:val="24"/>
          <w:szCs w:val="24"/>
          <w:lang w:eastAsia="en-NZ"/>
        </w:rPr>
        <w:t xml:space="preserve">would be required </w:t>
      </w:r>
      <w:r>
        <w:rPr>
          <w:rFonts w:ascii="Arial" w:eastAsia="Times New Roman" w:hAnsi="Arial" w:cs="Arial"/>
          <w:sz w:val="24"/>
          <w:szCs w:val="24"/>
          <w:lang w:eastAsia="en-NZ"/>
        </w:rPr>
        <w:t>to resolve the grievance.</w:t>
      </w:r>
      <w:r>
        <w:rPr>
          <w:rStyle w:val="FootnoteReference"/>
          <w:rFonts w:ascii="Arial" w:eastAsia="Times New Roman" w:hAnsi="Arial" w:cs="Arial"/>
          <w:sz w:val="24"/>
          <w:szCs w:val="24"/>
          <w:lang w:eastAsia="en-NZ"/>
        </w:rPr>
        <w:footnoteReference w:id="23"/>
      </w:r>
    </w:p>
    <w:p w14:paraId="1DD379E2" w14:textId="77777777" w:rsidR="00292381" w:rsidRPr="00292381" w:rsidRDefault="00292381" w:rsidP="003E5943">
      <w:pPr>
        <w:spacing w:after="0" w:line="360" w:lineRule="auto"/>
        <w:ind w:left="1701" w:hanging="567"/>
        <w:rPr>
          <w:rFonts w:ascii="Arial" w:eastAsia="Times New Roman" w:hAnsi="Arial" w:cs="Arial"/>
          <w:sz w:val="24"/>
          <w:szCs w:val="24"/>
          <w:lang w:eastAsia="en-NZ"/>
        </w:rPr>
      </w:pPr>
    </w:p>
    <w:p w14:paraId="2E2C727A" w14:textId="526DD2EE" w:rsidR="000742D3" w:rsidRDefault="00105F31" w:rsidP="00AB20F3">
      <w:pPr>
        <w:pStyle w:val="ListParagraph"/>
        <w:numPr>
          <w:ilvl w:val="0"/>
          <w:numId w:val="14"/>
        </w:numPr>
        <w:spacing w:after="0"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t>Resolution</w:t>
      </w:r>
      <w:r w:rsidR="000742D3">
        <w:rPr>
          <w:rFonts w:ascii="Arial" w:eastAsia="Times New Roman" w:hAnsi="Arial" w:cs="Arial"/>
          <w:sz w:val="24"/>
          <w:szCs w:val="24"/>
          <w:lang w:eastAsia="en-NZ"/>
        </w:rPr>
        <w:t xml:space="preserve"> will involve compromise on both sides and </w:t>
      </w:r>
      <w:r w:rsidR="00643E30">
        <w:rPr>
          <w:rFonts w:ascii="Arial" w:eastAsia="Times New Roman" w:hAnsi="Arial" w:cs="Arial"/>
          <w:sz w:val="24"/>
          <w:szCs w:val="24"/>
          <w:lang w:eastAsia="en-NZ"/>
        </w:rPr>
        <w:t>should not create fresh injustice for others.</w:t>
      </w:r>
      <w:r w:rsidR="00643E30">
        <w:rPr>
          <w:rStyle w:val="FootnoteReference"/>
          <w:rFonts w:ascii="Arial" w:eastAsia="Times New Roman" w:hAnsi="Arial" w:cs="Arial"/>
          <w:sz w:val="24"/>
          <w:szCs w:val="24"/>
          <w:lang w:eastAsia="en-NZ"/>
        </w:rPr>
        <w:footnoteReference w:id="24"/>
      </w:r>
      <w:r w:rsidR="00643E30">
        <w:rPr>
          <w:rFonts w:ascii="Arial" w:eastAsia="Times New Roman" w:hAnsi="Arial" w:cs="Arial"/>
          <w:sz w:val="24"/>
          <w:szCs w:val="24"/>
          <w:lang w:eastAsia="en-NZ"/>
        </w:rPr>
        <w:t xml:space="preserve"> </w:t>
      </w:r>
    </w:p>
    <w:p w14:paraId="5A41C72E" w14:textId="77777777" w:rsidR="00292381" w:rsidRPr="00292381" w:rsidRDefault="00292381" w:rsidP="003E5943">
      <w:pPr>
        <w:spacing w:after="0" w:line="360" w:lineRule="auto"/>
        <w:ind w:left="1701" w:hanging="567"/>
        <w:rPr>
          <w:rFonts w:ascii="Arial" w:eastAsia="Times New Roman" w:hAnsi="Arial" w:cs="Arial"/>
          <w:sz w:val="24"/>
          <w:szCs w:val="24"/>
          <w:lang w:eastAsia="en-NZ"/>
        </w:rPr>
      </w:pPr>
    </w:p>
    <w:p w14:paraId="23D4B524" w14:textId="5D523BAB" w:rsidR="000742D3" w:rsidRDefault="000742D3" w:rsidP="00AB20F3">
      <w:pPr>
        <w:pStyle w:val="ListParagraph"/>
        <w:numPr>
          <w:ilvl w:val="0"/>
          <w:numId w:val="14"/>
        </w:numPr>
        <w:spacing w:after="0" w:line="360" w:lineRule="auto"/>
        <w:ind w:left="1701" w:hanging="567"/>
        <w:rPr>
          <w:rFonts w:ascii="Arial" w:eastAsia="Times New Roman" w:hAnsi="Arial" w:cs="Arial"/>
          <w:sz w:val="24"/>
          <w:szCs w:val="24"/>
          <w:lang w:eastAsia="en-NZ"/>
        </w:rPr>
      </w:pPr>
      <w:r>
        <w:rPr>
          <w:rFonts w:ascii="Arial" w:eastAsia="Times New Roman" w:hAnsi="Arial" w:cs="Arial"/>
          <w:sz w:val="24"/>
          <w:szCs w:val="24"/>
          <w:lang w:eastAsia="en-NZ"/>
        </w:rPr>
        <w:lastRenderedPageBreak/>
        <w:t>Where legal rights exist and are expunged</w:t>
      </w:r>
      <w:r w:rsidR="00105F31">
        <w:rPr>
          <w:rFonts w:ascii="Arial" w:eastAsia="Times New Roman" w:hAnsi="Arial" w:cs="Arial"/>
          <w:sz w:val="24"/>
          <w:szCs w:val="24"/>
          <w:lang w:eastAsia="en-NZ"/>
        </w:rPr>
        <w:t xml:space="preserve"> or effectively expropriated under the Government’s policy or legislation</w:t>
      </w:r>
      <w:r>
        <w:rPr>
          <w:rFonts w:ascii="Arial" w:eastAsia="Times New Roman" w:hAnsi="Arial" w:cs="Arial"/>
          <w:sz w:val="24"/>
          <w:szCs w:val="24"/>
          <w:lang w:eastAsia="en-NZ"/>
        </w:rPr>
        <w:t xml:space="preserve">, </w:t>
      </w:r>
      <w:r w:rsidR="00105F31">
        <w:rPr>
          <w:rFonts w:ascii="Arial" w:eastAsia="Times New Roman" w:hAnsi="Arial" w:cs="Arial"/>
          <w:sz w:val="24"/>
          <w:szCs w:val="24"/>
          <w:lang w:eastAsia="en-NZ"/>
        </w:rPr>
        <w:t>an</w:t>
      </w:r>
      <w:r>
        <w:rPr>
          <w:rFonts w:ascii="Arial" w:eastAsia="Times New Roman" w:hAnsi="Arial" w:cs="Arial"/>
          <w:sz w:val="24"/>
          <w:szCs w:val="24"/>
          <w:lang w:eastAsia="en-NZ"/>
        </w:rPr>
        <w:t xml:space="preserve"> offer from the Crown of redress, rather than compensation, is a poor exchange</w:t>
      </w:r>
      <w:r w:rsidR="00105F31">
        <w:rPr>
          <w:rFonts w:ascii="Arial" w:eastAsia="Times New Roman" w:hAnsi="Arial" w:cs="Arial"/>
          <w:sz w:val="24"/>
          <w:szCs w:val="24"/>
          <w:lang w:eastAsia="en-NZ"/>
        </w:rPr>
        <w:t xml:space="preserve"> and will not restore the Treaty partnership</w:t>
      </w:r>
      <w:r>
        <w:rPr>
          <w:rFonts w:ascii="Arial" w:eastAsia="Times New Roman" w:hAnsi="Arial" w:cs="Arial"/>
          <w:sz w:val="24"/>
          <w:szCs w:val="24"/>
          <w:lang w:eastAsia="en-NZ"/>
        </w:rPr>
        <w:t>.</w:t>
      </w:r>
      <w:r>
        <w:rPr>
          <w:rStyle w:val="FootnoteReference"/>
          <w:rFonts w:ascii="Arial" w:eastAsia="Times New Roman" w:hAnsi="Arial" w:cs="Arial"/>
          <w:sz w:val="24"/>
          <w:szCs w:val="24"/>
          <w:lang w:eastAsia="en-NZ"/>
        </w:rPr>
        <w:footnoteReference w:id="25"/>
      </w:r>
    </w:p>
    <w:p w14:paraId="7DAA35A1" w14:textId="77777777" w:rsidR="009034D9" w:rsidRPr="009034D9" w:rsidRDefault="009034D9" w:rsidP="009034D9">
      <w:pPr>
        <w:pStyle w:val="ListParagraph"/>
        <w:rPr>
          <w:rFonts w:ascii="Arial" w:eastAsia="Times New Roman" w:hAnsi="Arial" w:cs="Arial"/>
          <w:sz w:val="24"/>
          <w:szCs w:val="24"/>
          <w:lang w:eastAsia="en-NZ"/>
        </w:rPr>
      </w:pPr>
    </w:p>
    <w:p w14:paraId="36C80A3B" w14:textId="468B8279" w:rsidR="009034D9" w:rsidRPr="002216AA" w:rsidRDefault="009034D9" w:rsidP="002216AA">
      <w:pPr>
        <w:pStyle w:val="ListParagraph"/>
        <w:numPr>
          <w:ilvl w:val="0"/>
          <w:numId w:val="1"/>
        </w:numPr>
        <w:spacing w:line="360" w:lineRule="auto"/>
        <w:ind w:left="1134" w:hanging="567"/>
        <w:rPr>
          <w:rFonts w:ascii="Arial" w:hAnsi="Arial" w:cs="Arial"/>
          <w:sz w:val="24"/>
          <w:szCs w:val="24"/>
        </w:rPr>
      </w:pPr>
      <w:r w:rsidRPr="002216AA">
        <w:rPr>
          <w:rFonts w:ascii="Arial" w:hAnsi="Arial" w:cs="Arial"/>
          <w:sz w:val="24"/>
          <w:szCs w:val="24"/>
        </w:rPr>
        <w:t xml:space="preserve">It </w:t>
      </w:r>
      <w:r w:rsidRPr="002216AA">
        <w:rPr>
          <w:rFonts w:ascii="Arial" w:eastAsia="Times New Roman" w:hAnsi="Arial" w:cs="Arial"/>
          <w:sz w:val="24"/>
          <w:szCs w:val="24"/>
          <w:lang w:eastAsia="en-NZ"/>
        </w:rPr>
        <w:t>should</w:t>
      </w:r>
      <w:r w:rsidRPr="002216AA">
        <w:rPr>
          <w:rFonts w:ascii="Arial" w:hAnsi="Arial" w:cs="Arial"/>
          <w:sz w:val="24"/>
          <w:szCs w:val="24"/>
        </w:rPr>
        <w:t xml:space="preserve"> further be noted that</w:t>
      </w:r>
      <w:r w:rsidR="002216AA" w:rsidRPr="002216AA">
        <w:rPr>
          <w:rFonts w:ascii="Arial" w:hAnsi="Arial" w:cs="Arial"/>
          <w:sz w:val="24"/>
          <w:szCs w:val="24"/>
        </w:rPr>
        <w:t xml:space="preserve"> </w:t>
      </w:r>
      <w:r w:rsidRPr="002216AA">
        <w:rPr>
          <w:rFonts w:ascii="Arial" w:hAnsi="Arial" w:cs="Arial"/>
          <w:sz w:val="24"/>
          <w:szCs w:val="24"/>
        </w:rPr>
        <w:t xml:space="preserve">here have been </w:t>
      </w:r>
      <w:r w:rsidR="006F7EEC" w:rsidRPr="002216AA">
        <w:rPr>
          <w:rFonts w:ascii="Arial" w:hAnsi="Arial" w:cs="Arial"/>
          <w:sz w:val="24"/>
          <w:szCs w:val="24"/>
        </w:rPr>
        <w:t xml:space="preserve">additional </w:t>
      </w:r>
      <w:r w:rsidRPr="002216AA">
        <w:rPr>
          <w:rFonts w:ascii="Arial" w:hAnsi="Arial" w:cs="Arial"/>
          <w:sz w:val="24"/>
          <w:szCs w:val="24"/>
        </w:rPr>
        <w:t xml:space="preserve">developments in Treaty </w:t>
      </w:r>
      <w:r w:rsidR="009B1ECF" w:rsidRPr="002216AA">
        <w:rPr>
          <w:rFonts w:ascii="Arial" w:hAnsi="Arial" w:cs="Arial"/>
          <w:sz w:val="24"/>
          <w:szCs w:val="24"/>
        </w:rPr>
        <w:t>jurisprudence,</w:t>
      </w:r>
      <w:r w:rsidRPr="002216AA">
        <w:rPr>
          <w:rFonts w:ascii="Arial" w:hAnsi="Arial" w:cs="Arial"/>
          <w:sz w:val="24"/>
          <w:szCs w:val="24"/>
        </w:rPr>
        <w:t xml:space="preserve"> including approaches to</w:t>
      </w:r>
      <w:r w:rsidR="00B138EB" w:rsidRPr="002216AA">
        <w:rPr>
          <w:rFonts w:ascii="Arial" w:hAnsi="Arial" w:cs="Arial"/>
          <w:sz w:val="24"/>
          <w:szCs w:val="24"/>
        </w:rPr>
        <w:t xml:space="preserve"> the recognition of</w:t>
      </w:r>
      <w:r w:rsidRPr="002216AA">
        <w:rPr>
          <w:rFonts w:ascii="Arial" w:hAnsi="Arial" w:cs="Arial"/>
          <w:sz w:val="24"/>
          <w:szCs w:val="24"/>
        </w:rPr>
        <w:t xml:space="preserve"> tikanga Maori</w:t>
      </w:r>
      <w:r w:rsidR="00273ED8" w:rsidRPr="002216AA">
        <w:rPr>
          <w:rFonts w:ascii="Arial" w:hAnsi="Arial" w:cs="Arial"/>
          <w:sz w:val="24"/>
          <w:szCs w:val="24"/>
        </w:rPr>
        <w:t xml:space="preserve"> alongside common law rights</w:t>
      </w:r>
      <w:r w:rsidR="00ED3CA1" w:rsidRPr="002216AA">
        <w:rPr>
          <w:rFonts w:ascii="Arial" w:hAnsi="Arial" w:cs="Arial"/>
          <w:sz w:val="24"/>
          <w:szCs w:val="24"/>
        </w:rPr>
        <w:t>,</w:t>
      </w:r>
      <w:r w:rsidRPr="002216AA">
        <w:rPr>
          <w:rFonts w:ascii="Arial" w:hAnsi="Arial" w:cs="Arial"/>
          <w:sz w:val="24"/>
          <w:szCs w:val="24"/>
        </w:rPr>
        <w:t xml:space="preserve"> that would be equally relevant to the work of the Inquiry</w:t>
      </w:r>
      <w:r w:rsidR="002216AA" w:rsidRPr="002216AA">
        <w:rPr>
          <w:rFonts w:ascii="Arial" w:hAnsi="Arial" w:cs="Arial"/>
          <w:sz w:val="24"/>
          <w:szCs w:val="24"/>
        </w:rPr>
        <w:t>,</w:t>
      </w:r>
      <w:r w:rsidRPr="002216AA">
        <w:rPr>
          <w:rFonts w:ascii="Arial" w:hAnsi="Arial" w:cs="Arial"/>
          <w:sz w:val="24"/>
          <w:szCs w:val="24"/>
        </w:rPr>
        <w:t xml:space="preserve"> which have arisen </w:t>
      </w:r>
      <w:r w:rsidR="00273ED8" w:rsidRPr="002216AA">
        <w:rPr>
          <w:rFonts w:ascii="Arial" w:hAnsi="Arial" w:cs="Arial"/>
          <w:sz w:val="24"/>
          <w:szCs w:val="24"/>
        </w:rPr>
        <w:t xml:space="preserve">through other areas or </w:t>
      </w:r>
      <w:r w:rsidRPr="002216AA">
        <w:rPr>
          <w:rFonts w:ascii="Arial" w:hAnsi="Arial" w:cs="Arial"/>
          <w:sz w:val="24"/>
          <w:szCs w:val="24"/>
        </w:rPr>
        <w:t>in other sectors</w:t>
      </w:r>
      <w:r w:rsidR="00BD3308" w:rsidRPr="002216AA">
        <w:rPr>
          <w:rFonts w:ascii="Arial" w:hAnsi="Arial" w:cs="Arial"/>
          <w:sz w:val="24"/>
          <w:szCs w:val="24"/>
        </w:rPr>
        <w:t>.</w:t>
      </w:r>
      <w:r w:rsidR="00401173">
        <w:rPr>
          <w:rStyle w:val="FootnoteReference"/>
          <w:rFonts w:ascii="Arial" w:hAnsi="Arial" w:cs="Arial"/>
          <w:sz w:val="24"/>
          <w:szCs w:val="24"/>
        </w:rPr>
        <w:footnoteReference w:id="26"/>
      </w:r>
      <w:r w:rsidR="00ED3CA1" w:rsidRPr="002216AA">
        <w:rPr>
          <w:rFonts w:ascii="Arial" w:hAnsi="Arial" w:cs="Arial"/>
          <w:sz w:val="24"/>
          <w:szCs w:val="24"/>
        </w:rPr>
        <w:t xml:space="preserve"> </w:t>
      </w:r>
      <w:r w:rsidR="00BD3308" w:rsidRPr="002216AA">
        <w:rPr>
          <w:rFonts w:ascii="Arial" w:hAnsi="Arial" w:cs="Arial"/>
          <w:sz w:val="24"/>
          <w:szCs w:val="24"/>
        </w:rPr>
        <w:t>Due</w:t>
      </w:r>
      <w:r w:rsidRPr="002216AA">
        <w:rPr>
          <w:rFonts w:ascii="Arial" w:hAnsi="Arial" w:cs="Arial"/>
          <w:sz w:val="24"/>
          <w:szCs w:val="24"/>
        </w:rPr>
        <w:t xml:space="preserve"> to the </w:t>
      </w:r>
      <w:r w:rsidR="00BD3308" w:rsidRPr="002216AA">
        <w:rPr>
          <w:rFonts w:ascii="Arial" w:hAnsi="Arial" w:cs="Arial"/>
          <w:sz w:val="24"/>
          <w:szCs w:val="24"/>
        </w:rPr>
        <w:t>specific</w:t>
      </w:r>
      <w:r w:rsidR="00321C2E" w:rsidRPr="002216AA">
        <w:rPr>
          <w:rFonts w:ascii="Arial" w:hAnsi="Arial" w:cs="Arial"/>
          <w:sz w:val="24"/>
          <w:szCs w:val="24"/>
        </w:rPr>
        <w:t>ity</w:t>
      </w:r>
      <w:r w:rsidRPr="002216AA">
        <w:rPr>
          <w:rFonts w:ascii="Arial" w:hAnsi="Arial" w:cs="Arial"/>
          <w:sz w:val="24"/>
          <w:szCs w:val="24"/>
        </w:rPr>
        <w:t xml:space="preserve"> of this briefing paper, those topics</w:t>
      </w:r>
      <w:r w:rsidR="00B415B8" w:rsidRPr="002216AA">
        <w:rPr>
          <w:rFonts w:ascii="Arial" w:hAnsi="Arial" w:cs="Arial"/>
          <w:sz w:val="24"/>
          <w:szCs w:val="24"/>
        </w:rPr>
        <w:t xml:space="preserve">, and </w:t>
      </w:r>
      <w:r w:rsidR="00AB20F3" w:rsidRPr="002216AA">
        <w:rPr>
          <w:rFonts w:ascii="Arial" w:hAnsi="Arial" w:cs="Arial"/>
          <w:sz w:val="24"/>
          <w:szCs w:val="24"/>
        </w:rPr>
        <w:t xml:space="preserve">any </w:t>
      </w:r>
      <w:r w:rsidR="00B415B8" w:rsidRPr="002216AA">
        <w:rPr>
          <w:rFonts w:ascii="Arial" w:hAnsi="Arial" w:cs="Arial"/>
          <w:sz w:val="24"/>
          <w:szCs w:val="24"/>
        </w:rPr>
        <w:t>others,</w:t>
      </w:r>
      <w:r w:rsidRPr="002216AA">
        <w:rPr>
          <w:rFonts w:ascii="Arial" w:hAnsi="Arial" w:cs="Arial"/>
          <w:sz w:val="24"/>
          <w:szCs w:val="24"/>
        </w:rPr>
        <w:t xml:space="preserve"> will necessarily be discussed </w:t>
      </w:r>
      <w:r w:rsidR="006F7EEC" w:rsidRPr="002216AA">
        <w:rPr>
          <w:rFonts w:ascii="Arial" w:hAnsi="Arial" w:cs="Arial"/>
          <w:sz w:val="24"/>
          <w:szCs w:val="24"/>
        </w:rPr>
        <w:t xml:space="preserve">and researched </w:t>
      </w:r>
      <w:r w:rsidR="00ED3CA1" w:rsidRPr="002216AA">
        <w:rPr>
          <w:rFonts w:ascii="Arial" w:hAnsi="Arial" w:cs="Arial"/>
          <w:sz w:val="24"/>
          <w:szCs w:val="24"/>
        </w:rPr>
        <w:t xml:space="preserve">in </w:t>
      </w:r>
      <w:r w:rsidR="002216AA" w:rsidRPr="002216AA">
        <w:rPr>
          <w:rFonts w:ascii="Arial" w:hAnsi="Arial" w:cs="Arial"/>
          <w:sz w:val="24"/>
          <w:szCs w:val="24"/>
        </w:rPr>
        <w:t xml:space="preserve">much greater </w:t>
      </w:r>
      <w:r w:rsidR="006F7EEC" w:rsidRPr="002216AA">
        <w:rPr>
          <w:rFonts w:ascii="Arial" w:hAnsi="Arial" w:cs="Arial"/>
          <w:sz w:val="24"/>
          <w:szCs w:val="24"/>
        </w:rPr>
        <w:t xml:space="preserve">detail as the Inquiry progresses. </w:t>
      </w:r>
    </w:p>
    <w:p w14:paraId="31A5C32D" w14:textId="4092C165" w:rsidR="006F7B42" w:rsidRPr="0018683D" w:rsidRDefault="006F7B42" w:rsidP="003E5943">
      <w:pPr>
        <w:spacing w:after="0" w:line="360" w:lineRule="auto"/>
        <w:ind w:left="1701" w:hanging="567"/>
        <w:rPr>
          <w:rFonts w:ascii="Arial" w:eastAsia="Times New Roman" w:hAnsi="Arial" w:cs="Arial"/>
          <w:sz w:val="24"/>
          <w:szCs w:val="24"/>
          <w:lang w:eastAsia="en-NZ"/>
        </w:rPr>
      </w:pPr>
    </w:p>
    <w:p w14:paraId="45D762D7" w14:textId="0C4BFC1B" w:rsidR="00713B00" w:rsidRPr="0018683D" w:rsidRDefault="00AC2460" w:rsidP="00AB20F3">
      <w:pPr>
        <w:pStyle w:val="Heading3"/>
        <w:numPr>
          <w:ilvl w:val="0"/>
          <w:numId w:val="13"/>
        </w:numPr>
        <w:spacing w:line="360" w:lineRule="auto"/>
        <w:ind w:left="1134" w:hanging="567"/>
        <w:rPr>
          <w:rFonts w:ascii="Arial" w:hAnsi="Arial" w:cs="Arial"/>
          <w:b/>
          <w:color w:val="auto"/>
        </w:rPr>
      </w:pPr>
      <w:r w:rsidRPr="0018683D">
        <w:rPr>
          <w:rFonts w:ascii="Arial" w:hAnsi="Arial" w:cs="Arial"/>
          <w:b/>
          <w:color w:val="auto"/>
        </w:rPr>
        <w:t>Summary of Recent Cabinet-le</w:t>
      </w:r>
      <w:r w:rsidR="00FD2FC0" w:rsidRPr="0018683D">
        <w:rPr>
          <w:rFonts w:ascii="Arial" w:hAnsi="Arial" w:cs="Arial"/>
          <w:b/>
          <w:color w:val="auto"/>
        </w:rPr>
        <w:t>d</w:t>
      </w:r>
      <w:r w:rsidRPr="0018683D">
        <w:rPr>
          <w:rFonts w:ascii="Arial" w:hAnsi="Arial" w:cs="Arial"/>
          <w:b/>
          <w:color w:val="auto"/>
        </w:rPr>
        <w:t xml:space="preserve"> </w:t>
      </w:r>
      <w:r w:rsidR="004E12C7">
        <w:rPr>
          <w:rFonts w:ascii="Arial" w:hAnsi="Arial" w:cs="Arial"/>
          <w:b/>
          <w:color w:val="auto"/>
        </w:rPr>
        <w:t>Advice</w:t>
      </w:r>
      <w:r w:rsidR="00D73424" w:rsidRPr="0018683D">
        <w:rPr>
          <w:rFonts w:ascii="Arial" w:hAnsi="Arial" w:cs="Arial"/>
          <w:b/>
          <w:color w:val="auto"/>
        </w:rPr>
        <w:t xml:space="preserve"> on </w:t>
      </w:r>
      <w:r w:rsidR="004E12C7">
        <w:rPr>
          <w:rFonts w:ascii="Arial" w:hAnsi="Arial" w:cs="Arial"/>
          <w:b/>
          <w:color w:val="auto"/>
        </w:rPr>
        <w:t xml:space="preserve">the Application of the Treaty </w:t>
      </w:r>
    </w:p>
    <w:p w14:paraId="217799AE" w14:textId="77777777" w:rsidR="00251683" w:rsidRPr="0018683D" w:rsidRDefault="00251683" w:rsidP="00731318">
      <w:pPr>
        <w:pStyle w:val="NoSpacing"/>
        <w:spacing w:line="360" w:lineRule="auto"/>
        <w:rPr>
          <w:rFonts w:ascii="Arial" w:hAnsi="Arial" w:cs="Arial"/>
          <w:b/>
          <w:sz w:val="24"/>
          <w:szCs w:val="24"/>
        </w:rPr>
      </w:pPr>
    </w:p>
    <w:p w14:paraId="43D32B41" w14:textId="77777777" w:rsidR="002216AA" w:rsidRDefault="004022A6" w:rsidP="009F1E4C">
      <w:pPr>
        <w:pStyle w:val="ListParagraph"/>
        <w:numPr>
          <w:ilvl w:val="0"/>
          <w:numId w:val="1"/>
        </w:numPr>
        <w:spacing w:after="0" w:line="360" w:lineRule="auto"/>
        <w:ind w:left="1134" w:hanging="567"/>
        <w:rPr>
          <w:rFonts w:ascii="Arial" w:hAnsi="Arial" w:cs="Arial"/>
          <w:bCs/>
          <w:sz w:val="24"/>
          <w:szCs w:val="24"/>
        </w:rPr>
      </w:pPr>
      <w:r w:rsidRPr="002216AA">
        <w:rPr>
          <w:rFonts w:ascii="Arial" w:hAnsi="Arial" w:cs="Arial"/>
          <w:bCs/>
          <w:sz w:val="24"/>
          <w:szCs w:val="24"/>
        </w:rPr>
        <w:t>In October 2019 t</w:t>
      </w:r>
      <w:r w:rsidR="00EA076E" w:rsidRPr="002216AA">
        <w:rPr>
          <w:rFonts w:ascii="Arial" w:hAnsi="Arial" w:cs="Arial"/>
          <w:bCs/>
          <w:sz w:val="24"/>
          <w:szCs w:val="24"/>
        </w:rPr>
        <w:t xml:space="preserve">he Cabinet Office </w:t>
      </w:r>
      <w:r w:rsidR="00105F31" w:rsidRPr="002216AA">
        <w:rPr>
          <w:rFonts w:ascii="Arial" w:hAnsi="Arial" w:cs="Arial"/>
          <w:bCs/>
          <w:sz w:val="24"/>
          <w:szCs w:val="24"/>
        </w:rPr>
        <w:t xml:space="preserve">provided specific guidance </w:t>
      </w:r>
      <w:r w:rsidR="004E12C7" w:rsidRPr="002216AA">
        <w:rPr>
          <w:rFonts w:ascii="Arial" w:hAnsi="Arial" w:cs="Arial"/>
          <w:bCs/>
          <w:sz w:val="24"/>
          <w:szCs w:val="24"/>
        </w:rPr>
        <w:t xml:space="preserve">(“the Guidance”) </w:t>
      </w:r>
      <w:r w:rsidR="00165F95" w:rsidRPr="002216AA">
        <w:rPr>
          <w:rFonts w:ascii="Arial" w:hAnsi="Arial" w:cs="Arial"/>
          <w:bCs/>
          <w:sz w:val="24"/>
          <w:szCs w:val="24"/>
        </w:rPr>
        <w:t>outlining</w:t>
      </w:r>
      <w:r w:rsidR="00B9207A" w:rsidRPr="002216AA">
        <w:rPr>
          <w:rFonts w:ascii="Arial" w:hAnsi="Arial" w:cs="Arial"/>
          <w:bCs/>
          <w:sz w:val="24"/>
          <w:szCs w:val="24"/>
        </w:rPr>
        <w:t xml:space="preserve"> policy-makers</w:t>
      </w:r>
      <w:r w:rsidR="00105F31" w:rsidRPr="002216AA">
        <w:rPr>
          <w:rFonts w:ascii="Arial" w:hAnsi="Arial" w:cs="Arial"/>
          <w:bCs/>
          <w:sz w:val="24"/>
          <w:szCs w:val="24"/>
        </w:rPr>
        <w:t xml:space="preserve">’ requirements to consider the Treaty in </w:t>
      </w:r>
      <w:r w:rsidR="00165F95" w:rsidRPr="002216AA">
        <w:rPr>
          <w:rFonts w:ascii="Arial" w:hAnsi="Arial" w:cs="Arial"/>
          <w:bCs/>
          <w:sz w:val="24"/>
          <w:szCs w:val="24"/>
        </w:rPr>
        <w:t>their work</w:t>
      </w:r>
      <w:r w:rsidR="00B77940" w:rsidRPr="002216AA">
        <w:rPr>
          <w:rFonts w:ascii="Arial" w:hAnsi="Arial" w:cs="Arial"/>
          <w:bCs/>
          <w:sz w:val="24"/>
          <w:szCs w:val="24"/>
        </w:rPr>
        <w:t>.</w:t>
      </w:r>
      <w:r w:rsidR="00B77940" w:rsidRPr="0018683D">
        <w:rPr>
          <w:rStyle w:val="FootnoteReference"/>
          <w:rFonts w:ascii="Arial" w:hAnsi="Arial" w:cs="Arial"/>
          <w:bCs/>
          <w:sz w:val="24"/>
          <w:szCs w:val="24"/>
        </w:rPr>
        <w:footnoteReference w:id="27"/>
      </w:r>
      <w:r w:rsidR="004E12C7" w:rsidRPr="002216AA">
        <w:rPr>
          <w:rFonts w:ascii="Arial" w:hAnsi="Arial" w:cs="Arial"/>
          <w:bCs/>
          <w:sz w:val="24"/>
          <w:szCs w:val="24"/>
        </w:rPr>
        <w:t xml:space="preserve"> The Guidance provides tables outlining the Articles in their two texts, and lists short-form questions </w:t>
      </w:r>
      <w:r w:rsidR="00165F95" w:rsidRPr="002216AA">
        <w:rPr>
          <w:rFonts w:ascii="Arial" w:hAnsi="Arial" w:cs="Arial"/>
          <w:bCs/>
          <w:sz w:val="24"/>
          <w:szCs w:val="24"/>
        </w:rPr>
        <w:t>as guidance (outlined below in detail)</w:t>
      </w:r>
      <w:r w:rsidR="004E12C7" w:rsidRPr="002216AA">
        <w:rPr>
          <w:rFonts w:ascii="Arial" w:hAnsi="Arial" w:cs="Arial"/>
          <w:bCs/>
          <w:sz w:val="24"/>
          <w:szCs w:val="24"/>
        </w:rPr>
        <w:t xml:space="preserve">. </w:t>
      </w:r>
    </w:p>
    <w:p w14:paraId="488CF5CA" w14:textId="669A2D92" w:rsidR="00F3552A" w:rsidRPr="002216AA" w:rsidRDefault="00165F95" w:rsidP="009F1E4C">
      <w:pPr>
        <w:pStyle w:val="ListParagraph"/>
        <w:numPr>
          <w:ilvl w:val="0"/>
          <w:numId w:val="1"/>
        </w:numPr>
        <w:spacing w:after="0" w:line="360" w:lineRule="auto"/>
        <w:ind w:left="1134" w:hanging="567"/>
        <w:rPr>
          <w:rFonts w:ascii="Arial" w:hAnsi="Arial" w:cs="Arial"/>
          <w:bCs/>
          <w:sz w:val="24"/>
          <w:szCs w:val="24"/>
        </w:rPr>
      </w:pPr>
      <w:r w:rsidRPr="002216AA">
        <w:rPr>
          <w:rFonts w:ascii="Arial" w:hAnsi="Arial" w:cs="Arial"/>
          <w:bCs/>
          <w:sz w:val="24"/>
          <w:szCs w:val="24"/>
        </w:rPr>
        <w:lastRenderedPageBreak/>
        <w:t>Prior to the specific guidance, the document outlines</w:t>
      </w:r>
      <w:r w:rsidR="00FC1CDF" w:rsidRPr="002216AA">
        <w:rPr>
          <w:rFonts w:ascii="Arial" w:hAnsi="Arial" w:cs="Arial"/>
          <w:bCs/>
          <w:sz w:val="24"/>
          <w:szCs w:val="24"/>
        </w:rPr>
        <w:t xml:space="preserve"> </w:t>
      </w:r>
      <w:r w:rsidR="00FD6BE3" w:rsidRPr="002216AA">
        <w:rPr>
          <w:rFonts w:ascii="Arial" w:hAnsi="Arial" w:cs="Arial"/>
          <w:bCs/>
          <w:sz w:val="24"/>
          <w:szCs w:val="24"/>
        </w:rPr>
        <w:t xml:space="preserve">existing government </w:t>
      </w:r>
      <w:r w:rsidR="0018683D" w:rsidRPr="002216AA">
        <w:rPr>
          <w:rFonts w:ascii="Arial" w:hAnsi="Arial" w:cs="Arial"/>
          <w:bCs/>
          <w:sz w:val="24"/>
          <w:szCs w:val="24"/>
        </w:rPr>
        <w:t xml:space="preserve">guidance </w:t>
      </w:r>
      <w:r w:rsidR="00B0331F" w:rsidRPr="002216AA">
        <w:rPr>
          <w:rFonts w:ascii="Arial" w:hAnsi="Arial" w:cs="Arial"/>
          <w:bCs/>
          <w:sz w:val="24"/>
          <w:szCs w:val="24"/>
        </w:rPr>
        <w:t>on the Treaty</w:t>
      </w:r>
      <w:r w:rsidR="005A4E4F" w:rsidRPr="002216AA">
        <w:rPr>
          <w:rFonts w:ascii="Arial" w:hAnsi="Arial" w:cs="Arial"/>
          <w:bCs/>
          <w:sz w:val="24"/>
          <w:szCs w:val="24"/>
        </w:rPr>
        <w:t>,</w:t>
      </w:r>
      <w:r w:rsidR="00CE3526" w:rsidRPr="0018683D">
        <w:rPr>
          <w:rStyle w:val="FootnoteReference"/>
          <w:rFonts w:ascii="Arial" w:hAnsi="Arial" w:cs="Arial"/>
          <w:bCs/>
          <w:sz w:val="24"/>
          <w:szCs w:val="24"/>
        </w:rPr>
        <w:footnoteReference w:id="28"/>
      </w:r>
      <w:r w:rsidR="00623FBB" w:rsidRPr="002216AA">
        <w:rPr>
          <w:rFonts w:ascii="Arial" w:hAnsi="Arial" w:cs="Arial"/>
          <w:bCs/>
          <w:sz w:val="24"/>
          <w:szCs w:val="24"/>
        </w:rPr>
        <w:t xml:space="preserve"> </w:t>
      </w:r>
      <w:r w:rsidR="005A4E4F" w:rsidRPr="002216AA">
        <w:rPr>
          <w:rFonts w:ascii="Arial" w:hAnsi="Arial" w:cs="Arial"/>
          <w:bCs/>
          <w:sz w:val="24"/>
          <w:szCs w:val="24"/>
        </w:rPr>
        <w:t>and r</w:t>
      </w:r>
      <w:r w:rsidR="00623FBB" w:rsidRPr="002216AA">
        <w:rPr>
          <w:rFonts w:ascii="Arial" w:hAnsi="Arial" w:cs="Arial"/>
          <w:bCs/>
          <w:sz w:val="24"/>
          <w:szCs w:val="24"/>
        </w:rPr>
        <w:t>efers to the</w:t>
      </w:r>
      <w:r w:rsidR="00B93AA9" w:rsidRPr="002216AA">
        <w:rPr>
          <w:rFonts w:ascii="Arial" w:hAnsi="Arial" w:cs="Arial"/>
          <w:bCs/>
          <w:sz w:val="24"/>
          <w:szCs w:val="24"/>
        </w:rPr>
        <w:t xml:space="preserve"> Legislation</w:t>
      </w:r>
      <w:r w:rsidR="00E73E65" w:rsidRPr="002216AA">
        <w:rPr>
          <w:rFonts w:ascii="Arial" w:hAnsi="Arial" w:cs="Arial"/>
          <w:bCs/>
          <w:sz w:val="24"/>
          <w:szCs w:val="24"/>
        </w:rPr>
        <w:t xml:space="preserve"> Design and Advisory</w:t>
      </w:r>
      <w:r w:rsidR="001676D5" w:rsidRPr="002216AA">
        <w:rPr>
          <w:rFonts w:ascii="Arial" w:hAnsi="Arial" w:cs="Arial"/>
          <w:bCs/>
          <w:sz w:val="24"/>
          <w:szCs w:val="24"/>
        </w:rPr>
        <w:t xml:space="preserve"> Committee</w:t>
      </w:r>
      <w:r w:rsidR="004E12C7" w:rsidRPr="002216AA">
        <w:rPr>
          <w:rFonts w:ascii="Arial" w:hAnsi="Arial" w:cs="Arial"/>
          <w:bCs/>
          <w:sz w:val="24"/>
          <w:szCs w:val="24"/>
        </w:rPr>
        <w:t xml:space="preserve"> Guidelines</w:t>
      </w:r>
      <w:r w:rsidRPr="002216AA">
        <w:rPr>
          <w:rFonts w:ascii="Arial" w:hAnsi="Arial" w:cs="Arial"/>
          <w:bCs/>
          <w:sz w:val="24"/>
          <w:szCs w:val="24"/>
        </w:rPr>
        <w:t>,</w:t>
      </w:r>
      <w:r w:rsidR="00710342" w:rsidRPr="0018683D">
        <w:rPr>
          <w:rStyle w:val="FootnoteReference"/>
          <w:rFonts w:ascii="Arial" w:hAnsi="Arial" w:cs="Arial"/>
          <w:bCs/>
          <w:sz w:val="24"/>
          <w:szCs w:val="24"/>
        </w:rPr>
        <w:footnoteReference w:id="29"/>
      </w:r>
      <w:r w:rsidR="00E73E65" w:rsidRPr="002216AA">
        <w:rPr>
          <w:rFonts w:ascii="Arial" w:hAnsi="Arial" w:cs="Arial"/>
          <w:bCs/>
          <w:sz w:val="24"/>
          <w:szCs w:val="24"/>
        </w:rPr>
        <w:t xml:space="preserve"> </w:t>
      </w:r>
      <w:r w:rsidRPr="002216AA">
        <w:rPr>
          <w:rFonts w:ascii="Arial" w:hAnsi="Arial" w:cs="Arial"/>
          <w:bCs/>
          <w:sz w:val="24"/>
          <w:szCs w:val="24"/>
        </w:rPr>
        <w:t>which outlines</w:t>
      </w:r>
      <w:r w:rsidR="008F4CB0" w:rsidRPr="002216AA">
        <w:rPr>
          <w:rFonts w:ascii="Arial" w:hAnsi="Arial" w:cs="Arial"/>
          <w:bCs/>
          <w:sz w:val="24"/>
          <w:szCs w:val="24"/>
        </w:rPr>
        <w:t>:</w:t>
      </w:r>
      <w:r w:rsidR="003775DA" w:rsidRPr="0018683D">
        <w:rPr>
          <w:rStyle w:val="FootnoteReference"/>
          <w:rFonts w:ascii="Arial" w:hAnsi="Arial" w:cs="Arial"/>
          <w:bCs/>
          <w:sz w:val="24"/>
          <w:szCs w:val="24"/>
        </w:rPr>
        <w:footnoteReference w:id="30"/>
      </w:r>
    </w:p>
    <w:p w14:paraId="0FFD35E0" w14:textId="77777777" w:rsidR="00251683" w:rsidRPr="0018683D" w:rsidRDefault="00251683" w:rsidP="00251683">
      <w:pPr>
        <w:pStyle w:val="ListParagraph"/>
        <w:spacing w:after="0" w:line="360" w:lineRule="auto"/>
        <w:ind w:left="927"/>
        <w:rPr>
          <w:rFonts w:ascii="Arial" w:hAnsi="Arial" w:cs="Arial"/>
          <w:bCs/>
          <w:sz w:val="24"/>
          <w:szCs w:val="24"/>
        </w:rPr>
      </w:pPr>
    </w:p>
    <w:p w14:paraId="01F9E3D7" w14:textId="0A8277BE" w:rsidR="008F4CB0" w:rsidRPr="0018683D" w:rsidRDefault="00B174FA" w:rsidP="002152DA">
      <w:pPr>
        <w:pStyle w:val="ListParagraph"/>
        <w:spacing w:after="0" w:line="360" w:lineRule="auto"/>
        <w:ind w:left="1701"/>
        <w:rPr>
          <w:rFonts w:ascii="Arial" w:hAnsi="Arial" w:cs="Arial"/>
          <w:bCs/>
          <w:i/>
          <w:iCs/>
          <w:sz w:val="24"/>
          <w:szCs w:val="24"/>
        </w:rPr>
      </w:pPr>
      <w:r w:rsidRPr="0018683D">
        <w:rPr>
          <w:rFonts w:ascii="Arial" w:hAnsi="Arial" w:cs="Arial"/>
          <w:i/>
          <w:iCs/>
          <w:sz w:val="24"/>
          <w:szCs w:val="24"/>
        </w:rPr>
        <w:t>Legislation should be consistent with the principles of the Treaty of Waitangi.</w:t>
      </w:r>
    </w:p>
    <w:p w14:paraId="71F1443D" w14:textId="77777777" w:rsidR="003775DA" w:rsidRPr="0018683D" w:rsidRDefault="003775DA" w:rsidP="004544E3">
      <w:pPr>
        <w:pStyle w:val="ListParagraph"/>
        <w:spacing w:after="0" w:line="360" w:lineRule="auto"/>
        <w:ind w:left="1440"/>
        <w:rPr>
          <w:rFonts w:ascii="Arial" w:hAnsi="Arial" w:cs="Arial"/>
          <w:bCs/>
          <w:sz w:val="24"/>
          <w:szCs w:val="24"/>
        </w:rPr>
      </w:pPr>
    </w:p>
    <w:p w14:paraId="04DA40FD" w14:textId="76E7605D" w:rsidR="003775DA" w:rsidRPr="0018683D" w:rsidRDefault="003775DA" w:rsidP="002152DA">
      <w:pPr>
        <w:pStyle w:val="ListParagraph"/>
        <w:spacing w:after="0" w:line="360" w:lineRule="auto"/>
        <w:ind w:left="1701"/>
        <w:rPr>
          <w:rFonts w:ascii="Arial" w:hAnsi="Arial" w:cs="Arial"/>
          <w:i/>
          <w:iCs/>
          <w:sz w:val="24"/>
          <w:szCs w:val="24"/>
        </w:rPr>
      </w:pPr>
      <w:r w:rsidRPr="0018683D">
        <w:rPr>
          <w:rFonts w:ascii="Arial" w:hAnsi="Arial" w:cs="Arial"/>
          <w:i/>
          <w:iCs/>
          <w:sz w:val="24"/>
          <w:szCs w:val="24"/>
        </w:rPr>
        <w:t>The Treaty is of vital constitutional importance. The development process of policy and legislation, as well as the final product, should show appropriate respect for the spirit and principles of the Treaty.</w:t>
      </w:r>
    </w:p>
    <w:p w14:paraId="2568D250" w14:textId="77777777" w:rsidR="00251683" w:rsidRPr="0018683D" w:rsidRDefault="00251683" w:rsidP="003775DA">
      <w:pPr>
        <w:pStyle w:val="ListParagraph"/>
        <w:spacing w:after="0" w:line="360" w:lineRule="auto"/>
        <w:ind w:left="2574"/>
        <w:rPr>
          <w:rFonts w:ascii="Arial" w:hAnsi="Arial" w:cs="Arial"/>
          <w:bCs/>
          <w:sz w:val="24"/>
          <w:szCs w:val="24"/>
        </w:rPr>
      </w:pPr>
    </w:p>
    <w:p w14:paraId="28C56729" w14:textId="135E5A26" w:rsidR="002B326E" w:rsidRPr="0018683D" w:rsidRDefault="00485B10" w:rsidP="00AB20F3">
      <w:pPr>
        <w:pStyle w:val="ListParagraph"/>
        <w:numPr>
          <w:ilvl w:val="0"/>
          <w:numId w:val="1"/>
        </w:numPr>
        <w:spacing w:after="0" w:line="360" w:lineRule="auto"/>
        <w:ind w:left="1134" w:hanging="567"/>
        <w:rPr>
          <w:rFonts w:ascii="Arial" w:hAnsi="Arial" w:cs="Arial"/>
          <w:bCs/>
          <w:sz w:val="24"/>
          <w:szCs w:val="24"/>
        </w:rPr>
      </w:pPr>
      <w:r w:rsidRPr="0018683D">
        <w:rPr>
          <w:rFonts w:ascii="Arial" w:hAnsi="Arial" w:cs="Arial"/>
          <w:color w:val="000000"/>
          <w:sz w:val="24"/>
          <w:szCs w:val="24"/>
          <w:shd w:val="clear" w:color="auto" w:fill="FFFFFF"/>
        </w:rPr>
        <w:t xml:space="preserve">The </w:t>
      </w:r>
      <w:r w:rsidR="000F1A18" w:rsidRPr="0018683D">
        <w:rPr>
          <w:rFonts w:ascii="Arial" w:hAnsi="Arial" w:cs="Arial"/>
          <w:bCs/>
          <w:sz w:val="24"/>
          <w:szCs w:val="24"/>
        </w:rPr>
        <w:t xml:space="preserve">Legislation Design and Advisory </w:t>
      </w:r>
      <w:r w:rsidRPr="0018683D">
        <w:rPr>
          <w:rFonts w:ascii="Arial" w:hAnsi="Arial" w:cs="Arial"/>
          <w:color w:val="000000"/>
          <w:sz w:val="24"/>
          <w:szCs w:val="24"/>
          <w:shd w:val="clear" w:color="auto" w:fill="FFFFFF"/>
        </w:rPr>
        <w:t xml:space="preserve">Committee provides several guideline </w:t>
      </w:r>
      <w:r w:rsidR="00D879AC" w:rsidRPr="0018683D">
        <w:rPr>
          <w:rFonts w:ascii="Arial" w:hAnsi="Arial" w:cs="Arial"/>
          <w:color w:val="000000"/>
          <w:sz w:val="24"/>
          <w:szCs w:val="24"/>
          <w:shd w:val="clear" w:color="auto" w:fill="FFFFFF"/>
        </w:rPr>
        <w:t xml:space="preserve">considerations </w:t>
      </w:r>
      <w:r w:rsidR="00396313" w:rsidRPr="0018683D">
        <w:rPr>
          <w:rFonts w:ascii="Arial" w:hAnsi="Arial" w:cs="Arial"/>
          <w:color w:val="000000"/>
          <w:sz w:val="24"/>
          <w:szCs w:val="24"/>
          <w:shd w:val="clear" w:color="auto" w:fill="FFFFFF"/>
        </w:rPr>
        <w:t xml:space="preserve">for </w:t>
      </w:r>
      <w:r w:rsidR="0086230E" w:rsidRPr="0018683D">
        <w:rPr>
          <w:rFonts w:ascii="Arial" w:hAnsi="Arial" w:cs="Arial"/>
          <w:color w:val="000000"/>
          <w:sz w:val="24"/>
          <w:szCs w:val="24"/>
          <w:shd w:val="clear" w:color="auto" w:fill="FFFFFF"/>
        </w:rPr>
        <w:t>application</w:t>
      </w:r>
      <w:r w:rsidR="00396313" w:rsidRPr="0018683D">
        <w:rPr>
          <w:rFonts w:ascii="Arial" w:hAnsi="Arial" w:cs="Arial"/>
          <w:color w:val="000000"/>
          <w:sz w:val="24"/>
          <w:szCs w:val="24"/>
          <w:shd w:val="clear" w:color="auto" w:fill="FFFFFF"/>
        </w:rPr>
        <w:t xml:space="preserve"> in </w:t>
      </w:r>
      <w:r w:rsidR="00691A2B" w:rsidRPr="0018683D">
        <w:rPr>
          <w:rFonts w:ascii="Arial" w:hAnsi="Arial" w:cs="Arial"/>
          <w:color w:val="000000"/>
          <w:sz w:val="24"/>
          <w:szCs w:val="24"/>
          <w:shd w:val="clear" w:color="auto" w:fill="FFFFFF"/>
        </w:rPr>
        <w:t>the development of policy and legislation</w:t>
      </w:r>
      <w:r w:rsidR="00165F95">
        <w:rPr>
          <w:rFonts w:ascii="Arial" w:hAnsi="Arial" w:cs="Arial"/>
          <w:color w:val="000000"/>
          <w:sz w:val="24"/>
          <w:szCs w:val="24"/>
          <w:shd w:val="clear" w:color="auto" w:fill="FFFFFF"/>
        </w:rPr>
        <w:t>. Each area has full paragraphs to explain the implications of the particular issue</w:t>
      </w:r>
      <w:r w:rsidR="0086230E" w:rsidRPr="0018683D">
        <w:rPr>
          <w:rFonts w:ascii="Arial" w:hAnsi="Arial" w:cs="Arial"/>
          <w:color w:val="000000"/>
          <w:sz w:val="24"/>
          <w:szCs w:val="24"/>
          <w:shd w:val="clear" w:color="auto" w:fill="FFFFFF"/>
        </w:rPr>
        <w:t>:</w:t>
      </w:r>
      <w:r w:rsidR="00C11A89" w:rsidRPr="0018683D">
        <w:rPr>
          <w:rStyle w:val="FootnoteReference"/>
          <w:rFonts w:ascii="Arial" w:hAnsi="Arial" w:cs="Arial"/>
          <w:color w:val="000000"/>
          <w:sz w:val="24"/>
          <w:szCs w:val="24"/>
          <w:shd w:val="clear" w:color="auto" w:fill="FFFFFF"/>
        </w:rPr>
        <w:footnoteReference w:id="31"/>
      </w:r>
    </w:p>
    <w:p w14:paraId="49F93203" w14:textId="77777777" w:rsidR="004544E3" w:rsidRPr="0018683D" w:rsidRDefault="004544E3" w:rsidP="004544E3">
      <w:pPr>
        <w:pStyle w:val="ListParagraph"/>
        <w:spacing w:after="0" w:line="360" w:lineRule="auto"/>
        <w:ind w:left="1134"/>
        <w:rPr>
          <w:rFonts w:ascii="Arial" w:hAnsi="Arial" w:cs="Arial"/>
          <w:bCs/>
          <w:sz w:val="24"/>
          <w:szCs w:val="24"/>
        </w:rPr>
      </w:pPr>
    </w:p>
    <w:p w14:paraId="4D93019D" w14:textId="7BE930B3" w:rsidR="0086230E" w:rsidRPr="001D2025" w:rsidRDefault="00D879AC" w:rsidP="00AB20F3">
      <w:pPr>
        <w:pStyle w:val="ListParagraph"/>
        <w:numPr>
          <w:ilvl w:val="0"/>
          <w:numId w:val="8"/>
        </w:numPr>
        <w:spacing w:after="0" w:line="360" w:lineRule="auto"/>
        <w:ind w:left="1701" w:hanging="567"/>
        <w:rPr>
          <w:rFonts w:ascii="Arial" w:hAnsi="Arial" w:cs="Arial"/>
          <w:bCs/>
          <w:sz w:val="24"/>
          <w:szCs w:val="24"/>
        </w:rPr>
      </w:pPr>
      <w:r w:rsidRPr="001D2025">
        <w:rPr>
          <w:rFonts w:ascii="Arial" w:hAnsi="Arial" w:cs="Arial"/>
          <w:bCs/>
          <w:sz w:val="24"/>
          <w:szCs w:val="24"/>
        </w:rPr>
        <w:t>Whether the proposal affects or has the potential to affect rights or interests of Māori under the Treaty;</w:t>
      </w:r>
    </w:p>
    <w:p w14:paraId="055A8B85" w14:textId="54C5F1B3" w:rsidR="00D879AC" w:rsidRPr="0018683D" w:rsidRDefault="00D879AC" w:rsidP="00AB20F3">
      <w:pPr>
        <w:pStyle w:val="ListParagraph"/>
        <w:numPr>
          <w:ilvl w:val="0"/>
          <w:numId w:val="8"/>
        </w:numPr>
        <w:spacing w:after="0" w:line="360" w:lineRule="auto"/>
        <w:ind w:left="1701" w:hanging="567"/>
        <w:rPr>
          <w:rFonts w:ascii="Arial" w:hAnsi="Arial" w:cs="Arial"/>
          <w:bCs/>
          <w:sz w:val="24"/>
          <w:szCs w:val="24"/>
        </w:rPr>
      </w:pPr>
      <w:r w:rsidRPr="0018683D">
        <w:rPr>
          <w:rFonts w:ascii="Arial" w:hAnsi="Arial" w:cs="Arial"/>
          <w:bCs/>
          <w:sz w:val="24"/>
          <w:szCs w:val="24"/>
        </w:rPr>
        <w:t>Whether the proposal impacts Crown Treaty commitments;</w:t>
      </w:r>
    </w:p>
    <w:p w14:paraId="48D63046" w14:textId="467989FC" w:rsidR="00D879AC" w:rsidRPr="0018683D" w:rsidRDefault="00CC2FEC" w:rsidP="00AB20F3">
      <w:pPr>
        <w:pStyle w:val="ListParagraph"/>
        <w:numPr>
          <w:ilvl w:val="0"/>
          <w:numId w:val="8"/>
        </w:numPr>
        <w:spacing w:after="0" w:line="360" w:lineRule="auto"/>
        <w:ind w:left="1701" w:hanging="567"/>
        <w:rPr>
          <w:rFonts w:ascii="Arial" w:hAnsi="Arial" w:cs="Arial"/>
          <w:bCs/>
          <w:sz w:val="24"/>
          <w:szCs w:val="24"/>
        </w:rPr>
      </w:pPr>
      <w:r w:rsidRPr="0018683D">
        <w:rPr>
          <w:rFonts w:ascii="Arial" w:hAnsi="Arial" w:cs="Arial"/>
          <w:bCs/>
          <w:sz w:val="24"/>
          <w:szCs w:val="24"/>
        </w:rPr>
        <w:t>Whether there is a pote</w:t>
      </w:r>
      <w:r w:rsidR="00D60A0A" w:rsidRPr="0018683D">
        <w:rPr>
          <w:rFonts w:ascii="Arial" w:hAnsi="Arial" w:cs="Arial"/>
          <w:bCs/>
          <w:sz w:val="24"/>
          <w:szCs w:val="24"/>
        </w:rPr>
        <w:t xml:space="preserve">ntial </w:t>
      </w:r>
      <w:r w:rsidR="001D2025">
        <w:rPr>
          <w:rFonts w:ascii="Arial" w:hAnsi="Arial" w:cs="Arial"/>
          <w:bCs/>
          <w:sz w:val="24"/>
          <w:szCs w:val="24"/>
        </w:rPr>
        <w:t>e</w:t>
      </w:r>
      <w:r w:rsidR="00D60A0A" w:rsidRPr="0018683D">
        <w:rPr>
          <w:rFonts w:ascii="Arial" w:hAnsi="Arial" w:cs="Arial"/>
          <w:bCs/>
          <w:sz w:val="24"/>
          <w:szCs w:val="24"/>
        </w:rPr>
        <w:t>ffect on rights and interests recognised at common law or in practices governed by tikanga</w:t>
      </w:r>
    </w:p>
    <w:p w14:paraId="7DCC7C21" w14:textId="06AA1879" w:rsidR="00D60A0A" w:rsidRPr="0018683D" w:rsidRDefault="00D60A0A" w:rsidP="00AB20F3">
      <w:pPr>
        <w:pStyle w:val="ListParagraph"/>
        <w:numPr>
          <w:ilvl w:val="0"/>
          <w:numId w:val="8"/>
        </w:numPr>
        <w:spacing w:after="0" w:line="360" w:lineRule="auto"/>
        <w:ind w:left="1701" w:hanging="567"/>
        <w:rPr>
          <w:rFonts w:ascii="Arial" w:hAnsi="Arial" w:cs="Arial"/>
          <w:bCs/>
          <w:sz w:val="24"/>
          <w:szCs w:val="24"/>
        </w:rPr>
      </w:pPr>
      <w:r w:rsidRPr="0018683D">
        <w:rPr>
          <w:rFonts w:ascii="Arial" w:hAnsi="Arial" w:cs="Arial"/>
          <w:bCs/>
          <w:sz w:val="24"/>
          <w:szCs w:val="24"/>
        </w:rPr>
        <w:t>Whether Māori should be consulted</w:t>
      </w:r>
    </w:p>
    <w:p w14:paraId="474EA689" w14:textId="2682B36F" w:rsidR="00D60A0A" w:rsidRPr="0018683D" w:rsidRDefault="00417815" w:rsidP="00AB20F3">
      <w:pPr>
        <w:pStyle w:val="ListParagraph"/>
        <w:numPr>
          <w:ilvl w:val="0"/>
          <w:numId w:val="8"/>
        </w:numPr>
        <w:spacing w:after="0" w:line="360" w:lineRule="auto"/>
        <w:ind w:left="1701" w:hanging="567"/>
        <w:rPr>
          <w:rFonts w:ascii="Arial" w:hAnsi="Arial" w:cs="Arial"/>
          <w:bCs/>
          <w:sz w:val="24"/>
          <w:szCs w:val="24"/>
        </w:rPr>
      </w:pPr>
      <w:r w:rsidRPr="0018683D">
        <w:rPr>
          <w:rFonts w:ascii="Arial" w:hAnsi="Arial" w:cs="Arial"/>
          <w:bCs/>
          <w:sz w:val="24"/>
          <w:szCs w:val="24"/>
        </w:rPr>
        <w:t xml:space="preserve">Who from </w:t>
      </w:r>
      <w:proofErr w:type="spellStart"/>
      <w:r w:rsidRPr="0018683D">
        <w:rPr>
          <w:rFonts w:ascii="Arial" w:hAnsi="Arial" w:cs="Arial"/>
          <w:bCs/>
          <w:sz w:val="24"/>
          <w:szCs w:val="24"/>
        </w:rPr>
        <w:t>Māoridom</w:t>
      </w:r>
      <w:proofErr w:type="spellEnd"/>
      <w:r w:rsidRPr="0018683D">
        <w:rPr>
          <w:rFonts w:ascii="Arial" w:hAnsi="Arial" w:cs="Arial"/>
          <w:bCs/>
          <w:sz w:val="24"/>
          <w:szCs w:val="24"/>
        </w:rPr>
        <w:t xml:space="preserve"> should be consulted to ensure the consultation targets the people whose interests are affected;</w:t>
      </w:r>
    </w:p>
    <w:p w14:paraId="7F2A6BB5" w14:textId="25C014A4" w:rsidR="00417815" w:rsidRPr="0018683D" w:rsidRDefault="00417815" w:rsidP="00AB20F3">
      <w:pPr>
        <w:pStyle w:val="ListParagraph"/>
        <w:numPr>
          <w:ilvl w:val="0"/>
          <w:numId w:val="8"/>
        </w:numPr>
        <w:spacing w:after="0" w:line="360" w:lineRule="auto"/>
        <w:ind w:left="1701" w:hanging="567"/>
        <w:rPr>
          <w:rFonts w:ascii="Arial" w:hAnsi="Arial" w:cs="Arial"/>
          <w:bCs/>
          <w:sz w:val="24"/>
          <w:szCs w:val="24"/>
        </w:rPr>
      </w:pPr>
      <w:r w:rsidRPr="0018683D">
        <w:rPr>
          <w:rFonts w:ascii="Arial" w:hAnsi="Arial" w:cs="Arial"/>
          <w:bCs/>
          <w:sz w:val="24"/>
          <w:szCs w:val="24"/>
        </w:rPr>
        <w:t xml:space="preserve">Whether the legislation provides safeguards for Māori interests in the </w:t>
      </w:r>
      <w:r w:rsidR="001336F9" w:rsidRPr="0018683D">
        <w:rPr>
          <w:rFonts w:ascii="Arial" w:hAnsi="Arial" w:cs="Arial"/>
          <w:bCs/>
          <w:sz w:val="24"/>
          <w:szCs w:val="24"/>
        </w:rPr>
        <w:t xml:space="preserve">event of </w:t>
      </w:r>
      <w:r w:rsidRPr="0018683D">
        <w:rPr>
          <w:rFonts w:ascii="Arial" w:hAnsi="Arial" w:cs="Arial"/>
          <w:bCs/>
          <w:sz w:val="24"/>
          <w:szCs w:val="24"/>
        </w:rPr>
        <w:t>potential conflicts with Treaty principles;</w:t>
      </w:r>
    </w:p>
    <w:p w14:paraId="2ADE29DD" w14:textId="1B771DBC" w:rsidR="00417815" w:rsidRPr="0018683D" w:rsidRDefault="00956B08" w:rsidP="00AB20F3">
      <w:pPr>
        <w:pStyle w:val="ListParagraph"/>
        <w:numPr>
          <w:ilvl w:val="0"/>
          <w:numId w:val="8"/>
        </w:numPr>
        <w:spacing w:after="0" w:line="360" w:lineRule="auto"/>
        <w:ind w:left="1701" w:hanging="567"/>
        <w:rPr>
          <w:rFonts w:ascii="Arial" w:hAnsi="Arial" w:cs="Arial"/>
          <w:bCs/>
          <w:sz w:val="24"/>
          <w:szCs w:val="24"/>
        </w:rPr>
      </w:pPr>
      <w:r w:rsidRPr="0018683D">
        <w:rPr>
          <w:rFonts w:ascii="Arial" w:hAnsi="Arial" w:cs="Arial"/>
          <w:bCs/>
          <w:sz w:val="24"/>
          <w:szCs w:val="24"/>
        </w:rPr>
        <w:lastRenderedPageBreak/>
        <w:t>Th</w:t>
      </w:r>
      <w:r w:rsidR="00B90F8E" w:rsidRPr="0018683D">
        <w:rPr>
          <w:rFonts w:ascii="Arial" w:hAnsi="Arial" w:cs="Arial"/>
          <w:bCs/>
          <w:sz w:val="24"/>
          <w:szCs w:val="24"/>
        </w:rPr>
        <w:t xml:space="preserve">at </w:t>
      </w:r>
      <w:r w:rsidRPr="0018683D">
        <w:rPr>
          <w:rFonts w:ascii="Arial" w:hAnsi="Arial" w:cs="Arial"/>
          <w:bCs/>
          <w:sz w:val="24"/>
          <w:szCs w:val="24"/>
        </w:rPr>
        <w:t>clarity</w:t>
      </w:r>
      <w:r w:rsidR="00B90F8E" w:rsidRPr="0018683D">
        <w:rPr>
          <w:rFonts w:ascii="Arial" w:hAnsi="Arial" w:cs="Arial"/>
          <w:bCs/>
          <w:sz w:val="24"/>
          <w:szCs w:val="24"/>
        </w:rPr>
        <w:t xml:space="preserve"> is necessary</w:t>
      </w:r>
      <w:r w:rsidRPr="0018683D">
        <w:rPr>
          <w:rFonts w:ascii="Arial" w:hAnsi="Arial" w:cs="Arial"/>
          <w:bCs/>
          <w:sz w:val="24"/>
          <w:szCs w:val="24"/>
        </w:rPr>
        <w:t xml:space="preserve"> in </w:t>
      </w:r>
      <w:r w:rsidR="00B90F8E" w:rsidRPr="0018683D">
        <w:rPr>
          <w:rFonts w:ascii="Arial" w:hAnsi="Arial" w:cs="Arial"/>
          <w:bCs/>
          <w:sz w:val="24"/>
          <w:szCs w:val="24"/>
        </w:rPr>
        <w:t xml:space="preserve">rare cases where </w:t>
      </w:r>
      <w:r w:rsidRPr="0018683D">
        <w:rPr>
          <w:rFonts w:ascii="Arial" w:hAnsi="Arial" w:cs="Arial"/>
          <w:bCs/>
          <w:sz w:val="24"/>
          <w:szCs w:val="24"/>
        </w:rPr>
        <w:t xml:space="preserve">Parliament intends to </w:t>
      </w:r>
      <w:r w:rsidR="00B90F8E" w:rsidRPr="0018683D">
        <w:rPr>
          <w:rFonts w:ascii="Arial" w:hAnsi="Arial" w:cs="Arial"/>
          <w:bCs/>
          <w:sz w:val="24"/>
          <w:szCs w:val="24"/>
        </w:rPr>
        <w:t>be inconsistent with Treaty principles</w:t>
      </w:r>
      <w:r w:rsidR="002B1927" w:rsidRPr="0018683D">
        <w:rPr>
          <w:rFonts w:ascii="Arial" w:hAnsi="Arial" w:cs="Arial"/>
          <w:bCs/>
          <w:sz w:val="24"/>
          <w:szCs w:val="24"/>
        </w:rPr>
        <w:t>.</w:t>
      </w:r>
    </w:p>
    <w:p w14:paraId="2C0E76FE" w14:textId="77777777" w:rsidR="009E489C" w:rsidRDefault="009E489C" w:rsidP="009E489C">
      <w:pPr>
        <w:pStyle w:val="ListParagraph"/>
        <w:spacing w:after="0" w:line="360" w:lineRule="auto"/>
        <w:ind w:left="1134"/>
        <w:rPr>
          <w:rFonts w:ascii="Arial" w:hAnsi="Arial" w:cs="Arial"/>
          <w:bCs/>
          <w:sz w:val="24"/>
          <w:szCs w:val="24"/>
        </w:rPr>
      </w:pPr>
    </w:p>
    <w:p w14:paraId="15D0508E" w14:textId="29941E8E" w:rsidR="001676D5" w:rsidRPr="0018683D" w:rsidRDefault="000F1A18" w:rsidP="00AB20F3">
      <w:pPr>
        <w:pStyle w:val="ListParagraph"/>
        <w:numPr>
          <w:ilvl w:val="0"/>
          <w:numId w:val="1"/>
        </w:numPr>
        <w:spacing w:after="0" w:line="360" w:lineRule="auto"/>
        <w:ind w:left="1134" w:hanging="567"/>
        <w:rPr>
          <w:rFonts w:ascii="Arial" w:hAnsi="Arial" w:cs="Arial"/>
          <w:bCs/>
          <w:sz w:val="24"/>
          <w:szCs w:val="24"/>
        </w:rPr>
      </w:pPr>
      <w:r w:rsidRPr="0018683D">
        <w:rPr>
          <w:rFonts w:ascii="Arial" w:hAnsi="Arial" w:cs="Arial"/>
          <w:bCs/>
          <w:sz w:val="24"/>
          <w:szCs w:val="24"/>
        </w:rPr>
        <w:t xml:space="preserve">The </w:t>
      </w:r>
      <w:r w:rsidR="00AD623E">
        <w:rPr>
          <w:rFonts w:ascii="Arial" w:hAnsi="Arial" w:cs="Arial"/>
          <w:bCs/>
          <w:sz w:val="24"/>
          <w:szCs w:val="24"/>
        </w:rPr>
        <w:t xml:space="preserve">Guidance </w:t>
      </w:r>
      <w:r w:rsidRPr="0018683D">
        <w:rPr>
          <w:rFonts w:ascii="Arial" w:hAnsi="Arial" w:cs="Arial"/>
          <w:bCs/>
          <w:sz w:val="24"/>
          <w:szCs w:val="24"/>
        </w:rPr>
        <w:t xml:space="preserve">also </w:t>
      </w:r>
      <w:r w:rsidRPr="0018683D">
        <w:rPr>
          <w:rFonts w:ascii="Arial" w:hAnsi="Arial" w:cs="Arial"/>
          <w:color w:val="000000"/>
          <w:sz w:val="24"/>
          <w:szCs w:val="24"/>
          <w:shd w:val="clear" w:color="auto" w:fill="FFFFFF"/>
        </w:rPr>
        <w:t>refers</w:t>
      </w:r>
      <w:r w:rsidRPr="0018683D">
        <w:rPr>
          <w:rFonts w:ascii="Arial" w:hAnsi="Arial" w:cs="Arial"/>
          <w:bCs/>
          <w:sz w:val="24"/>
          <w:szCs w:val="24"/>
        </w:rPr>
        <w:t xml:space="preserve"> to</w:t>
      </w:r>
      <w:r w:rsidR="00165F95">
        <w:rPr>
          <w:rFonts w:ascii="Arial" w:hAnsi="Arial" w:cs="Arial"/>
          <w:bCs/>
          <w:sz w:val="24"/>
          <w:szCs w:val="24"/>
        </w:rPr>
        <w:t xml:space="preserve"> a</w:t>
      </w:r>
      <w:r w:rsidRPr="0018683D">
        <w:rPr>
          <w:rFonts w:ascii="Arial" w:hAnsi="Arial" w:cs="Arial"/>
          <w:bCs/>
          <w:sz w:val="24"/>
          <w:szCs w:val="24"/>
        </w:rPr>
        <w:t xml:space="preserve"> </w:t>
      </w:r>
      <w:r w:rsidR="001676D5" w:rsidRPr="0018683D">
        <w:rPr>
          <w:rFonts w:ascii="Arial" w:hAnsi="Arial" w:cs="Arial"/>
          <w:bCs/>
          <w:sz w:val="24"/>
          <w:szCs w:val="24"/>
        </w:rPr>
        <w:t xml:space="preserve">Te </w:t>
      </w:r>
      <w:proofErr w:type="spellStart"/>
      <w:r w:rsidR="001676D5" w:rsidRPr="0018683D">
        <w:rPr>
          <w:rFonts w:ascii="Arial" w:hAnsi="Arial" w:cs="Arial"/>
          <w:bCs/>
          <w:sz w:val="24"/>
          <w:szCs w:val="24"/>
        </w:rPr>
        <w:t>Puni</w:t>
      </w:r>
      <w:proofErr w:type="spellEnd"/>
      <w:r w:rsidR="001676D5" w:rsidRPr="0018683D">
        <w:rPr>
          <w:rFonts w:ascii="Arial" w:hAnsi="Arial" w:cs="Arial"/>
          <w:bCs/>
          <w:sz w:val="24"/>
          <w:szCs w:val="24"/>
        </w:rPr>
        <w:t xml:space="preserve"> </w:t>
      </w:r>
      <w:proofErr w:type="spellStart"/>
      <w:r w:rsidR="001676D5" w:rsidRPr="0018683D">
        <w:rPr>
          <w:rFonts w:ascii="Arial" w:hAnsi="Arial" w:cs="Arial"/>
          <w:bCs/>
          <w:sz w:val="24"/>
          <w:szCs w:val="24"/>
        </w:rPr>
        <w:t>Kokiri</w:t>
      </w:r>
      <w:proofErr w:type="spellEnd"/>
      <w:r w:rsidR="001676D5" w:rsidRPr="0018683D">
        <w:rPr>
          <w:rFonts w:ascii="Arial" w:hAnsi="Arial" w:cs="Arial"/>
          <w:bCs/>
          <w:sz w:val="24"/>
          <w:szCs w:val="24"/>
        </w:rPr>
        <w:t xml:space="preserve"> </w:t>
      </w:r>
      <w:r w:rsidR="000856F2" w:rsidRPr="0018683D">
        <w:rPr>
          <w:rFonts w:ascii="Arial" w:hAnsi="Arial" w:cs="Arial"/>
          <w:bCs/>
          <w:sz w:val="24"/>
          <w:szCs w:val="24"/>
        </w:rPr>
        <w:t>two-page</w:t>
      </w:r>
      <w:r w:rsidR="00EF3EF4" w:rsidRPr="0018683D">
        <w:rPr>
          <w:rFonts w:ascii="Arial" w:hAnsi="Arial" w:cs="Arial"/>
          <w:bCs/>
          <w:sz w:val="24"/>
          <w:szCs w:val="24"/>
        </w:rPr>
        <w:t xml:space="preserve"> information sheet </w:t>
      </w:r>
      <w:r w:rsidR="00A75E28" w:rsidRPr="0018683D">
        <w:rPr>
          <w:rFonts w:ascii="Arial" w:hAnsi="Arial" w:cs="Arial"/>
          <w:bCs/>
          <w:sz w:val="24"/>
          <w:szCs w:val="24"/>
        </w:rPr>
        <w:t>on effective consultation</w:t>
      </w:r>
      <w:r w:rsidRPr="0018683D">
        <w:rPr>
          <w:rFonts w:ascii="Arial" w:hAnsi="Arial" w:cs="Arial"/>
          <w:bCs/>
          <w:sz w:val="24"/>
          <w:szCs w:val="24"/>
        </w:rPr>
        <w:t xml:space="preserve"> with Māori</w:t>
      </w:r>
      <w:r w:rsidR="002713C5" w:rsidRPr="0018683D">
        <w:rPr>
          <w:rFonts w:ascii="Arial" w:hAnsi="Arial" w:cs="Arial"/>
          <w:bCs/>
          <w:sz w:val="24"/>
          <w:szCs w:val="24"/>
        </w:rPr>
        <w:t xml:space="preserve">, </w:t>
      </w:r>
      <w:r w:rsidR="00165F95">
        <w:rPr>
          <w:rFonts w:ascii="Arial" w:hAnsi="Arial" w:cs="Arial"/>
          <w:bCs/>
          <w:sz w:val="24"/>
          <w:szCs w:val="24"/>
        </w:rPr>
        <w:t>which outlines</w:t>
      </w:r>
      <w:r w:rsidR="002713C5" w:rsidRPr="0018683D">
        <w:rPr>
          <w:rFonts w:ascii="Arial" w:hAnsi="Arial" w:cs="Arial"/>
          <w:bCs/>
          <w:sz w:val="24"/>
          <w:szCs w:val="24"/>
        </w:rPr>
        <w:t xml:space="preserve"> the</w:t>
      </w:r>
      <w:r w:rsidR="00B103A0" w:rsidRPr="0018683D">
        <w:rPr>
          <w:rFonts w:ascii="Arial" w:hAnsi="Arial" w:cs="Arial"/>
          <w:bCs/>
          <w:sz w:val="24"/>
          <w:szCs w:val="24"/>
        </w:rPr>
        <w:t xml:space="preserve"> </w:t>
      </w:r>
      <w:r w:rsidR="00AD3672" w:rsidRPr="0018683D">
        <w:rPr>
          <w:rFonts w:ascii="Arial" w:hAnsi="Arial" w:cs="Arial"/>
          <w:bCs/>
          <w:sz w:val="24"/>
          <w:szCs w:val="24"/>
        </w:rPr>
        <w:t xml:space="preserve">following </w:t>
      </w:r>
      <w:r w:rsidR="00326B26" w:rsidRPr="0018683D">
        <w:rPr>
          <w:rFonts w:ascii="Arial" w:hAnsi="Arial" w:cs="Arial"/>
          <w:bCs/>
          <w:sz w:val="24"/>
          <w:szCs w:val="24"/>
        </w:rPr>
        <w:t>points:</w:t>
      </w:r>
      <w:r w:rsidR="00A75E28" w:rsidRPr="0018683D">
        <w:rPr>
          <w:rStyle w:val="FootnoteReference"/>
          <w:rFonts w:ascii="Arial" w:hAnsi="Arial" w:cs="Arial"/>
          <w:bCs/>
          <w:sz w:val="24"/>
          <w:szCs w:val="24"/>
        </w:rPr>
        <w:footnoteReference w:id="32"/>
      </w:r>
    </w:p>
    <w:p w14:paraId="34F26D5D" w14:textId="77777777" w:rsidR="00255396" w:rsidRDefault="00255396" w:rsidP="00255396">
      <w:pPr>
        <w:pStyle w:val="ListParagraph"/>
        <w:spacing w:after="0" w:line="360" w:lineRule="auto"/>
        <w:ind w:left="1647"/>
        <w:rPr>
          <w:rFonts w:ascii="Arial" w:hAnsi="Arial" w:cs="Arial"/>
          <w:bCs/>
          <w:sz w:val="24"/>
          <w:szCs w:val="24"/>
        </w:rPr>
      </w:pPr>
    </w:p>
    <w:p w14:paraId="2A3D735A" w14:textId="316619A4" w:rsidR="00A75E28" w:rsidRPr="00255396" w:rsidRDefault="00066F38" w:rsidP="00AB20F3">
      <w:pPr>
        <w:pStyle w:val="ListParagraph"/>
        <w:numPr>
          <w:ilvl w:val="1"/>
          <w:numId w:val="1"/>
        </w:numPr>
        <w:spacing w:after="0" w:line="360" w:lineRule="auto"/>
        <w:ind w:left="1701" w:hanging="567"/>
        <w:rPr>
          <w:rFonts w:ascii="Arial" w:hAnsi="Arial" w:cs="Arial"/>
          <w:bCs/>
          <w:sz w:val="24"/>
          <w:szCs w:val="24"/>
        </w:rPr>
      </w:pPr>
      <w:r w:rsidRPr="00255396">
        <w:rPr>
          <w:rFonts w:ascii="Arial" w:hAnsi="Arial" w:cs="Arial"/>
          <w:bCs/>
          <w:sz w:val="24"/>
          <w:szCs w:val="24"/>
        </w:rPr>
        <w:t>There has been a recognition of the need to move away from “one-off” consultation</w:t>
      </w:r>
      <w:r w:rsidR="00A40CA8" w:rsidRPr="00255396">
        <w:rPr>
          <w:rFonts w:ascii="Arial" w:hAnsi="Arial" w:cs="Arial"/>
          <w:bCs/>
          <w:sz w:val="24"/>
          <w:szCs w:val="24"/>
        </w:rPr>
        <w:t>;</w:t>
      </w:r>
    </w:p>
    <w:p w14:paraId="66187919" w14:textId="0330FD31" w:rsidR="00A40CA8" w:rsidRPr="0018683D" w:rsidRDefault="00A40CA8" w:rsidP="00AB20F3">
      <w:pPr>
        <w:pStyle w:val="ListParagraph"/>
        <w:numPr>
          <w:ilvl w:val="1"/>
          <w:numId w:val="1"/>
        </w:numPr>
        <w:spacing w:after="0" w:line="360" w:lineRule="auto"/>
        <w:ind w:left="1701" w:hanging="567"/>
        <w:rPr>
          <w:rFonts w:ascii="Arial" w:hAnsi="Arial" w:cs="Arial"/>
          <w:bCs/>
          <w:sz w:val="24"/>
          <w:szCs w:val="24"/>
        </w:rPr>
      </w:pPr>
      <w:r w:rsidRPr="0018683D">
        <w:rPr>
          <w:rFonts w:ascii="Arial" w:hAnsi="Arial" w:cs="Arial"/>
          <w:bCs/>
          <w:sz w:val="24"/>
          <w:szCs w:val="24"/>
        </w:rPr>
        <w:t>Investment in relationships with Māori is the most effective way to engage with Māori</w:t>
      </w:r>
      <w:r w:rsidR="00423FE7" w:rsidRPr="0018683D">
        <w:rPr>
          <w:rFonts w:ascii="Arial" w:hAnsi="Arial" w:cs="Arial"/>
          <w:bCs/>
          <w:sz w:val="24"/>
          <w:szCs w:val="24"/>
        </w:rPr>
        <w:t>;</w:t>
      </w:r>
    </w:p>
    <w:p w14:paraId="45BFEE05" w14:textId="2D4B3E95" w:rsidR="007C6F81" w:rsidRPr="0018683D" w:rsidRDefault="00237498" w:rsidP="00AB20F3">
      <w:pPr>
        <w:pStyle w:val="ListParagraph"/>
        <w:numPr>
          <w:ilvl w:val="1"/>
          <w:numId w:val="1"/>
        </w:numPr>
        <w:spacing w:after="0" w:line="360" w:lineRule="auto"/>
        <w:ind w:left="1701" w:hanging="567"/>
        <w:rPr>
          <w:rFonts w:ascii="Arial" w:hAnsi="Arial" w:cs="Arial"/>
          <w:bCs/>
          <w:sz w:val="24"/>
          <w:szCs w:val="24"/>
        </w:rPr>
      </w:pPr>
      <w:r w:rsidRPr="0018683D">
        <w:rPr>
          <w:rFonts w:ascii="Arial" w:hAnsi="Arial" w:cs="Arial"/>
          <w:bCs/>
          <w:sz w:val="24"/>
          <w:szCs w:val="24"/>
        </w:rPr>
        <w:t xml:space="preserve">While engagement is both a legislative and Treaty obligation, </w:t>
      </w:r>
      <w:r w:rsidR="00423FE7" w:rsidRPr="0018683D">
        <w:rPr>
          <w:rFonts w:ascii="Arial" w:hAnsi="Arial" w:cs="Arial"/>
          <w:bCs/>
          <w:sz w:val="24"/>
          <w:szCs w:val="24"/>
        </w:rPr>
        <w:t>effective engagement assists agencies and councils to achieve quality outcomes for Māori which benefits all;</w:t>
      </w:r>
    </w:p>
    <w:p w14:paraId="27F4E478" w14:textId="367769AF" w:rsidR="00423FE7" w:rsidRPr="0018683D" w:rsidRDefault="00B40402" w:rsidP="00AB20F3">
      <w:pPr>
        <w:pStyle w:val="ListParagraph"/>
        <w:numPr>
          <w:ilvl w:val="1"/>
          <w:numId w:val="1"/>
        </w:numPr>
        <w:spacing w:after="0" w:line="360" w:lineRule="auto"/>
        <w:ind w:left="1701" w:hanging="567"/>
        <w:rPr>
          <w:rFonts w:ascii="Arial" w:hAnsi="Arial" w:cs="Arial"/>
          <w:bCs/>
          <w:sz w:val="24"/>
          <w:szCs w:val="24"/>
        </w:rPr>
      </w:pPr>
      <w:r w:rsidRPr="0018683D">
        <w:rPr>
          <w:rFonts w:ascii="Arial" w:hAnsi="Arial" w:cs="Arial"/>
          <w:bCs/>
          <w:sz w:val="24"/>
          <w:szCs w:val="24"/>
        </w:rPr>
        <w:t xml:space="preserve">A focus on relationships </w:t>
      </w:r>
      <w:r w:rsidR="00E42C88" w:rsidRPr="0018683D">
        <w:rPr>
          <w:rFonts w:ascii="Arial" w:hAnsi="Arial" w:cs="Arial"/>
          <w:bCs/>
          <w:sz w:val="24"/>
          <w:szCs w:val="24"/>
        </w:rPr>
        <w:t xml:space="preserve">will produce a better understanding of Māori perspectives resulting in </w:t>
      </w:r>
      <w:r w:rsidR="0021043E" w:rsidRPr="0018683D">
        <w:rPr>
          <w:rFonts w:ascii="Arial" w:hAnsi="Arial" w:cs="Arial"/>
          <w:bCs/>
          <w:sz w:val="24"/>
          <w:szCs w:val="24"/>
        </w:rPr>
        <w:t>councils and agencies being better informed when providing advice and delivering services that accommodate Māori aspirations;</w:t>
      </w:r>
    </w:p>
    <w:p w14:paraId="23BF05AF" w14:textId="77777777" w:rsidR="00AD623E" w:rsidRDefault="00003747" w:rsidP="00AB20F3">
      <w:pPr>
        <w:pStyle w:val="ListParagraph"/>
        <w:numPr>
          <w:ilvl w:val="1"/>
          <w:numId w:val="1"/>
        </w:numPr>
        <w:spacing w:after="0" w:line="360" w:lineRule="auto"/>
        <w:ind w:left="1701" w:hanging="567"/>
        <w:rPr>
          <w:rFonts w:ascii="Arial" w:hAnsi="Arial" w:cs="Arial"/>
          <w:bCs/>
          <w:sz w:val="24"/>
          <w:szCs w:val="24"/>
        </w:rPr>
      </w:pPr>
      <w:r w:rsidRPr="0018683D">
        <w:rPr>
          <w:rFonts w:ascii="Arial" w:hAnsi="Arial" w:cs="Arial"/>
          <w:bCs/>
          <w:sz w:val="24"/>
          <w:szCs w:val="24"/>
        </w:rPr>
        <w:t xml:space="preserve">That a strategy for effective engagement should be designed by all councils and agencies, </w:t>
      </w:r>
      <w:r w:rsidR="0019272C" w:rsidRPr="0018683D">
        <w:rPr>
          <w:rFonts w:ascii="Arial" w:hAnsi="Arial" w:cs="Arial"/>
          <w:bCs/>
          <w:sz w:val="24"/>
          <w:szCs w:val="24"/>
        </w:rPr>
        <w:t>consisting of the following four phases</w:t>
      </w:r>
      <w:r w:rsidR="00AD623E">
        <w:rPr>
          <w:rFonts w:ascii="Arial" w:hAnsi="Arial" w:cs="Arial"/>
          <w:bCs/>
          <w:sz w:val="24"/>
          <w:szCs w:val="24"/>
        </w:rPr>
        <w:t>:</w:t>
      </w:r>
    </w:p>
    <w:p w14:paraId="1AABB779" w14:textId="77777777" w:rsidR="00AD623E" w:rsidRDefault="0019272C" w:rsidP="00AB20F3">
      <w:pPr>
        <w:pStyle w:val="ListParagraph"/>
        <w:numPr>
          <w:ilvl w:val="0"/>
          <w:numId w:val="9"/>
        </w:numPr>
        <w:spacing w:after="0" w:line="360" w:lineRule="auto"/>
        <w:ind w:left="2127" w:hanging="426"/>
        <w:rPr>
          <w:rFonts w:ascii="Arial" w:hAnsi="Arial" w:cs="Arial"/>
          <w:bCs/>
          <w:sz w:val="24"/>
          <w:szCs w:val="24"/>
        </w:rPr>
      </w:pPr>
      <w:r w:rsidRPr="0018683D">
        <w:rPr>
          <w:rFonts w:ascii="Arial" w:hAnsi="Arial" w:cs="Arial"/>
          <w:bCs/>
          <w:sz w:val="24"/>
          <w:szCs w:val="24"/>
        </w:rPr>
        <w:t xml:space="preserve">clarifying scope and purpose, </w:t>
      </w:r>
    </w:p>
    <w:p w14:paraId="4A3B3FB8" w14:textId="77777777" w:rsidR="00AD623E" w:rsidRDefault="0019272C" w:rsidP="00AB20F3">
      <w:pPr>
        <w:pStyle w:val="ListParagraph"/>
        <w:numPr>
          <w:ilvl w:val="0"/>
          <w:numId w:val="9"/>
        </w:numPr>
        <w:spacing w:after="0" w:line="360" w:lineRule="auto"/>
        <w:ind w:left="2127" w:hanging="426"/>
        <w:rPr>
          <w:rFonts w:ascii="Arial" w:hAnsi="Arial" w:cs="Arial"/>
          <w:bCs/>
          <w:sz w:val="24"/>
          <w:szCs w:val="24"/>
        </w:rPr>
      </w:pPr>
      <w:r w:rsidRPr="0018683D">
        <w:rPr>
          <w:rFonts w:ascii="Arial" w:hAnsi="Arial" w:cs="Arial"/>
          <w:bCs/>
          <w:sz w:val="24"/>
          <w:szCs w:val="24"/>
        </w:rPr>
        <w:t xml:space="preserve">identifying who to engage, </w:t>
      </w:r>
    </w:p>
    <w:p w14:paraId="45529E9C" w14:textId="77777777" w:rsidR="00AD623E" w:rsidRDefault="0075698F" w:rsidP="00AB20F3">
      <w:pPr>
        <w:pStyle w:val="ListParagraph"/>
        <w:numPr>
          <w:ilvl w:val="0"/>
          <w:numId w:val="9"/>
        </w:numPr>
        <w:spacing w:after="0" w:line="360" w:lineRule="auto"/>
        <w:ind w:left="2127" w:hanging="426"/>
        <w:rPr>
          <w:rFonts w:ascii="Arial" w:hAnsi="Arial" w:cs="Arial"/>
          <w:bCs/>
          <w:sz w:val="24"/>
          <w:szCs w:val="24"/>
        </w:rPr>
      </w:pPr>
      <w:r w:rsidRPr="0018683D">
        <w:rPr>
          <w:rFonts w:ascii="Arial" w:hAnsi="Arial" w:cs="Arial"/>
          <w:bCs/>
          <w:sz w:val="24"/>
          <w:szCs w:val="24"/>
        </w:rPr>
        <w:t xml:space="preserve">planning the detail and </w:t>
      </w:r>
    </w:p>
    <w:p w14:paraId="72DAAB88" w14:textId="03538CD1" w:rsidR="0021043E" w:rsidRPr="0018683D" w:rsidRDefault="0075698F" w:rsidP="00AB20F3">
      <w:pPr>
        <w:pStyle w:val="ListParagraph"/>
        <w:numPr>
          <w:ilvl w:val="0"/>
          <w:numId w:val="9"/>
        </w:numPr>
        <w:spacing w:after="0" w:line="360" w:lineRule="auto"/>
        <w:ind w:left="2127" w:hanging="426"/>
        <w:rPr>
          <w:rFonts w:ascii="Arial" w:hAnsi="Arial" w:cs="Arial"/>
          <w:bCs/>
          <w:sz w:val="24"/>
          <w:szCs w:val="24"/>
        </w:rPr>
      </w:pPr>
      <w:r w:rsidRPr="0018683D">
        <w:rPr>
          <w:rFonts w:ascii="Arial" w:hAnsi="Arial" w:cs="Arial"/>
          <w:bCs/>
          <w:sz w:val="24"/>
          <w:szCs w:val="24"/>
        </w:rPr>
        <w:t>being aware of constraints</w:t>
      </w:r>
      <w:r w:rsidR="00AD623E">
        <w:rPr>
          <w:rFonts w:ascii="Arial" w:hAnsi="Arial" w:cs="Arial"/>
          <w:bCs/>
          <w:sz w:val="24"/>
          <w:szCs w:val="24"/>
        </w:rPr>
        <w:t xml:space="preserve"> in</w:t>
      </w:r>
      <w:r w:rsidRPr="0018683D">
        <w:rPr>
          <w:rFonts w:ascii="Arial" w:hAnsi="Arial" w:cs="Arial"/>
          <w:bCs/>
          <w:sz w:val="24"/>
          <w:szCs w:val="24"/>
        </w:rPr>
        <w:t xml:space="preserve"> collaboration before finalising the strategy</w:t>
      </w:r>
      <w:r w:rsidR="0034499D" w:rsidRPr="0018683D">
        <w:rPr>
          <w:rFonts w:ascii="Arial" w:hAnsi="Arial" w:cs="Arial"/>
          <w:bCs/>
          <w:sz w:val="24"/>
          <w:szCs w:val="24"/>
        </w:rPr>
        <w:t>; and</w:t>
      </w:r>
    </w:p>
    <w:p w14:paraId="3EB3FD1F" w14:textId="62343E39" w:rsidR="0034499D" w:rsidRPr="0018683D" w:rsidRDefault="0034499D" w:rsidP="00AB20F3">
      <w:pPr>
        <w:pStyle w:val="ListParagraph"/>
        <w:numPr>
          <w:ilvl w:val="1"/>
          <w:numId w:val="1"/>
        </w:numPr>
        <w:spacing w:after="0" w:line="360" w:lineRule="auto"/>
        <w:ind w:left="1701" w:hanging="567"/>
        <w:rPr>
          <w:rFonts w:ascii="Arial" w:hAnsi="Arial" w:cs="Arial"/>
          <w:bCs/>
          <w:sz w:val="24"/>
          <w:szCs w:val="24"/>
        </w:rPr>
      </w:pPr>
      <w:r w:rsidRPr="0018683D">
        <w:rPr>
          <w:rFonts w:ascii="Arial" w:hAnsi="Arial" w:cs="Arial"/>
          <w:bCs/>
          <w:sz w:val="24"/>
          <w:szCs w:val="24"/>
        </w:rPr>
        <w:t xml:space="preserve">In implementing the engagement strategy, </w:t>
      </w:r>
      <w:r w:rsidR="002341AB" w:rsidRPr="0018683D">
        <w:rPr>
          <w:rFonts w:ascii="Arial" w:hAnsi="Arial" w:cs="Arial"/>
          <w:bCs/>
          <w:sz w:val="24"/>
          <w:szCs w:val="24"/>
        </w:rPr>
        <w:t xml:space="preserve">to </w:t>
      </w:r>
      <w:r w:rsidR="000856F2" w:rsidRPr="0018683D">
        <w:rPr>
          <w:rFonts w:ascii="Arial" w:hAnsi="Arial" w:cs="Arial"/>
          <w:bCs/>
          <w:sz w:val="24"/>
          <w:szCs w:val="24"/>
        </w:rPr>
        <w:t>acknowledge</w:t>
      </w:r>
      <w:r w:rsidR="002341AB" w:rsidRPr="0018683D">
        <w:rPr>
          <w:rFonts w:ascii="Arial" w:hAnsi="Arial" w:cs="Arial"/>
          <w:bCs/>
          <w:sz w:val="24"/>
          <w:szCs w:val="24"/>
        </w:rPr>
        <w:t xml:space="preserve"> Māori as a Treaty partner, </w:t>
      </w:r>
      <w:r w:rsidR="00AA43DF" w:rsidRPr="0018683D">
        <w:rPr>
          <w:rFonts w:ascii="Arial" w:hAnsi="Arial" w:cs="Arial"/>
          <w:bCs/>
          <w:sz w:val="24"/>
          <w:szCs w:val="24"/>
        </w:rPr>
        <w:t>respect t</w:t>
      </w:r>
      <w:r w:rsidR="000856F2" w:rsidRPr="0018683D">
        <w:rPr>
          <w:rFonts w:ascii="Arial" w:hAnsi="Arial" w:cs="Arial"/>
          <w:bCs/>
          <w:sz w:val="24"/>
          <w:szCs w:val="24"/>
        </w:rPr>
        <w:t>he people they speak to and the various cultural differences, and make real efforts to enable direct participation by Māori.</w:t>
      </w:r>
    </w:p>
    <w:p w14:paraId="1BA0B7FB" w14:textId="77777777" w:rsidR="00506086" w:rsidRPr="0018683D" w:rsidRDefault="00506086" w:rsidP="00506086">
      <w:pPr>
        <w:pStyle w:val="ListParagraph"/>
        <w:spacing w:after="0" w:line="360" w:lineRule="auto"/>
        <w:ind w:left="1854"/>
        <w:rPr>
          <w:rFonts w:ascii="Arial" w:hAnsi="Arial" w:cs="Arial"/>
          <w:bCs/>
          <w:sz w:val="24"/>
          <w:szCs w:val="24"/>
        </w:rPr>
      </w:pPr>
    </w:p>
    <w:p w14:paraId="00FC6408" w14:textId="1E77C884" w:rsidR="00506086" w:rsidRPr="0018683D" w:rsidRDefault="00165F95" w:rsidP="00AB20F3">
      <w:pPr>
        <w:pStyle w:val="ListParagraph"/>
        <w:numPr>
          <w:ilvl w:val="0"/>
          <w:numId w:val="1"/>
        </w:numPr>
        <w:spacing w:after="0" w:line="360" w:lineRule="auto"/>
        <w:ind w:left="1134" w:hanging="567"/>
        <w:rPr>
          <w:rFonts w:ascii="Arial" w:hAnsi="Arial" w:cs="Arial"/>
          <w:bCs/>
          <w:sz w:val="24"/>
          <w:szCs w:val="24"/>
        </w:rPr>
      </w:pPr>
      <w:r>
        <w:rPr>
          <w:rFonts w:ascii="Arial" w:hAnsi="Arial" w:cs="Arial"/>
          <w:bCs/>
          <w:sz w:val="24"/>
          <w:szCs w:val="24"/>
        </w:rPr>
        <w:t xml:space="preserve">Returning to the 2019 Guidance, it provides the following guideline questions for policy-makers: </w:t>
      </w:r>
    </w:p>
    <w:p w14:paraId="5DB7DFEE" w14:textId="6D963A01" w:rsidR="00C00A1E" w:rsidRPr="0018683D" w:rsidRDefault="00C00A1E" w:rsidP="00506086">
      <w:pPr>
        <w:pStyle w:val="ListParagraph"/>
        <w:spacing w:after="0" w:line="360" w:lineRule="auto"/>
        <w:ind w:left="1854"/>
        <w:rPr>
          <w:rFonts w:ascii="Arial" w:hAnsi="Arial" w:cs="Arial"/>
          <w:bCs/>
          <w:sz w:val="24"/>
          <w:szCs w:val="24"/>
        </w:rPr>
      </w:pPr>
    </w:p>
    <w:p w14:paraId="466C7C1B" w14:textId="74FCDE7A" w:rsidR="00513112" w:rsidRPr="0018683D" w:rsidRDefault="001B4C9E" w:rsidP="00823F64">
      <w:pPr>
        <w:spacing w:after="0" w:line="360" w:lineRule="auto"/>
        <w:ind w:left="1134"/>
        <w:rPr>
          <w:rFonts w:ascii="Arial" w:hAnsi="Arial" w:cs="Arial"/>
          <w:bCs/>
          <w:i/>
          <w:iCs/>
          <w:sz w:val="24"/>
          <w:szCs w:val="24"/>
        </w:rPr>
      </w:pPr>
      <w:r w:rsidRPr="0018683D">
        <w:rPr>
          <w:rFonts w:ascii="Arial" w:hAnsi="Arial" w:cs="Arial"/>
          <w:bCs/>
          <w:i/>
          <w:iCs/>
          <w:sz w:val="24"/>
          <w:szCs w:val="24"/>
        </w:rPr>
        <w:t>Article One:</w:t>
      </w:r>
      <w:r w:rsidR="004E12C7">
        <w:rPr>
          <w:rStyle w:val="FootnoteReference"/>
          <w:rFonts w:ascii="Arial" w:hAnsi="Arial" w:cs="Arial"/>
          <w:bCs/>
          <w:i/>
          <w:iCs/>
          <w:sz w:val="24"/>
          <w:szCs w:val="24"/>
        </w:rPr>
        <w:footnoteReference w:id="33"/>
      </w:r>
      <w:r w:rsidRPr="0018683D">
        <w:rPr>
          <w:rFonts w:ascii="Arial" w:hAnsi="Arial" w:cs="Arial"/>
          <w:bCs/>
          <w:i/>
          <w:iCs/>
          <w:sz w:val="24"/>
          <w:szCs w:val="24"/>
        </w:rPr>
        <w:t xml:space="preserve"> </w:t>
      </w:r>
    </w:p>
    <w:p w14:paraId="69A7D6A1" w14:textId="3E755199" w:rsidR="00513112" w:rsidRPr="00C662DC" w:rsidRDefault="001B4C9E" w:rsidP="00AB20F3">
      <w:pPr>
        <w:pStyle w:val="ListParagraph"/>
        <w:numPr>
          <w:ilvl w:val="0"/>
          <w:numId w:val="10"/>
        </w:numPr>
        <w:spacing w:after="0" w:line="360" w:lineRule="auto"/>
        <w:ind w:left="1560" w:hanging="426"/>
        <w:rPr>
          <w:rFonts w:ascii="Arial" w:hAnsi="Arial" w:cs="Arial"/>
          <w:bCs/>
          <w:sz w:val="24"/>
          <w:szCs w:val="24"/>
        </w:rPr>
      </w:pPr>
      <w:r w:rsidRPr="00C662DC">
        <w:rPr>
          <w:rFonts w:ascii="Arial" w:hAnsi="Arial" w:cs="Arial"/>
          <w:bCs/>
          <w:sz w:val="24"/>
          <w:szCs w:val="24"/>
        </w:rPr>
        <w:t xml:space="preserve">How does the proposal/policy affect all New Zealanders? What is the effect on Māori (if different, how and why?) Will the proposal affect different Māori groups differently? What could the unintended impacts on Māori be and how does the proposal mitigate them? </w:t>
      </w:r>
    </w:p>
    <w:p w14:paraId="312DA985" w14:textId="0FF1654E" w:rsidR="00513112" w:rsidRPr="0018683D" w:rsidRDefault="001B4C9E" w:rsidP="00AB20F3">
      <w:pPr>
        <w:pStyle w:val="ListParagraph"/>
        <w:numPr>
          <w:ilvl w:val="0"/>
          <w:numId w:val="10"/>
        </w:numPr>
        <w:spacing w:after="0" w:line="360" w:lineRule="auto"/>
        <w:ind w:left="1560" w:hanging="426"/>
        <w:rPr>
          <w:rFonts w:ascii="Arial" w:hAnsi="Arial" w:cs="Arial"/>
          <w:bCs/>
          <w:sz w:val="24"/>
          <w:szCs w:val="24"/>
        </w:rPr>
      </w:pPr>
      <w:r w:rsidRPr="0018683D">
        <w:rPr>
          <w:rFonts w:ascii="Arial" w:hAnsi="Arial" w:cs="Arial"/>
          <w:bCs/>
          <w:sz w:val="24"/>
          <w:szCs w:val="24"/>
        </w:rPr>
        <w:t xml:space="preserve">How does the proposal demonstrate good government within the context of the Treaty? Have policy-makers followed existing general policy guidance? Are there any legal and/or Treaty settlement obligations for the Crown? </w:t>
      </w:r>
    </w:p>
    <w:p w14:paraId="26AC0323" w14:textId="30485F63" w:rsidR="00513112" w:rsidRPr="00C662DC" w:rsidRDefault="001B4C9E" w:rsidP="00AB20F3">
      <w:pPr>
        <w:pStyle w:val="ListParagraph"/>
        <w:numPr>
          <w:ilvl w:val="0"/>
          <w:numId w:val="10"/>
        </w:numPr>
        <w:spacing w:after="0" w:line="360" w:lineRule="auto"/>
        <w:ind w:left="1560" w:hanging="426"/>
        <w:rPr>
          <w:rFonts w:ascii="Arial" w:hAnsi="Arial" w:cs="Arial"/>
          <w:bCs/>
          <w:sz w:val="24"/>
          <w:szCs w:val="24"/>
        </w:rPr>
      </w:pPr>
      <w:r w:rsidRPr="00C662DC">
        <w:rPr>
          <w:rFonts w:ascii="Arial" w:hAnsi="Arial" w:cs="Arial"/>
          <w:bCs/>
          <w:sz w:val="24"/>
          <w:szCs w:val="24"/>
        </w:rPr>
        <w:t xml:space="preserve">What are the Treaty/Māori interests in this issue? How have policy-makers ascertained them? </w:t>
      </w:r>
    </w:p>
    <w:p w14:paraId="2DBEC799" w14:textId="0BDBCD42" w:rsidR="00513112" w:rsidRPr="0018683D" w:rsidRDefault="001B4C9E" w:rsidP="00AB20F3">
      <w:pPr>
        <w:pStyle w:val="ListParagraph"/>
        <w:numPr>
          <w:ilvl w:val="0"/>
          <w:numId w:val="10"/>
        </w:numPr>
        <w:spacing w:after="0" w:line="360" w:lineRule="auto"/>
        <w:ind w:left="1560" w:hanging="426"/>
        <w:rPr>
          <w:rFonts w:ascii="Arial" w:hAnsi="Arial" w:cs="Arial"/>
          <w:bCs/>
          <w:sz w:val="24"/>
          <w:szCs w:val="24"/>
        </w:rPr>
      </w:pPr>
      <w:r w:rsidRPr="0018683D">
        <w:rPr>
          <w:rFonts w:ascii="Arial" w:hAnsi="Arial" w:cs="Arial"/>
          <w:bCs/>
          <w:sz w:val="24"/>
          <w:szCs w:val="24"/>
        </w:rPr>
        <w:t>How does the proposal demonstrate that policy-makers are meeting the good faith obligations of the Crown?</w:t>
      </w:r>
    </w:p>
    <w:p w14:paraId="7DC4B1C5" w14:textId="19D4482C" w:rsidR="003E59D9" w:rsidRPr="0018683D" w:rsidRDefault="001B4C9E" w:rsidP="00AB20F3">
      <w:pPr>
        <w:pStyle w:val="ListParagraph"/>
        <w:numPr>
          <w:ilvl w:val="0"/>
          <w:numId w:val="10"/>
        </w:numPr>
        <w:spacing w:after="0" w:line="360" w:lineRule="auto"/>
        <w:ind w:left="1560" w:hanging="426"/>
        <w:rPr>
          <w:rFonts w:ascii="Arial" w:hAnsi="Arial" w:cs="Arial"/>
          <w:bCs/>
          <w:sz w:val="24"/>
          <w:szCs w:val="24"/>
        </w:rPr>
      </w:pPr>
      <w:r w:rsidRPr="0018683D">
        <w:rPr>
          <w:rFonts w:ascii="Arial" w:hAnsi="Arial" w:cs="Arial"/>
          <w:bCs/>
          <w:sz w:val="24"/>
          <w:szCs w:val="24"/>
        </w:rPr>
        <w:t>To what extent have policy-makers anticipated Treaty arguments that might be made? And how does the proposal respond to these arguments?</w:t>
      </w:r>
    </w:p>
    <w:p w14:paraId="7DD29761" w14:textId="77777777" w:rsidR="004544E3" w:rsidRPr="0018683D" w:rsidRDefault="004544E3" w:rsidP="004544E3">
      <w:pPr>
        <w:spacing w:after="0" w:line="360" w:lineRule="auto"/>
        <w:ind w:left="414" w:firstLine="720"/>
        <w:rPr>
          <w:rFonts w:ascii="Arial" w:hAnsi="Arial" w:cs="Arial"/>
          <w:bCs/>
          <w:i/>
          <w:iCs/>
          <w:sz w:val="24"/>
          <w:szCs w:val="24"/>
        </w:rPr>
      </w:pPr>
    </w:p>
    <w:p w14:paraId="299D580D" w14:textId="3D27B8C6" w:rsidR="00513112" w:rsidRPr="0018683D" w:rsidRDefault="00513112" w:rsidP="00911E5A">
      <w:pPr>
        <w:spacing w:after="0" w:line="360" w:lineRule="auto"/>
        <w:ind w:left="1134"/>
        <w:rPr>
          <w:rFonts w:ascii="Arial" w:hAnsi="Arial" w:cs="Arial"/>
          <w:bCs/>
          <w:i/>
          <w:iCs/>
          <w:sz w:val="24"/>
          <w:szCs w:val="24"/>
        </w:rPr>
      </w:pPr>
      <w:r w:rsidRPr="0018683D">
        <w:rPr>
          <w:rFonts w:ascii="Arial" w:hAnsi="Arial" w:cs="Arial"/>
          <w:bCs/>
          <w:i/>
          <w:iCs/>
          <w:sz w:val="24"/>
          <w:szCs w:val="24"/>
        </w:rPr>
        <w:t>Article Two:</w:t>
      </w:r>
      <w:r w:rsidR="004E12C7">
        <w:rPr>
          <w:rStyle w:val="FootnoteReference"/>
          <w:rFonts w:ascii="Arial" w:hAnsi="Arial" w:cs="Arial"/>
          <w:bCs/>
          <w:i/>
          <w:iCs/>
          <w:sz w:val="24"/>
          <w:szCs w:val="24"/>
        </w:rPr>
        <w:footnoteReference w:id="34"/>
      </w:r>
    </w:p>
    <w:p w14:paraId="4F773D4B" w14:textId="1C91DAA9" w:rsidR="00877169" w:rsidRPr="0018683D" w:rsidRDefault="00877169" w:rsidP="00AB20F3">
      <w:pPr>
        <w:pStyle w:val="ListParagraph"/>
        <w:numPr>
          <w:ilvl w:val="0"/>
          <w:numId w:val="11"/>
        </w:numPr>
        <w:spacing w:after="0" w:line="360" w:lineRule="auto"/>
        <w:ind w:left="1560" w:hanging="426"/>
        <w:rPr>
          <w:rFonts w:ascii="Arial" w:hAnsi="Arial" w:cs="Arial"/>
          <w:bCs/>
          <w:sz w:val="24"/>
          <w:szCs w:val="24"/>
        </w:rPr>
      </w:pPr>
      <w:r w:rsidRPr="0018683D">
        <w:rPr>
          <w:rFonts w:ascii="Arial" w:hAnsi="Arial" w:cs="Arial"/>
          <w:bCs/>
          <w:sz w:val="24"/>
          <w:szCs w:val="24"/>
        </w:rPr>
        <w:t>Does the proposal allow for the Māori exercise of rangatiratanga while recognising the right of the Crown to govern? Can/should the proposal, or parts of it, be led by Māori? What options/mechanisms are available to enable rangatiratanga?</w:t>
      </w:r>
    </w:p>
    <w:p w14:paraId="1E248D07" w14:textId="67FB81FB" w:rsidR="00877169" w:rsidRPr="0018683D" w:rsidRDefault="00877169" w:rsidP="00AB20F3">
      <w:pPr>
        <w:pStyle w:val="ListParagraph"/>
        <w:numPr>
          <w:ilvl w:val="0"/>
          <w:numId w:val="11"/>
        </w:numPr>
        <w:spacing w:after="0" w:line="360" w:lineRule="auto"/>
        <w:ind w:left="1560" w:hanging="426"/>
        <w:rPr>
          <w:rFonts w:ascii="Arial" w:hAnsi="Arial" w:cs="Arial"/>
          <w:bCs/>
          <w:sz w:val="24"/>
          <w:szCs w:val="24"/>
        </w:rPr>
      </w:pPr>
      <w:r w:rsidRPr="0018683D">
        <w:rPr>
          <w:rFonts w:ascii="Arial" w:hAnsi="Arial" w:cs="Arial"/>
          <w:bCs/>
          <w:sz w:val="24"/>
          <w:szCs w:val="24"/>
        </w:rPr>
        <w:t xml:space="preserve">Have Māori had a role in design/implementation? If so, who? If not, should they? </w:t>
      </w:r>
    </w:p>
    <w:p w14:paraId="32AFBE7F" w14:textId="03462DA4" w:rsidR="00877169" w:rsidRPr="0018683D" w:rsidRDefault="00877169" w:rsidP="00AB20F3">
      <w:pPr>
        <w:pStyle w:val="ListParagraph"/>
        <w:numPr>
          <w:ilvl w:val="0"/>
          <w:numId w:val="11"/>
        </w:numPr>
        <w:spacing w:after="0" w:line="360" w:lineRule="auto"/>
        <w:ind w:left="1560" w:hanging="426"/>
        <w:rPr>
          <w:rFonts w:ascii="Arial" w:hAnsi="Arial" w:cs="Arial"/>
          <w:bCs/>
          <w:sz w:val="24"/>
          <w:szCs w:val="24"/>
        </w:rPr>
      </w:pPr>
      <w:r w:rsidRPr="0018683D">
        <w:rPr>
          <w:rFonts w:ascii="Arial" w:hAnsi="Arial" w:cs="Arial"/>
          <w:bCs/>
          <w:sz w:val="24"/>
          <w:szCs w:val="24"/>
        </w:rPr>
        <w:t xml:space="preserve">Does the proposal: enhance Māori wellbeing? build Māori capability or capacity? </w:t>
      </w:r>
    </w:p>
    <w:p w14:paraId="21D9DB33" w14:textId="70D1E521" w:rsidR="00513112" w:rsidRPr="0018683D" w:rsidRDefault="00877169" w:rsidP="00AB20F3">
      <w:pPr>
        <w:pStyle w:val="ListParagraph"/>
        <w:numPr>
          <w:ilvl w:val="0"/>
          <w:numId w:val="11"/>
        </w:numPr>
        <w:spacing w:after="0" w:line="360" w:lineRule="auto"/>
        <w:ind w:left="1560" w:hanging="426"/>
        <w:rPr>
          <w:rFonts w:ascii="Arial" w:hAnsi="Arial" w:cs="Arial"/>
          <w:bCs/>
          <w:sz w:val="24"/>
          <w:szCs w:val="24"/>
        </w:rPr>
      </w:pPr>
      <w:r w:rsidRPr="0018683D">
        <w:rPr>
          <w:rFonts w:ascii="Arial" w:hAnsi="Arial" w:cs="Arial"/>
          <w:bCs/>
          <w:sz w:val="24"/>
          <w:szCs w:val="24"/>
        </w:rPr>
        <w:t>Is there any aspect of this issue that Māori consider to be a taonga?</w:t>
      </w:r>
      <w:r w:rsidR="00C662DC">
        <w:rPr>
          <w:rFonts w:ascii="Arial" w:hAnsi="Arial" w:cs="Arial"/>
          <w:bCs/>
          <w:sz w:val="24"/>
          <w:szCs w:val="24"/>
        </w:rPr>
        <w:t xml:space="preserve">- </w:t>
      </w:r>
      <w:r w:rsidRPr="0018683D">
        <w:rPr>
          <w:rFonts w:ascii="Arial" w:hAnsi="Arial" w:cs="Arial"/>
          <w:bCs/>
          <w:sz w:val="24"/>
          <w:szCs w:val="24"/>
        </w:rPr>
        <w:t>How have policy-makers come to their view of whether the issue is a taonga, and is there consensus? What effect does that have on the proposal?</w:t>
      </w:r>
    </w:p>
    <w:p w14:paraId="7120DEDE" w14:textId="77777777" w:rsidR="004544E3" w:rsidRPr="0018683D" w:rsidRDefault="004544E3" w:rsidP="00911E5A">
      <w:pPr>
        <w:spacing w:after="0" w:line="360" w:lineRule="auto"/>
        <w:ind w:left="1560" w:hanging="426"/>
        <w:rPr>
          <w:rFonts w:ascii="Arial" w:hAnsi="Arial" w:cs="Arial"/>
          <w:bCs/>
          <w:i/>
          <w:iCs/>
          <w:sz w:val="24"/>
          <w:szCs w:val="24"/>
        </w:rPr>
      </w:pPr>
    </w:p>
    <w:p w14:paraId="19A7E28D" w14:textId="486E0952" w:rsidR="00877169" w:rsidRPr="0018683D" w:rsidRDefault="00877169" w:rsidP="00911E5A">
      <w:pPr>
        <w:spacing w:after="0" w:line="360" w:lineRule="auto"/>
        <w:ind w:left="1134"/>
        <w:rPr>
          <w:rFonts w:ascii="Arial" w:hAnsi="Arial" w:cs="Arial"/>
          <w:bCs/>
          <w:i/>
          <w:iCs/>
          <w:sz w:val="24"/>
          <w:szCs w:val="24"/>
        </w:rPr>
      </w:pPr>
      <w:r w:rsidRPr="0018683D">
        <w:rPr>
          <w:rFonts w:ascii="Arial" w:hAnsi="Arial" w:cs="Arial"/>
          <w:bCs/>
          <w:i/>
          <w:iCs/>
          <w:sz w:val="24"/>
          <w:szCs w:val="24"/>
        </w:rPr>
        <w:t>Article Three:</w:t>
      </w:r>
      <w:r w:rsidR="004E12C7">
        <w:rPr>
          <w:rStyle w:val="FootnoteReference"/>
          <w:rFonts w:ascii="Arial" w:hAnsi="Arial" w:cs="Arial"/>
          <w:bCs/>
          <w:i/>
          <w:iCs/>
          <w:sz w:val="24"/>
          <w:szCs w:val="24"/>
        </w:rPr>
        <w:footnoteReference w:id="35"/>
      </w:r>
    </w:p>
    <w:p w14:paraId="13FD1557" w14:textId="09EF7E03" w:rsidR="00506086" w:rsidRPr="0018683D" w:rsidRDefault="00506086" w:rsidP="00AB20F3">
      <w:pPr>
        <w:pStyle w:val="ListParagraph"/>
        <w:numPr>
          <w:ilvl w:val="0"/>
          <w:numId w:val="12"/>
        </w:numPr>
        <w:spacing w:after="0" w:line="360" w:lineRule="auto"/>
        <w:ind w:left="1560" w:hanging="426"/>
        <w:rPr>
          <w:rFonts w:ascii="Arial" w:hAnsi="Arial" w:cs="Arial"/>
          <w:bCs/>
          <w:sz w:val="24"/>
          <w:szCs w:val="24"/>
        </w:rPr>
      </w:pPr>
      <w:r w:rsidRPr="0018683D">
        <w:rPr>
          <w:rFonts w:ascii="Arial" w:hAnsi="Arial" w:cs="Arial"/>
          <w:bCs/>
          <w:sz w:val="24"/>
          <w:szCs w:val="24"/>
        </w:rPr>
        <w:t xml:space="preserve">Does the proposal aim to achieve equitable outcomes? </w:t>
      </w:r>
    </w:p>
    <w:p w14:paraId="6AE1CAE4" w14:textId="60874519" w:rsidR="00506086" w:rsidRPr="0018683D" w:rsidRDefault="00506086" w:rsidP="00AB20F3">
      <w:pPr>
        <w:pStyle w:val="ListParagraph"/>
        <w:numPr>
          <w:ilvl w:val="0"/>
          <w:numId w:val="12"/>
        </w:numPr>
        <w:spacing w:after="0" w:line="360" w:lineRule="auto"/>
        <w:ind w:left="1560" w:hanging="426"/>
        <w:rPr>
          <w:rFonts w:ascii="Arial" w:hAnsi="Arial" w:cs="Arial"/>
          <w:bCs/>
          <w:sz w:val="24"/>
          <w:szCs w:val="24"/>
        </w:rPr>
      </w:pPr>
      <w:r w:rsidRPr="0018683D">
        <w:rPr>
          <w:rFonts w:ascii="Arial" w:hAnsi="Arial" w:cs="Arial"/>
          <w:bCs/>
          <w:sz w:val="24"/>
          <w:szCs w:val="24"/>
        </w:rPr>
        <w:t xml:space="preserve">How does the proposal differ from previous efforts to address the issue? </w:t>
      </w:r>
    </w:p>
    <w:p w14:paraId="6466EA2E" w14:textId="6A35314B" w:rsidR="00506086" w:rsidRPr="0018683D" w:rsidRDefault="00506086" w:rsidP="00AB20F3">
      <w:pPr>
        <w:pStyle w:val="ListParagraph"/>
        <w:numPr>
          <w:ilvl w:val="0"/>
          <w:numId w:val="12"/>
        </w:numPr>
        <w:spacing w:after="0" w:line="360" w:lineRule="auto"/>
        <w:ind w:left="1560" w:hanging="426"/>
        <w:rPr>
          <w:rFonts w:ascii="Arial" w:hAnsi="Arial" w:cs="Arial"/>
          <w:bCs/>
          <w:sz w:val="24"/>
          <w:szCs w:val="24"/>
        </w:rPr>
      </w:pPr>
      <w:r w:rsidRPr="0018683D">
        <w:rPr>
          <w:rFonts w:ascii="Arial" w:hAnsi="Arial" w:cs="Arial"/>
          <w:bCs/>
          <w:sz w:val="24"/>
          <w:szCs w:val="24"/>
        </w:rPr>
        <w:t xml:space="preserve">How does the proposal demonstrate that policy-makers have looked at the proposal from the perspective of legal values such as natural justice, due process, fairness and equity? </w:t>
      </w:r>
    </w:p>
    <w:p w14:paraId="1D78E633" w14:textId="339BB50C" w:rsidR="00877169" w:rsidRPr="0018683D" w:rsidRDefault="00506086" w:rsidP="00AB20F3">
      <w:pPr>
        <w:pStyle w:val="ListParagraph"/>
        <w:numPr>
          <w:ilvl w:val="0"/>
          <w:numId w:val="12"/>
        </w:numPr>
        <w:spacing w:after="0" w:line="360" w:lineRule="auto"/>
        <w:ind w:left="1560" w:hanging="426"/>
        <w:rPr>
          <w:rFonts w:ascii="Arial" w:hAnsi="Arial" w:cs="Arial"/>
          <w:bCs/>
          <w:sz w:val="24"/>
          <w:szCs w:val="24"/>
        </w:rPr>
      </w:pPr>
      <w:r w:rsidRPr="0018683D">
        <w:rPr>
          <w:rFonts w:ascii="Arial" w:hAnsi="Arial" w:cs="Arial"/>
          <w:bCs/>
          <w:sz w:val="24"/>
          <w:szCs w:val="24"/>
        </w:rPr>
        <w:t>How does the proposal demonstrate that policy-makers have looked at the issue from the perspective of tikanga values?</w:t>
      </w:r>
    </w:p>
    <w:p w14:paraId="65606115" w14:textId="77777777" w:rsidR="00D73424" w:rsidRPr="0018683D" w:rsidRDefault="00D73424" w:rsidP="00911E5A">
      <w:pPr>
        <w:pStyle w:val="NoSpacing"/>
        <w:spacing w:line="360" w:lineRule="auto"/>
        <w:ind w:left="1560" w:hanging="426"/>
        <w:rPr>
          <w:rFonts w:ascii="Arial" w:hAnsi="Arial" w:cs="Arial"/>
          <w:b/>
          <w:sz w:val="24"/>
          <w:szCs w:val="24"/>
        </w:rPr>
      </w:pPr>
    </w:p>
    <w:p w14:paraId="40F40E26" w14:textId="77777777" w:rsidR="008F7A90" w:rsidRDefault="008F7A90">
      <w:pPr>
        <w:rPr>
          <w:rFonts w:ascii="Arial" w:hAnsi="Arial" w:cs="Arial"/>
          <w:b/>
          <w:sz w:val="24"/>
          <w:szCs w:val="24"/>
        </w:rPr>
      </w:pPr>
      <w:r>
        <w:rPr>
          <w:rFonts w:ascii="Arial" w:hAnsi="Arial" w:cs="Arial"/>
          <w:b/>
          <w:sz w:val="24"/>
          <w:szCs w:val="24"/>
        </w:rPr>
        <w:br w:type="page"/>
      </w:r>
    </w:p>
    <w:p w14:paraId="1C4D6178" w14:textId="21E09D02" w:rsidR="0052361E" w:rsidRPr="007E1E95" w:rsidRDefault="006677BF" w:rsidP="00AB20F3">
      <w:pPr>
        <w:pStyle w:val="NoSpacing"/>
        <w:numPr>
          <w:ilvl w:val="0"/>
          <w:numId w:val="13"/>
        </w:numPr>
        <w:spacing w:line="360" w:lineRule="auto"/>
        <w:ind w:left="1134" w:hanging="567"/>
        <w:rPr>
          <w:rFonts w:ascii="Arial" w:hAnsi="Arial" w:cs="Arial"/>
          <w:b/>
          <w:sz w:val="24"/>
          <w:szCs w:val="24"/>
        </w:rPr>
      </w:pPr>
      <w:r>
        <w:rPr>
          <w:rFonts w:ascii="Arial" w:hAnsi="Arial" w:cs="Arial"/>
          <w:b/>
          <w:sz w:val="24"/>
          <w:szCs w:val="24"/>
        </w:rPr>
        <w:lastRenderedPageBreak/>
        <w:t xml:space="preserve">WAITANGI TRIBUNAL </w:t>
      </w:r>
      <w:r w:rsidR="007E1E95">
        <w:rPr>
          <w:rFonts w:ascii="Arial" w:hAnsi="Arial" w:cs="Arial"/>
          <w:b/>
          <w:sz w:val="24"/>
          <w:szCs w:val="24"/>
        </w:rPr>
        <w:t xml:space="preserve">– </w:t>
      </w:r>
      <w:r w:rsidR="007E1E95">
        <w:rPr>
          <w:rFonts w:ascii="Arial" w:eastAsia="Times New Roman" w:hAnsi="Arial" w:cs="Arial"/>
          <w:b/>
          <w:bCs/>
          <w:i/>
          <w:iCs/>
          <w:sz w:val="24"/>
          <w:szCs w:val="24"/>
          <w:lang w:eastAsia="en-NZ"/>
        </w:rPr>
        <w:t>HAUORA REPORT STAGE ONE</w:t>
      </w:r>
    </w:p>
    <w:p w14:paraId="5FA0F595"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3CFA4FC9" w14:textId="77777777" w:rsidR="0052361E" w:rsidRPr="0018683D" w:rsidRDefault="0052361E" w:rsidP="0052361E">
      <w:pPr>
        <w:pStyle w:val="ListParagraph"/>
        <w:spacing w:after="0" w:line="360" w:lineRule="auto"/>
        <w:ind w:left="1134"/>
        <w:rPr>
          <w:rFonts w:ascii="Arial" w:eastAsia="Times New Roman" w:hAnsi="Arial" w:cs="Arial"/>
          <w:b/>
          <w:bCs/>
          <w:i/>
          <w:iCs/>
          <w:sz w:val="24"/>
          <w:szCs w:val="24"/>
          <w:lang w:eastAsia="en-NZ"/>
        </w:rPr>
      </w:pPr>
      <w:r w:rsidRPr="0018683D">
        <w:rPr>
          <w:rFonts w:ascii="Arial" w:eastAsia="Times New Roman" w:hAnsi="Arial" w:cs="Arial"/>
          <w:b/>
          <w:bCs/>
          <w:i/>
          <w:iCs/>
          <w:sz w:val="24"/>
          <w:szCs w:val="24"/>
          <w:lang w:eastAsia="en-NZ"/>
        </w:rPr>
        <w:t>Background</w:t>
      </w:r>
    </w:p>
    <w:p w14:paraId="69D3B91E" w14:textId="77777777" w:rsidR="0052361E" w:rsidRDefault="0052361E" w:rsidP="0052361E">
      <w:pPr>
        <w:pStyle w:val="ListParagraph"/>
        <w:spacing w:after="0" w:line="360" w:lineRule="auto"/>
        <w:ind w:left="1134"/>
        <w:rPr>
          <w:rFonts w:ascii="Arial" w:eastAsia="Times New Roman" w:hAnsi="Arial" w:cs="Arial"/>
          <w:sz w:val="24"/>
          <w:szCs w:val="24"/>
          <w:lang w:eastAsia="en-NZ"/>
        </w:rPr>
      </w:pPr>
    </w:p>
    <w:p w14:paraId="3AF79176" w14:textId="456FAFF2" w:rsidR="00B92631" w:rsidRDefault="00B92631"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In 2015, the Waitangi Tribunal</w:t>
      </w:r>
      <w:r>
        <w:rPr>
          <w:rFonts w:ascii="Arial" w:eastAsia="Times New Roman" w:hAnsi="Arial" w:cs="Arial"/>
          <w:sz w:val="24"/>
          <w:szCs w:val="24"/>
          <w:lang w:eastAsia="en-NZ"/>
        </w:rPr>
        <w:t xml:space="preserve"> </w:t>
      </w:r>
      <w:r w:rsidRPr="0018683D">
        <w:rPr>
          <w:rFonts w:ascii="Arial" w:eastAsia="Times New Roman" w:hAnsi="Arial" w:cs="Arial"/>
          <w:sz w:val="24"/>
          <w:szCs w:val="24"/>
          <w:lang w:eastAsia="en-NZ"/>
        </w:rPr>
        <w:t>prioritised the hearing of claims of national significance which affect Māori as a whole or a section of Māori in similar ways. This led to the prioritisation of an inquiry into nationally significant health issues where 100 claims had raised a range of grievances</w:t>
      </w:r>
      <w:r>
        <w:rPr>
          <w:rFonts w:ascii="Arial" w:eastAsia="Times New Roman" w:hAnsi="Arial" w:cs="Arial"/>
          <w:sz w:val="24"/>
          <w:szCs w:val="24"/>
          <w:lang w:eastAsia="en-NZ"/>
        </w:rPr>
        <w:t>.</w:t>
      </w:r>
      <w:r>
        <w:rPr>
          <w:rStyle w:val="FootnoteReference"/>
          <w:rFonts w:ascii="Arial" w:eastAsia="Times New Roman" w:hAnsi="Arial" w:cs="Arial"/>
          <w:sz w:val="24"/>
          <w:szCs w:val="24"/>
          <w:lang w:eastAsia="en-NZ"/>
        </w:rPr>
        <w:footnoteReference w:id="36"/>
      </w:r>
    </w:p>
    <w:p w14:paraId="68BDB7A5" w14:textId="77777777" w:rsidR="00292381" w:rsidRPr="0018683D" w:rsidRDefault="00292381" w:rsidP="00292381">
      <w:pPr>
        <w:pStyle w:val="ListParagraph"/>
        <w:spacing w:after="0" w:line="360" w:lineRule="auto"/>
        <w:ind w:left="1134"/>
        <w:rPr>
          <w:rFonts w:ascii="Arial" w:eastAsia="Times New Roman" w:hAnsi="Arial" w:cs="Arial"/>
          <w:sz w:val="24"/>
          <w:szCs w:val="24"/>
          <w:lang w:eastAsia="en-NZ"/>
        </w:rPr>
      </w:pPr>
    </w:p>
    <w:p w14:paraId="4F03C96F" w14:textId="2C8711A2" w:rsidR="0052361E" w:rsidRPr="00B92631"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FB0F21">
        <w:rPr>
          <w:rFonts w:ascii="Arial" w:eastAsia="Times New Roman" w:hAnsi="Arial" w:cs="Arial"/>
          <w:sz w:val="24"/>
          <w:szCs w:val="24"/>
          <w:lang w:eastAsia="en-NZ"/>
        </w:rPr>
        <w:t xml:space="preserve">The </w:t>
      </w:r>
      <w:r w:rsidR="00B92631">
        <w:rPr>
          <w:rFonts w:ascii="Arial" w:eastAsia="Times New Roman" w:hAnsi="Arial" w:cs="Arial"/>
          <w:i/>
          <w:iCs/>
          <w:sz w:val="24"/>
          <w:szCs w:val="24"/>
          <w:lang w:eastAsia="en-NZ"/>
        </w:rPr>
        <w:t>Hauora Report</w:t>
      </w:r>
      <w:r w:rsidRPr="00FB0F21">
        <w:rPr>
          <w:rFonts w:ascii="Arial" w:eastAsia="Times New Roman" w:hAnsi="Arial" w:cs="Arial"/>
          <w:sz w:val="24"/>
          <w:szCs w:val="24"/>
          <w:lang w:eastAsia="en-NZ"/>
        </w:rPr>
        <w:t xml:space="preserve"> addresses two Waitangi Tribunal claims regarding the legislative and policy framework of the primary health care system, heard in late 2018 after being highlighted as a priority issue.</w:t>
      </w:r>
      <w:r w:rsidRPr="0018683D">
        <w:rPr>
          <w:rStyle w:val="FootnoteReference"/>
          <w:rFonts w:ascii="Arial" w:eastAsia="Times New Roman" w:hAnsi="Arial" w:cs="Arial"/>
          <w:sz w:val="24"/>
          <w:szCs w:val="24"/>
          <w:lang w:eastAsia="en-NZ"/>
        </w:rPr>
        <w:footnoteReference w:id="37"/>
      </w:r>
      <w:r w:rsidRPr="00FB0F21">
        <w:rPr>
          <w:rFonts w:ascii="Arial" w:eastAsia="Times New Roman" w:hAnsi="Arial" w:cs="Arial"/>
          <w:sz w:val="24"/>
          <w:szCs w:val="24"/>
          <w:lang w:eastAsia="en-NZ"/>
        </w:rPr>
        <w:t xml:space="preserve"> </w:t>
      </w:r>
      <w:r>
        <w:rPr>
          <w:rFonts w:ascii="Arial" w:eastAsia="Times New Roman" w:hAnsi="Arial" w:cs="Arial"/>
          <w:sz w:val="24"/>
          <w:szCs w:val="24"/>
          <w:lang w:eastAsia="en-NZ"/>
        </w:rPr>
        <w:t xml:space="preserve"> </w:t>
      </w:r>
      <w:r w:rsidRPr="00FB0F21">
        <w:rPr>
          <w:rFonts w:ascii="Arial" w:eastAsia="Times New Roman" w:hAnsi="Arial" w:cs="Arial"/>
          <w:sz w:val="24"/>
          <w:szCs w:val="24"/>
          <w:lang w:eastAsia="en-NZ"/>
        </w:rPr>
        <w:t xml:space="preserve">The central allegation </w:t>
      </w:r>
      <w:r w:rsidR="00B92631">
        <w:rPr>
          <w:rFonts w:ascii="Arial" w:eastAsia="Times New Roman" w:hAnsi="Arial" w:cs="Arial"/>
          <w:sz w:val="24"/>
          <w:szCs w:val="24"/>
          <w:lang w:eastAsia="en-NZ"/>
        </w:rPr>
        <w:t>was</w:t>
      </w:r>
      <w:r w:rsidRPr="00FB0F21">
        <w:rPr>
          <w:rFonts w:ascii="Arial" w:eastAsia="Times New Roman" w:hAnsi="Arial" w:cs="Arial"/>
          <w:sz w:val="24"/>
          <w:szCs w:val="24"/>
          <w:lang w:eastAsia="en-NZ"/>
        </w:rPr>
        <w:t xml:space="preserve"> the Crown’s primary health care framework has failed to achieve Māori health equity and that the framework is not fit for purpose. </w:t>
      </w:r>
    </w:p>
    <w:p w14:paraId="684FB92E"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55800289" w14:textId="77777777" w:rsidR="0052361E" w:rsidRPr="0018683D" w:rsidRDefault="0052361E" w:rsidP="0052361E">
      <w:pPr>
        <w:pStyle w:val="ListParagraph"/>
        <w:spacing w:after="0" w:line="360" w:lineRule="auto"/>
        <w:ind w:left="1134"/>
        <w:rPr>
          <w:rFonts w:ascii="Arial" w:eastAsia="Times New Roman" w:hAnsi="Arial" w:cs="Arial"/>
          <w:i/>
          <w:iCs/>
          <w:sz w:val="24"/>
          <w:szCs w:val="24"/>
          <w:lang w:eastAsia="en-NZ"/>
        </w:rPr>
      </w:pPr>
      <w:r w:rsidRPr="0018683D">
        <w:rPr>
          <w:rFonts w:ascii="Arial" w:eastAsia="Times New Roman" w:hAnsi="Arial" w:cs="Arial"/>
          <w:b/>
          <w:bCs/>
          <w:i/>
          <w:iCs/>
          <w:sz w:val="24"/>
          <w:szCs w:val="24"/>
          <w:lang w:eastAsia="en-NZ"/>
        </w:rPr>
        <w:t>Approach</w:t>
      </w:r>
    </w:p>
    <w:p w14:paraId="2AEE2008" w14:textId="77777777" w:rsidR="0052361E" w:rsidRPr="0018683D" w:rsidRDefault="0052361E" w:rsidP="0052361E">
      <w:pPr>
        <w:pStyle w:val="ListParagraph"/>
        <w:spacing w:after="0" w:line="360" w:lineRule="auto"/>
        <w:ind w:left="1701"/>
        <w:rPr>
          <w:rFonts w:ascii="Arial" w:eastAsia="Times New Roman" w:hAnsi="Arial" w:cs="Arial"/>
          <w:i/>
          <w:iCs/>
          <w:sz w:val="24"/>
          <w:szCs w:val="24"/>
          <w:lang w:eastAsia="en-NZ"/>
        </w:rPr>
      </w:pPr>
    </w:p>
    <w:p w14:paraId="0690219D" w14:textId="67D80789" w:rsidR="0052361E" w:rsidRPr="0018683D" w:rsidRDefault="00867300"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Pr>
          <w:rFonts w:ascii="Arial" w:eastAsia="Times New Roman" w:hAnsi="Arial" w:cs="Arial"/>
          <w:sz w:val="24"/>
          <w:szCs w:val="24"/>
          <w:lang w:eastAsia="en-NZ"/>
        </w:rPr>
        <w:t>T</w:t>
      </w:r>
      <w:r w:rsidR="0052361E" w:rsidRPr="0018683D">
        <w:rPr>
          <w:rFonts w:ascii="Arial" w:eastAsia="Times New Roman" w:hAnsi="Arial" w:cs="Arial"/>
          <w:sz w:val="24"/>
          <w:szCs w:val="24"/>
          <w:lang w:eastAsia="en-NZ"/>
        </w:rPr>
        <w:t xml:space="preserve">he Tribunal heard from 44 witnesses and received a significant volume of evidence (the agreed bundle was </w:t>
      </w:r>
      <w:r>
        <w:rPr>
          <w:rFonts w:ascii="Arial" w:eastAsia="Times New Roman" w:hAnsi="Arial" w:cs="Arial"/>
          <w:sz w:val="24"/>
          <w:szCs w:val="24"/>
          <w:lang w:eastAsia="en-NZ"/>
        </w:rPr>
        <w:t>over</w:t>
      </w:r>
      <w:r w:rsidR="0052361E" w:rsidRPr="0018683D">
        <w:rPr>
          <w:rFonts w:ascii="Arial" w:eastAsia="Times New Roman" w:hAnsi="Arial" w:cs="Arial"/>
          <w:sz w:val="24"/>
          <w:szCs w:val="24"/>
          <w:lang w:eastAsia="en-NZ"/>
        </w:rPr>
        <w:t xml:space="preserve"> 16,000 pages). Three weeks and one day were used for the hearing of oral evidence. The hearings took place at Tūrangawaewae Marae in October 2018.</w:t>
      </w:r>
      <w:r w:rsidR="0052361E" w:rsidRPr="0018683D">
        <w:rPr>
          <w:rStyle w:val="FootnoteReference"/>
          <w:rFonts w:ascii="Arial" w:eastAsia="Times New Roman" w:hAnsi="Arial" w:cs="Arial"/>
          <w:sz w:val="24"/>
          <w:szCs w:val="24"/>
          <w:lang w:eastAsia="en-NZ"/>
        </w:rPr>
        <w:footnoteReference w:id="38"/>
      </w:r>
    </w:p>
    <w:p w14:paraId="62663FD3"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07AB7FE9" w14:textId="3048364D"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claims considered were made both on behalf of several individuals </w:t>
      </w:r>
      <w:r w:rsidR="00867300">
        <w:rPr>
          <w:rFonts w:ascii="Arial" w:eastAsia="Times New Roman" w:hAnsi="Arial" w:cs="Arial"/>
          <w:sz w:val="24"/>
          <w:szCs w:val="24"/>
          <w:lang w:eastAsia="en-NZ"/>
        </w:rPr>
        <w:t xml:space="preserve">and </w:t>
      </w:r>
      <w:r w:rsidRPr="0018683D">
        <w:rPr>
          <w:rFonts w:ascii="Arial" w:eastAsia="Times New Roman" w:hAnsi="Arial" w:cs="Arial"/>
          <w:sz w:val="24"/>
          <w:szCs w:val="24"/>
          <w:lang w:eastAsia="en-NZ"/>
        </w:rPr>
        <w:t xml:space="preserve">groups (Māori primary health organisations or </w:t>
      </w:r>
      <w:proofErr w:type="spellStart"/>
      <w:r w:rsidRPr="0018683D">
        <w:rPr>
          <w:rFonts w:ascii="Arial" w:eastAsia="Times New Roman" w:hAnsi="Arial" w:cs="Arial"/>
          <w:sz w:val="24"/>
          <w:szCs w:val="24"/>
          <w:lang w:eastAsia="en-NZ"/>
        </w:rPr>
        <w:t>kaupapa</w:t>
      </w:r>
      <w:proofErr w:type="spellEnd"/>
      <w:r w:rsidRPr="0018683D">
        <w:rPr>
          <w:rFonts w:ascii="Arial" w:eastAsia="Times New Roman" w:hAnsi="Arial" w:cs="Arial"/>
          <w:sz w:val="24"/>
          <w:szCs w:val="24"/>
          <w:lang w:eastAsia="en-NZ"/>
        </w:rPr>
        <w:t xml:space="preserve"> Māori health providers), and on behalf of all Māori.</w:t>
      </w:r>
    </w:p>
    <w:p w14:paraId="5956C397"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709A6FAA" w14:textId="77777777" w:rsidR="0052361E" w:rsidRPr="0018683D" w:rsidRDefault="0052361E" w:rsidP="0052361E">
      <w:pPr>
        <w:pStyle w:val="ListParagraph"/>
        <w:spacing w:after="0" w:line="360" w:lineRule="auto"/>
        <w:ind w:left="1134"/>
        <w:rPr>
          <w:rFonts w:ascii="Arial" w:eastAsia="Times New Roman" w:hAnsi="Arial" w:cs="Arial"/>
          <w:b/>
          <w:bCs/>
          <w:i/>
          <w:iCs/>
          <w:sz w:val="24"/>
          <w:szCs w:val="24"/>
          <w:lang w:eastAsia="en-NZ"/>
        </w:rPr>
      </w:pPr>
      <w:r w:rsidRPr="0018683D">
        <w:rPr>
          <w:rFonts w:ascii="Arial" w:eastAsia="Times New Roman" w:hAnsi="Arial" w:cs="Arial"/>
          <w:b/>
          <w:bCs/>
          <w:i/>
          <w:iCs/>
          <w:sz w:val="24"/>
          <w:szCs w:val="24"/>
          <w:lang w:eastAsia="en-NZ"/>
        </w:rPr>
        <w:lastRenderedPageBreak/>
        <w:t>Findings</w:t>
      </w:r>
    </w:p>
    <w:p w14:paraId="6FBAB79A"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6922900B" w14:textId="42F57C28" w:rsidR="0052361E" w:rsidRPr="0018683D" w:rsidRDefault="00B92631"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Pr>
          <w:rFonts w:ascii="Arial" w:eastAsia="Times New Roman" w:hAnsi="Arial" w:cs="Arial"/>
          <w:sz w:val="24"/>
          <w:szCs w:val="24"/>
          <w:lang w:eastAsia="en-NZ"/>
        </w:rPr>
        <w:t>T</w:t>
      </w:r>
      <w:r w:rsidR="0052361E" w:rsidRPr="0018683D">
        <w:rPr>
          <w:rFonts w:ascii="Arial" w:eastAsia="Times New Roman" w:hAnsi="Arial" w:cs="Arial"/>
          <w:sz w:val="24"/>
          <w:szCs w:val="24"/>
          <w:lang w:eastAsia="en-NZ"/>
        </w:rPr>
        <w:t xml:space="preserve">he Waitangi Tribunal made findings of significant breaches of the Treaty within the </w:t>
      </w:r>
      <w:r>
        <w:rPr>
          <w:rFonts w:ascii="Arial" w:eastAsia="Times New Roman" w:hAnsi="Arial" w:cs="Arial"/>
          <w:sz w:val="24"/>
          <w:szCs w:val="24"/>
          <w:lang w:eastAsia="en-NZ"/>
        </w:rPr>
        <w:t xml:space="preserve">Crown’s </w:t>
      </w:r>
      <w:r w:rsidR="0052361E" w:rsidRPr="0018683D">
        <w:rPr>
          <w:rFonts w:ascii="Arial" w:eastAsia="Times New Roman" w:hAnsi="Arial" w:cs="Arial"/>
          <w:sz w:val="24"/>
          <w:szCs w:val="24"/>
          <w:lang w:eastAsia="en-NZ"/>
        </w:rPr>
        <w:t>primary health care sector’s framework, in that:</w:t>
      </w:r>
    </w:p>
    <w:p w14:paraId="6DFCF4FF"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1C4FD645" w14:textId="77777777" w:rsidR="0052361E" w:rsidRPr="0018683D" w:rsidRDefault="0052361E" w:rsidP="00AB20F3">
      <w:pPr>
        <w:pStyle w:val="ListParagraph"/>
        <w:numPr>
          <w:ilvl w:val="0"/>
          <w:numId w:val="7"/>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it failed to consistently state a commitment to equitable outcomes for Māori; </w:t>
      </w:r>
    </w:p>
    <w:p w14:paraId="3DDBE3D1" w14:textId="77777777" w:rsidR="0052361E" w:rsidRPr="0018683D" w:rsidRDefault="0052361E" w:rsidP="0052361E">
      <w:pPr>
        <w:pStyle w:val="ListParagraph"/>
        <w:spacing w:after="0" w:line="360" w:lineRule="auto"/>
        <w:ind w:left="2061"/>
        <w:rPr>
          <w:rFonts w:ascii="Arial" w:eastAsia="Times New Roman" w:hAnsi="Arial" w:cs="Arial"/>
          <w:sz w:val="24"/>
          <w:szCs w:val="24"/>
          <w:lang w:eastAsia="en-NZ"/>
        </w:rPr>
      </w:pPr>
    </w:p>
    <w:p w14:paraId="37BF9F18" w14:textId="77777777" w:rsidR="0052361E" w:rsidRPr="0018683D" w:rsidRDefault="0052361E" w:rsidP="00AB20F3">
      <w:pPr>
        <w:pStyle w:val="ListParagraph"/>
        <w:numPr>
          <w:ilvl w:val="0"/>
          <w:numId w:val="7"/>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there was clear under-funding of Māori primary health organisations;</w:t>
      </w:r>
    </w:p>
    <w:p w14:paraId="4D473136" w14:textId="77777777" w:rsidR="0052361E" w:rsidRPr="0018683D" w:rsidRDefault="0052361E" w:rsidP="0052361E">
      <w:pPr>
        <w:pStyle w:val="ListParagraph"/>
        <w:spacing w:after="0" w:line="360" w:lineRule="auto"/>
        <w:ind w:left="1701" w:hanging="567"/>
        <w:rPr>
          <w:rFonts w:ascii="Arial" w:eastAsia="Times New Roman" w:hAnsi="Arial" w:cs="Arial"/>
          <w:sz w:val="24"/>
          <w:szCs w:val="24"/>
          <w:lang w:eastAsia="en-NZ"/>
        </w:rPr>
      </w:pPr>
    </w:p>
    <w:p w14:paraId="3F37C81F" w14:textId="77777777" w:rsidR="0052361E" w:rsidRPr="0018683D" w:rsidRDefault="0052361E" w:rsidP="00AB20F3">
      <w:pPr>
        <w:pStyle w:val="ListParagraph"/>
        <w:numPr>
          <w:ilvl w:val="0"/>
          <w:numId w:val="7"/>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there was a lack of qualitative and quantitative reporting on Māori health data;</w:t>
      </w:r>
    </w:p>
    <w:p w14:paraId="5A052F7E" w14:textId="77777777" w:rsidR="0052361E" w:rsidRPr="0018683D" w:rsidRDefault="0052361E" w:rsidP="0052361E">
      <w:pPr>
        <w:pStyle w:val="ListParagraph"/>
        <w:spacing w:after="0" w:line="360" w:lineRule="auto"/>
        <w:ind w:left="1701" w:hanging="567"/>
        <w:rPr>
          <w:rFonts w:ascii="Arial" w:eastAsia="Times New Roman" w:hAnsi="Arial" w:cs="Arial"/>
          <w:sz w:val="24"/>
          <w:szCs w:val="24"/>
          <w:lang w:eastAsia="en-NZ"/>
        </w:rPr>
      </w:pPr>
    </w:p>
    <w:p w14:paraId="13FBD3A3" w14:textId="77777777" w:rsidR="0052361E" w:rsidRPr="0018683D" w:rsidRDefault="0052361E" w:rsidP="00AB20F3">
      <w:pPr>
        <w:pStyle w:val="ListParagraph"/>
        <w:numPr>
          <w:ilvl w:val="0"/>
          <w:numId w:val="7"/>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Te </w:t>
      </w:r>
      <w:proofErr w:type="spellStart"/>
      <w:r w:rsidRPr="0018683D">
        <w:rPr>
          <w:rFonts w:ascii="Arial" w:eastAsia="Times New Roman" w:hAnsi="Arial" w:cs="Arial"/>
          <w:sz w:val="24"/>
          <w:szCs w:val="24"/>
          <w:lang w:eastAsia="en-NZ"/>
        </w:rPr>
        <w:t>Puni</w:t>
      </w:r>
      <w:proofErr w:type="spellEnd"/>
      <w:r w:rsidRPr="0018683D">
        <w:rPr>
          <w:rFonts w:ascii="Arial" w:eastAsia="Times New Roman" w:hAnsi="Arial" w:cs="Arial"/>
          <w:sz w:val="24"/>
          <w:szCs w:val="24"/>
          <w:lang w:eastAsia="en-NZ"/>
        </w:rPr>
        <w:t xml:space="preserve"> </w:t>
      </w:r>
      <w:proofErr w:type="spellStart"/>
      <w:r w:rsidRPr="0018683D">
        <w:rPr>
          <w:rFonts w:ascii="Arial" w:eastAsia="Times New Roman" w:hAnsi="Arial" w:cs="Arial"/>
          <w:sz w:val="24"/>
          <w:szCs w:val="24"/>
          <w:lang w:eastAsia="en-NZ"/>
        </w:rPr>
        <w:t>Kōkiri</w:t>
      </w:r>
      <w:proofErr w:type="spellEnd"/>
      <w:r w:rsidRPr="0018683D">
        <w:rPr>
          <w:rFonts w:ascii="Arial" w:eastAsia="Times New Roman" w:hAnsi="Arial" w:cs="Arial"/>
          <w:sz w:val="24"/>
          <w:szCs w:val="24"/>
          <w:lang w:eastAsia="en-NZ"/>
        </w:rPr>
        <w:t xml:space="preserve"> failed to carry out its statutory duty in conducting agency reviews.  The Crown was therefore not adequately informed about the persistent situation so did not seek necessary information to improve the performance of the sector;</w:t>
      </w:r>
    </w:p>
    <w:p w14:paraId="3EF2C60B" w14:textId="77777777" w:rsidR="0052361E" w:rsidRPr="0018683D" w:rsidRDefault="0052361E" w:rsidP="0052361E">
      <w:pPr>
        <w:pStyle w:val="ListParagraph"/>
        <w:spacing w:after="0" w:line="360" w:lineRule="auto"/>
        <w:ind w:left="1701" w:hanging="567"/>
        <w:rPr>
          <w:rFonts w:ascii="Arial" w:eastAsia="Times New Roman" w:hAnsi="Arial" w:cs="Arial"/>
          <w:sz w:val="24"/>
          <w:szCs w:val="24"/>
          <w:lang w:eastAsia="en-NZ"/>
        </w:rPr>
      </w:pPr>
    </w:p>
    <w:p w14:paraId="02A465D2" w14:textId="77777777" w:rsidR="0052361E" w:rsidRPr="0018683D" w:rsidRDefault="0052361E" w:rsidP="00AB20F3">
      <w:pPr>
        <w:pStyle w:val="ListParagraph"/>
        <w:numPr>
          <w:ilvl w:val="0"/>
          <w:numId w:val="7"/>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within the primary health sector, there was a lack of partnership with Māori who are significantly under-represented across a range of  medical professions and within the Ministry of Health, and there had been a disestablishment of a unit focussed on Māori health in the Ministry which impacted Māori-specific policy-making. </w:t>
      </w:r>
    </w:p>
    <w:p w14:paraId="77E2EA40" w14:textId="77777777" w:rsidR="0052361E" w:rsidRPr="0018683D" w:rsidRDefault="0052361E" w:rsidP="0052361E">
      <w:pPr>
        <w:pStyle w:val="ListParagraph"/>
        <w:spacing w:after="0" w:line="360" w:lineRule="auto"/>
        <w:ind w:left="1701" w:hanging="567"/>
        <w:rPr>
          <w:rFonts w:ascii="Arial" w:eastAsia="Times New Roman" w:hAnsi="Arial" w:cs="Arial"/>
          <w:sz w:val="24"/>
          <w:szCs w:val="24"/>
          <w:lang w:eastAsia="en-NZ"/>
        </w:rPr>
      </w:pPr>
    </w:p>
    <w:p w14:paraId="57418599" w14:textId="77777777"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Overall it was concluded that “the primary health care framework does not recognise and properly provide for </w:t>
      </w:r>
      <w:proofErr w:type="spellStart"/>
      <w:r w:rsidRPr="0018683D">
        <w:rPr>
          <w:rFonts w:ascii="Arial" w:eastAsia="Times New Roman" w:hAnsi="Arial" w:cs="Arial"/>
          <w:sz w:val="24"/>
          <w:szCs w:val="24"/>
          <w:lang w:eastAsia="en-NZ"/>
        </w:rPr>
        <w:t>tino</w:t>
      </w:r>
      <w:proofErr w:type="spellEnd"/>
      <w:r w:rsidRPr="0018683D">
        <w:rPr>
          <w:rFonts w:ascii="Arial" w:eastAsia="Times New Roman" w:hAnsi="Arial" w:cs="Arial"/>
          <w:sz w:val="24"/>
          <w:szCs w:val="24"/>
          <w:lang w:eastAsia="en-NZ"/>
        </w:rPr>
        <w:t xml:space="preserve"> rangatiratanga and mana </w:t>
      </w:r>
      <w:proofErr w:type="spellStart"/>
      <w:r w:rsidRPr="0018683D">
        <w:rPr>
          <w:rFonts w:ascii="Arial" w:eastAsia="Times New Roman" w:hAnsi="Arial" w:cs="Arial"/>
          <w:sz w:val="24"/>
          <w:szCs w:val="24"/>
          <w:lang w:eastAsia="en-NZ"/>
        </w:rPr>
        <w:t>motuhake</w:t>
      </w:r>
      <w:proofErr w:type="spellEnd"/>
      <w:r w:rsidRPr="0018683D">
        <w:rPr>
          <w:rFonts w:ascii="Arial" w:eastAsia="Times New Roman" w:hAnsi="Arial" w:cs="Arial"/>
          <w:sz w:val="24"/>
          <w:szCs w:val="24"/>
          <w:lang w:eastAsia="en-NZ"/>
        </w:rPr>
        <w:t xml:space="preserve"> of </w:t>
      </w:r>
      <w:proofErr w:type="spellStart"/>
      <w:r w:rsidRPr="0018683D">
        <w:rPr>
          <w:rFonts w:ascii="Arial" w:eastAsia="Times New Roman" w:hAnsi="Arial" w:cs="Arial"/>
          <w:sz w:val="24"/>
          <w:szCs w:val="24"/>
          <w:lang w:eastAsia="en-NZ"/>
        </w:rPr>
        <w:t>hauora</w:t>
      </w:r>
      <w:proofErr w:type="spellEnd"/>
      <w:r w:rsidRPr="0018683D">
        <w:rPr>
          <w:rFonts w:ascii="Arial" w:eastAsia="Times New Roman" w:hAnsi="Arial" w:cs="Arial"/>
          <w:sz w:val="24"/>
          <w:szCs w:val="24"/>
          <w:lang w:eastAsia="en-NZ"/>
        </w:rPr>
        <w:t xml:space="preserve"> Māori.”</w:t>
      </w:r>
      <w:r w:rsidRPr="0018683D">
        <w:rPr>
          <w:rStyle w:val="FootnoteReference"/>
          <w:rFonts w:ascii="Arial" w:eastAsia="Times New Roman" w:hAnsi="Arial" w:cs="Arial"/>
          <w:sz w:val="24"/>
          <w:szCs w:val="24"/>
          <w:lang w:eastAsia="en-NZ"/>
        </w:rPr>
        <w:footnoteReference w:id="39"/>
      </w:r>
    </w:p>
    <w:p w14:paraId="07AF222A"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64BE6818" w14:textId="73ADFF24"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 report itself relied heavily on the co-operation of Crown counsel and the Ministry of Health</w:t>
      </w:r>
      <w:r w:rsidR="00E15F39">
        <w:rPr>
          <w:rFonts w:ascii="Arial" w:eastAsia="Times New Roman" w:hAnsi="Arial" w:cs="Arial"/>
          <w:sz w:val="24"/>
          <w:szCs w:val="24"/>
          <w:lang w:eastAsia="en-NZ"/>
        </w:rPr>
        <w:t xml:space="preserve"> in the provision of</w:t>
      </w:r>
      <w:r w:rsidRPr="0018683D">
        <w:rPr>
          <w:rFonts w:ascii="Arial" w:eastAsia="Times New Roman" w:hAnsi="Arial" w:cs="Arial"/>
          <w:sz w:val="24"/>
          <w:szCs w:val="24"/>
          <w:lang w:eastAsia="en-NZ"/>
        </w:rPr>
        <w:t xml:space="preserve"> statistics and evidence, which was foreshadowed by the Crown’s expressed intention to act in a co-operative fashion.</w:t>
      </w:r>
    </w:p>
    <w:p w14:paraId="77AC3B74" w14:textId="77777777" w:rsidR="0052361E" w:rsidRPr="0018683D" w:rsidRDefault="0052361E" w:rsidP="0052361E">
      <w:pPr>
        <w:pStyle w:val="ListParagraph"/>
        <w:spacing w:after="0" w:line="360" w:lineRule="auto"/>
        <w:ind w:left="1701"/>
        <w:rPr>
          <w:rFonts w:ascii="Arial" w:eastAsia="Times New Roman" w:hAnsi="Arial" w:cs="Arial"/>
          <w:b/>
          <w:bCs/>
          <w:sz w:val="24"/>
          <w:szCs w:val="24"/>
          <w:lang w:eastAsia="en-NZ"/>
        </w:rPr>
      </w:pPr>
    </w:p>
    <w:p w14:paraId="2571D012" w14:textId="77777777" w:rsidR="0052361E" w:rsidRPr="0018683D" w:rsidRDefault="0052361E" w:rsidP="0052361E">
      <w:pPr>
        <w:pStyle w:val="ListParagraph"/>
        <w:spacing w:after="0" w:line="360" w:lineRule="auto"/>
        <w:ind w:left="1134"/>
        <w:rPr>
          <w:rFonts w:ascii="Arial" w:eastAsia="Times New Roman" w:hAnsi="Arial" w:cs="Arial"/>
          <w:b/>
          <w:bCs/>
          <w:i/>
          <w:iCs/>
          <w:sz w:val="24"/>
          <w:szCs w:val="24"/>
          <w:lang w:eastAsia="en-NZ"/>
        </w:rPr>
      </w:pPr>
      <w:r w:rsidRPr="0018683D">
        <w:rPr>
          <w:rFonts w:ascii="Arial" w:eastAsia="Times New Roman" w:hAnsi="Arial" w:cs="Arial"/>
          <w:b/>
          <w:bCs/>
          <w:i/>
          <w:iCs/>
          <w:sz w:val="24"/>
          <w:szCs w:val="24"/>
          <w:lang w:eastAsia="en-NZ"/>
        </w:rPr>
        <w:t>Waitangi Tribunal’s statements in relation to application of the Treaty of Waitangi and consultation processes</w:t>
      </w:r>
    </w:p>
    <w:p w14:paraId="1A4810FE"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59C09A91" w14:textId="77777777"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In consideration of whether the primary health care sector’s framework was Treaty compliant, the Tribunal noted its surprise to hear evidence that the Ministry of Health interpreted the Treaty principles as the outdated ‘three P’s’ of partnership, protection and participation as conceptualised from the 1988 Royal Commission on Social Policy, when the intervening years had allowed for considerable advancement in contemporary thinking on Treaty principles.</w:t>
      </w:r>
      <w:r w:rsidRPr="0018683D">
        <w:rPr>
          <w:rStyle w:val="FootnoteReference"/>
          <w:rFonts w:ascii="Arial" w:eastAsia="Times New Roman" w:hAnsi="Arial" w:cs="Arial"/>
          <w:sz w:val="24"/>
          <w:szCs w:val="24"/>
          <w:lang w:eastAsia="en-NZ"/>
        </w:rPr>
        <w:footnoteReference w:id="40"/>
      </w:r>
    </w:p>
    <w:p w14:paraId="4CF692A7"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2A64F2AD" w14:textId="1CA0D272"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Tribunal outlined its view that the Ministry’s published policies and strategies, and practices had, in effect, ‘watered down’ the effect of the Treaty principles.  Until 2014, </w:t>
      </w:r>
      <w:r w:rsidR="006677BF">
        <w:rPr>
          <w:rFonts w:ascii="Arial" w:eastAsia="Times New Roman" w:hAnsi="Arial" w:cs="Arial"/>
          <w:sz w:val="24"/>
          <w:szCs w:val="24"/>
          <w:lang w:eastAsia="en-NZ"/>
        </w:rPr>
        <w:t>the Ministry</w:t>
      </w:r>
      <w:r w:rsidRPr="0018683D">
        <w:rPr>
          <w:rFonts w:ascii="Arial" w:eastAsia="Times New Roman" w:hAnsi="Arial" w:cs="Arial"/>
          <w:sz w:val="24"/>
          <w:szCs w:val="24"/>
          <w:lang w:eastAsia="en-NZ"/>
        </w:rPr>
        <w:t xml:space="preserve"> had considered rangatiratanga as an aspirational goal, not a right.  The Tribunal found that following the introduction of the correct interpretation of rangatiratanga</w:t>
      </w:r>
      <w:r w:rsidRPr="0018683D">
        <w:rPr>
          <w:rStyle w:val="FootnoteReference"/>
          <w:rFonts w:ascii="Arial" w:eastAsia="Times New Roman" w:hAnsi="Arial" w:cs="Arial"/>
          <w:sz w:val="24"/>
          <w:szCs w:val="24"/>
          <w:lang w:eastAsia="en-NZ"/>
        </w:rPr>
        <w:footnoteReference w:id="41"/>
      </w:r>
      <w:r w:rsidRPr="0018683D">
        <w:rPr>
          <w:rFonts w:ascii="Arial" w:eastAsia="Times New Roman" w:hAnsi="Arial" w:cs="Arial"/>
          <w:sz w:val="24"/>
          <w:szCs w:val="24"/>
          <w:lang w:eastAsia="en-NZ"/>
        </w:rPr>
        <w:t xml:space="preserve"> that key thread was nevertheless not formally implemented at the district health board level.</w:t>
      </w:r>
      <w:r w:rsidRPr="0018683D">
        <w:rPr>
          <w:rStyle w:val="FootnoteReference"/>
          <w:rFonts w:ascii="Arial" w:eastAsia="Times New Roman" w:hAnsi="Arial" w:cs="Arial"/>
          <w:sz w:val="24"/>
          <w:szCs w:val="24"/>
          <w:lang w:eastAsia="en-NZ"/>
        </w:rPr>
        <w:footnoteReference w:id="42"/>
      </w:r>
      <w:r w:rsidRPr="0018683D">
        <w:rPr>
          <w:rFonts w:ascii="Arial" w:eastAsia="Times New Roman" w:hAnsi="Arial" w:cs="Arial"/>
          <w:sz w:val="24"/>
          <w:szCs w:val="24"/>
          <w:lang w:eastAsia="en-NZ"/>
        </w:rPr>
        <w:t xml:space="preserve"> </w:t>
      </w:r>
    </w:p>
    <w:p w14:paraId="7DBEA0CC"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152BBD08" w14:textId="77777777"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Tribunal further stated however, that </w:t>
      </w:r>
      <w:proofErr w:type="spellStart"/>
      <w:r w:rsidRPr="0018683D">
        <w:rPr>
          <w:rFonts w:ascii="Arial" w:eastAsia="Times New Roman" w:hAnsi="Arial" w:cs="Arial"/>
          <w:sz w:val="24"/>
          <w:szCs w:val="24"/>
          <w:lang w:eastAsia="en-NZ"/>
        </w:rPr>
        <w:t>tino</w:t>
      </w:r>
      <w:proofErr w:type="spellEnd"/>
      <w:r w:rsidRPr="0018683D">
        <w:rPr>
          <w:rFonts w:ascii="Arial" w:eastAsia="Times New Roman" w:hAnsi="Arial" w:cs="Arial"/>
          <w:sz w:val="24"/>
          <w:szCs w:val="24"/>
          <w:lang w:eastAsia="en-NZ"/>
        </w:rPr>
        <w:t xml:space="preserve"> rangatiratanga, the fullest expression of political and social organisation and the foundation of Māori decision-making, is what the Treaty enshrines, not rangatiratanga.</w:t>
      </w:r>
      <w:r w:rsidRPr="0018683D">
        <w:rPr>
          <w:rStyle w:val="FootnoteReference"/>
          <w:rFonts w:ascii="Arial" w:eastAsia="Times New Roman" w:hAnsi="Arial" w:cs="Arial"/>
          <w:sz w:val="24"/>
          <w:szCs w:val="24"/>
          <w:lang w:eastAsia="en-NZ"/>
        </w:rPr>
        <w:footnoteReference w:id="43"/>
      </w:r>
      <w:r w:rsidRPr="0018683D">
        <w:rPr>
          <w:rFonts w:ascii="Arial" w:eastAsia="Times New Roman" w:hAnsi="Arial" w:cs="Arial"/>
          <w:sz w:val="24"/>
          <w:szCs w:val="24"/>
          <w:lang w:eastAsia="en-NZ"/>
        </w:rPr>
        <w:t xml:space="preserve"> </w:t>
      </w:r>
    </w:p>
    <w:p w14:paraId="49FF8664" w14:textId="77777777" w:rsidR="0052361E" w:rsidRPr="0018683D" w:rsidRDefault="0052361E" w:rsidP="0052361E">
      <w:pPr>
        <w:pStyle w:val="ListParagraph"/>
        <w:spacing w:after="0" w:line="360" w:lineRule="auto"/>
        <w:ind w:left="1701"/>
        <w:rPr>
          <w:rFonts w:ascii="Arial" w:eastAsia="Times New Roman" w:hAnsi="Arial" w:cs="Arial"/>
          <w:sz w:val="24"/>
          <w:szCs w:val="24"/>
          <w:lang w:eastAsia="en-NZ"/>
        </w:rPr>
      </w:pPr>
    </w:p>
    <w:p w14:paraId="6AD383CA" w14:textId="77777777"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 Tribunal found that the watering down of the principles undermined the Crown’s potential strength to audit district health boards for Treaty-compliance, and concluded:</w:t>
      </w:r>
      <w:r w:rsidRPr="0018683D">
        <w:rPr>
          <w:rStyle w:val="FootnoteReference"/>
          <w:rFonts w:ascii="Arial" w:eastAsia="Times New Roman" w:hAnsi="Arial" w:cs="Arial"/>
          <w:sz w:val="24"/>
          <w:szCs w:val="24"/>
          <w:lang w:eastAsia="en-NZ"/>
        </w:rPr>
        <w:footnoteReference w:id="44"/>
      </w:r>
    </w:p>
    <w:p w14:paraId="4F73D7F0" w14:textId="77777777" w:rsidR="0052361E" w:rsidRPr="0018683D" w:rsidRDefault="0052361E" w:rsidP="0052361E">
      <w:pPr>
        <w:pStyle w:val="Pa26"/>
        <w:spacing w:line="360" w:lineRule="auto"/>
        <w:ind w:left="2160"/>
        <w:jc w:val="both"/>
        <w:rPr>
          <w:rFonts w:ascii="Arial" w:hAnsi="Arial" w:cs="Arial"/>
          <w:color w:val="000000"/>
        </w:rPr>
      </w:pPr>
    </w:p>
    <w:p w14:paraId="2A300042" w14:textId="77777777" w:rsidR="0052361E" w:rsidRPr="0018683D" w:rsidRDefault="0052361E" w:rsidP="0052361E">
      <w:pPr>
        <w:pStyle w:val="Pa26"/>
        <w:spacing w:line="360" w:lineRule="auto"/>
        <w:ind w:left="1701"/>
        <w:jc w:val="both"/>
        <w:rPr>
          <w:rFonts w:ascii="Arial" w:hAnsi="Arial" w:cs="Arial"/>
          <w:i/>
          <w:iCs/>
          <w:color w:val="000000"/>
        </w:rPr>
      </w:pPr>
      <w:r w:rsidRPr="0018683D">
        <w:rPr>
          <w:rFonts w:ascii="Arial" w:hAnsi="Arial" w:cs="Arial"/>
          <w:i/>
          <w:iCs/>
          <w:color w:val="000000"/>
        </w:rPr>
        <w:lastRenderedPageBreak/>
        <w:t>We note that giving effect to the Treaty partnership was a ‘significant concern’ for Māori involved in the consultation period, begun in March of 2000, on the development of the Primary Health Care Strategy. Crown counsel noted the con</w:t>
      </w:r>
      <w:r w:rsidRPr="0018683D">
        <w:rPr>
          <w:rFonts w:ascii="Arial" w:hAnsi="Arial" w:cs="Arial"/>
          <w:i/>
          <w:iCs/>
          <w:color w:val="000000"/>
        </w:rPr>
        <w:softHyphen/>
        <w:t>sultation, which included ‘Māori providers and co-funders’, but did not make a submission on its adequacy.</w:t>
      </w:r>
      <w:r w:rsidRPr="0018683D">
        <w:rPr>
          <w:rStyle w:val="A14"/>
          <w:rFonts w:ascii="Arial" w:hAnsi="Arial" w:cs="Arial"/>
          <w:i/>
          <w:iCs/>
          <w:sz w:val="24"/>
          <w:szCs w:val="24"/>
        </w:rPr>
        <w:t xml:space="preserve"> </w:t>
      </w:r>
      <w:r w:rsidRPr="0018683D">
        <w:rPr>
          <w:rFonts w:ascii="Arial" w:hAnsi="Arial" w:cs="Arial"/>
          <w:i/>
          <w:iCs/>
          <w:color w:val="000000"/>
        </w:rPr>
        <w:t xml:space="preserve">Crown witness Dr Frances McGrath recalled some participants saying that the documentation proposing the reforms to primary care did not, in their eyes, reflect ‘a commitment to partnership or to the action required to make it a reality’…neither He Korowai </w:t>
      </w:r>
      <w:proofErr w:type="spellStart"/>
      <w:r w:rsidRPr="0018683D">
        <w:rPr>
          <w:rFonts w:ascii="Arial" w:hAnsi="Arial" w:cs="Arial"/>
          <w:i/>
          <w:iCs/>
          <w:color w:val="000000"/>
        </w:rPr>
        <w:t>Oranga</w:t>
      </w:r>
      <w:proofErr w:type="spellEnd"/>
      <w:r w:rsidRPr="0018683D">
        <w:rPr>
          <w:rFonts w:ascii="Arial" w:hAnsi="Arial" w:cs="Arial"/>
          <w:i/>
          <w:iCs/>
          <w:color w:val="000000"/>
        </w:rPr>
        <w:t xml:space="preserve"> nor the other strategies and policies relevant to primary health care require the health sector to recognise the </w:t>
      </w:r>
      <w:proofErr w:type="spellStart"/>
      <w:r w:rsidRPr="0018683D">
        <w:rPr>
          <w:rFonts w:ascii="Arial" w:hAnsi="Arial" w:cs="Arial"/>
          <w:i/>
          <w:iCs/>
          <w:color w:val="000000"/>
        </w:rPr>
        <w:t>tino</w:t>
      </w:r>
      <w:proofErr w:type="spellEnd"/>
      <w:r w:rsidRPr="0018683D">
        <w:rPr>
          <w:rFonts w:ascii="Arial" w:hAnsi="Arial" w:cs="Arial"/>
          <w:i/>
          <w:iCs/>
          <w:color w:val="000000"/>
        </w:rPr>
        <w:t xml:space="preserve"> rangatiratanga rights that are enshrined in article 2. In our view, the Ministry’s articulation and explanation of the Treaty and its application to the health sector is not Treaty-compliant.</w:t>
      </w:r>
    </w:p>
    <w:p w14:paraId="0E86B74D" w14:textId="77777777" w:rsidR="0052361E" w:rsidRPr="0018683D" w:rsidRDefault="0052361E" w:rsidP="0052361E">
      <w:pPr>
        <w:spacing w:after="0" w:line="360" w:lineRule="auto"/>
        <w:rPr>
          <w:rFonts w:ascii="Arial" w:hAnsi="Arial" w:cs="Arial"/>
          <w:i/>
          <w:iCs/>
          <w:sz w:val="24"/>
          <w:szCs w:val="24"/>
        </w:rPr>
      </w:pPr>
      <w:r w:rsidRPr="0018683D">
        <w:rPr>
          <w:rFonts w:ascii="Arial" w:hAnsi="Arial" w:cs="Arial"/>
          <w:sz w:val="24"/>
          <w:szCs w:val="24"/>
        </w:rPr>
        <w:tab/>
      </w:r>
      <w:r w:rsidRPr="0018683D">
        <w:rPr>
          <w:rFonts w:ascii="Arial" w:hAnsi="Arial" w:cs="Arial"/>
          <w:sz w:val="24"/>
          <w:szCs w:val="24"/>
        </w:rPr>
        <w:tab/>
      </w:r>
    </w:p>
    <w:p w14:paraId="7126C69A" w14:textId="23FC2006" w:rsidR="00B92631" w:rsidRDefault="00C67D27"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Pr>
          <w:rFonts w:ascii="Arial" w:eastAsia="Times New Roman" w:hAnsi="Arial" w:cs="Arial"/>
          <w:sz w:val="24"/>
          <w:szCs w:val="24"/>
          <w:lang w:eastAsia="en-NZ"/>
        </w:rPr>
        <w:t>S</w:t>
      </w:r>
      <w:r w:rsidR="0052361E" w:rsidRPr="0018683D">
        <w:rPr>
          <w:rFonts w:ascii="Arial" w:eastAsia="Times New Roman" w:hAnsi="Arial" w:cs="Arial"/>
          <w:sz w:val="24"/>
          <w:szCs w:val="24"/>
          <w:lang w:eastAsia="en-NZ"/>
        </w:rPr>
        <w:t xml:space="preserve">everal breaches were found at the district health board level, with the governance model failing to reflect the Treaty partnership. Of particular concern was that Māori board members </w:t>
      </w:r>
      <w:r w:rsidR="00B92631">
        <w:rPr>
          <w:rFonts w:ascii="Arial" w:eastAsia="Times New Roman" w:hAnsi="Arial" w:cs="Arial"/>
          <w:sz w:val="24"/>
          <w:szCs w:val="24"/>
          <w:lang w:eastAsia="en-NZ"/>
        </w:rPr>
        <w:t xml:space="preserve">were kept to </w:t>
      </w:r>
      <w:r w:rsidR="0052361E" w:rsidRPr="0018683D">
        <w:rPr>
          <w:rFonts w:ascii="Arial" w:eastAsia="Times New Roman" w:hAnsi="Arial" w:cs="Arial"/>
          <w:sz w:val="24"/>
          <w:szCs w:val="24"/>
          <w:lang w:eastAsia="en-NZ"/>
        </w:rPr>
        <w:t>minority</w:t>
      </w:r>
      <w:r w:rsidR="00B92631">
        <w:rPr>
          <w:rFonts w:ascii="Arial" w:eastAsia="Times New Roman" w:hAnsi="Arial" w:cs="Arial"/>
          <w:sz w:val="24"/>
          <w:szCs w:val="24"/>
          <w:lang w:eastAsia="en-NZ"/>
        </w:rPr>
        <w:t xml:space="preserve"> numbers</w:t>
      </w:r>
      <w:r w:rsidR="0052361E" w:rsidRPr="0018683D">
        <w:rPr>
          <w:rFonts w:ascii="Arial" w:eastAsia="Times New Roman" w:hAnsi="Arial" w:cs="Arial"/>
          <w:sz w:val="24"/>
          <w:szCs w:val="24"/>
          <w:lang w:eastAsia="en-NZ"/>
        </w:rPr>
        <w:t xml:space="preserve"> and d</w:t>
      </w:r>
      <w:r w:rsidR="00B92631">
        <w:rPr>
          <w:rFonts w:ascii="Arial" w:eastAsia="Times New Roman" w:hAnsi="Arial" w:cs="Arial"/>
          <w:sz w:val="24"/>
          <w:szCs w:val="24"/>
          <w:lang w:eastAsia="en-NZ"/>
        </w:rPr>
        <w:t>id</w:t>
      </w:r>
      <w:r w:rsidR="0052361E" w:rsidRPr="0018683D">
        <w:rPr>
          <w:rFonts w:ascii="Arial" w:eastAsia="Times New Roman" w:hAnsi="Arial" w:cs="Arial"/>
          <w:sz w:val="24"/>
          <w:szCs w:val="24"/>
          <w:lang w:eastAsia="en-NZ"/>
        </w:rPr>
        <w:t xml:space="preserve"> not necessarily reflect mana whenua interests or the local Māori population that they serve</w:t>
      </w:r>
      <w:r w:rsidR="00B92631">
        <w:rPr>
          <w:rFonts w:ascii="Arial" w:eastAsia="Times New Roman" w:hAnsi="Arial" w:cs="Arial"/>
          <w:sz w:val="24"/>
          <w:szCs w:val="24"/>
          <w:lang w:eastAsia="en-NZ"/>
        </w:rPr>
        <w:t>d</w:t>
      </w:r>
      <w:r w:rsidR="0052361E" w:rsidRPr="0018683D">
        <w:rPr>
          <w:rFonts w:ascii="Arial" w:eastAsia="Times New Roman" w:hAnsi="Arial" w:cs="Arial"/>
          <w:sz w:val="24"/>
          <w:szCs w:val="24"/>
          <w:lang w:eastAsia="en-NZ"/>
        </w:rPr>
        <w:t xml:space="preserve">.  </w:t>
      </w:r>
      <w:r w:rsidR="00B92631">
        <w:rPr>
          <w:rFonts w:ascii="Arial" w:eastAsia="Times New Roman" w:hAnsi="Arial" w:cs="Arial"/>
          <w:sz w:val="24"/>
          <w:szCs w:val="24"/>
          <w:lang w:eastAsia="en-NZ"/>
        </w:rPr>
        <w:t>Appointees being</w:t>
      </w:r>
      <w:r w:rsidR="0052361E" w:rsidRPr="0018683D">
        <w:rPr>
          <w:rFonts w:ascii="Arial" w:eastAsia="Times New Roman" w:hAnsi="Arial" w:cs="Arial"/>
          <w:sz w:val="24"/>
          <w:szCs w:val="24"/>
          <w:lang w:eastAsia="en-NZ"/>
        </w:rPr>
        <w:t xml:space="preserve"> answerable to the Ministry of Health </w:t>
      </w:r>
      <w:r w:rsidR="00B92631">
        <w:rPr>
          <w:rFonts w:ascii="Arial" w:eastAsia="Times New Roman" w:hAnsi="Arial" w:cs="Arial"/>
          <w:sz w:val="24"/>
          <w:szCs w:val="24"/>
          <w:lang w:eastAsia="en-NZ"/>
        </w:rPr>
        <w:t>did</w:t>
      </w:r>
      <w:r w:rsidR="0052361E" w:rsidRPr="0018683D">
        <w:rPr>
          <w:rFonts w:ascii="Arial" w:eastAsia="Times New Roman" w:hAnsi="Arial" w:cs="Arial"/>
          <w:sz w:val="24"/>
          <w:szCs w:val="24"/>
          <w:lang w:eastAsia="en-NZ"/>
        </w:rPr>
        <w:t xml:space="preserve"> not reflect partnership, and there was considerable variance across the country of their role and influence upon the operation of the district health boards. </w:t>
      </w:r>
    </w:p>
    <w:p w14:paraId="1A278296" w14:textId="32547B61" w:rsidR="000D733C" w:rsidRDefault="000D733C">
      <w:pPr>
        <w:rPr>
          <w:rFonts w:ascii="Arial" w:eastAsia="Times New Roman" w:hAnsi="Arial" w:cs="Arial"/>
          <w:sz w:val="24"/>
          <w:szCs w:val="24"/>
          <w:lang w:eastAsia="en-NZ"/>
        </w:rPr>
      </w:pPr>
    </w:p>
    <w:p w14:paraId="6132B7D9" w14:textId="07246446" w:rsidR="0052361E" w:rsidRPr="0018683D" w:rsidRDefault="0052361E"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Evidence was heard that consultation was regularly the simple provision for Māori involvement without an intention to receive the consulted viewpoint.</w:t>
      </w:r>
      <w:r w:rsidR="000D733C">
        <w:rPr>
          <w:rStyle w:val="FootnoteReference"/>
          <w:rFonts w:ascii="Arial" w:eastAsia="Times New Roman" w:hAnsi="Arial" w:cs="Arial"/>
          <w:sz w:val="24"/>
          <w:szCs w:val="24"/>
          <w:lang w:eastAsia="en-NZ"/>
        </w:rPr>
        <w:footnoteReference w:id="45"/>
      </w:r>
    </w:p>
    <w:p w14:paraId="6621086E" w14:textId="77777777" w:rsidR="0052361E" w:rsidRDefault="0052361E" w:rsidP="0052361E">
      <w:pPr>
        <w:pStyle w:val="NoSpacing"/>
        <w:spacing w:line="360" w:lineRule="auto"/>
        <w:ind w:left="1134"/>
        <w:rPr>
          <w:rFonts w:ascii="Arial" w:hAnsi="Arial" w:cs="Arial"/>
          <w:b/>
          <w:sz w:val="24"/>
          <w:szCs w:val="24"/>
        </w:rPr>
      </w:pPr>
    </w:p>
    <w:p w14:paraId="502E777C" w14:textId="77777777" w:rsidR="008F7A90" w:rsidRDefault="008F7A90">
      <w:pPr>
        <w:rPr>
          <w:rFonts w:ascii="Arial" w:hAnsi="Arial" w:cs="Arial"/>
          <w:b/>
          <w:sz w:val="24"/>
          <w:szCs w:val="24"/>
        </w:rPr>
      </w:pPr>
      <w:r>
        <w:rPr>
          <w:rFonts w:ascii="Arial" w:hAnsi="Arial" w:cs="Arial"/>
          <w:b/>
          <w:sz w:val="24"/>
          <w:szCs w:val="24"/>
        </w:rPr>
        <w:br w:type="page"/>
      </w:r>
    </w:p>
    <w:p w14:paraId="09BE538F" w14:textId="1499F8F6" w:rsidR="008F7A90" w:rsidRPr="0018683D" w:rsidRDefault="008F7A90" w:rsidP="00AB20F3">
      <w:pPr>
        <w:pStyle w:val="NoSpacing"/>
        <w:numPr>
          <w:ilvl w:val="0"/>
          <w:numId w:val="13"/>
        </w:numPr>
        <w:spacing w:line="360" w:lineRule="auto"/>
        <w:rPr>
          <w:rFonts w:ascii="Arial" w:eastAsia="Times New Roman" w:hAnsi="Arial" w:cs="Arial"/>
          <w:b/>
          <w:bCs/>
          <w:sz w:val="24"/>
          <w:szCs w:val="24"/>
          <w:lang w:eastAsia="en-NZ"/>
        </w:rPr>
      </w:pPr>
      <w:r>
        <w:rPr>
          <w:rFonts w:ascii="Arial" w:hAnsi="Arial" w:cs="Arial"/>
          <w:b/>
          <w:sz w:val="24"/>
          <w:szCs w:val="24"/>
        </w:rPr>
        <w:lastRenderedPageBreak/>
        <w:t xml:space="preserve">REPORT ON </w:t>
      </w:r>
      <w:r w:rsidRPr="0018683D">
        <w:rPr>
          <w:rFonts w:ascii="Arial" w:hAnsi="Arial" w:cs="Arial"/>
          <w:b/>
          <w:bCs/>
          <w:sz w:val="24"/>
          <w:szCs w:val="24"/>
        </w:rPr>
        <w:t>CONSULTATION</w:t>
      </w:r>
      <w:r w:rsidRPr="0018683D">
        <w:rPr>
          <w:rFonts w:ascii="Arial" w:hAnsi="Arial" w:cs="Arial"/>
          <w:b/>
          <w:sz w:val="24"/>
          <w:szCs w:val="24"/>
        </w:rPr>
        <w:t xml:space="preserve"> WITH MĀORI</w:t>
      </w:r>
      <w:r>
        <w:rPr>
          <w:rFonts w:ascii="Arial" w:hAnsi="Arial" w:cs="Arial"/>
          <w:b/>
          <w:sz w:val="24"/>
          <w:szCs w:val="24"/>
        </w:rPr>
        <w:t xml:space="preserve"> - </w:t>
      </w:r>
      <w:r w:rsidRPr="0018683D">
        <w:rPr>
          <w:rFonts w:ascii="Arial" w:hAnsi="Arial" w:cs="Arial"/>
          <w:b/>
          <w:sz w:val="24"/>
          <w:szCs w:val="24"/>
        </w:rPr>
        <w:t>P</w:t>
      </w:r>
      <w:r>
        <w:rPr>
          <w:rFonts w:ascii="Arial" w:hAnsi="Arial" w:cs="Arial"/>
          <w:b/>
          <w:sz w:val="24"/>
          <w:szCs w:val="24"/>
        </w:rPr>
        <w:t>UAO</w:t>
      </w:r>
      <w:r w:rsidRPr="0018683D">
        <w:rPr>
          <w:rFonts w:ascii="Arial" w:eastAsia="Times New Roman" w:hAnsi="Arial" w:cs="Arial"/>
          <w:b/>
          <w:bCs/>
          <w:sz w:val="24"/>
          <w:szCs w:val="24"/>
          <w:lang w:eastAsia="en-NZ"/>
        </w:rPr>
        <w:t>-T</w:t>
      </w:r>
      <w:r>
        <w:rPr>
          <w:rFonts w:ascii="Arial" w:eastAsia="Times New Roman" w:hAnsi="Arial" w:cs="Arial"/>
          <w:b/>
          <w:bCs/>
          <w:sz w:val="24"/>
          <w:szCs w:val="24"/>
          <w:lang w:eastAsia="en-NZ"/>
        </w:rPr>
        <w:t>E</w:t>
      </w:r>
      <w:r w:rsidRPr="0018683D">
        <w:rPr>
          <w:rFonts w:ascii="Arial" w:eastAsia="Times New Roman" w:hAnsi="Arial" w:cs="Arial"/>
          <w:b/>
          <w:bCs/>
          <w:sz w:val="24"/>
          <w:szCs w:val="24"/>
          <w:lang w:eastAsia="en-NZ"/>
        </w:rPr>
        <w:t>-A</w:t>
      </w:r>
      <w:r>
        <w:rPr>
          <w:rFonts w:ascii="Arial" w:eastAsia="Times New Roman" w:hAnsi="Arial" w:cs="Arial"/>
          <w:b/>
          <w:bCs/>
          <w:sz w:val="24"/>
          <w:szCs w:val="24"/>
          <w:lang w:eastAsia="en-NZ"/>
        </w:rPr>
        <w:t>TA</w:t>
      </w:r>
      <w:r w:rsidRPr="0018683D">
        <w:rPr>
          <w:rFonts w:ascii="Arial" w:eastAsia="Times New Roman" w:hAnsi="Arial" w:cs="Arial"/>
          <w:b/>
          <w:bCs/>
          <w:sz w:val="24"/>
          <w:szCs w:val="24"/>
          <w:lang w:eastAsia="en-NZ"/>
        </w:rPr>
        <w:t>-T</w:t>
      </w:r>
      <w:r>
        <w:rPr>
          <w:rFonts w:ascii="Arial" w:eastAsia="Times New Roman" w:hAnsi="Arial" w:cs="Arial"/>
          <w:b/>
          <w:bCs/>
          <w:sz w:val="24"/>
          <w:szCs w:val="24"/>
          <w:lang w:eastAsia="en-NZ"/>
        </w:rPr>
        <w:t>U</w:t>
      </w:r>
      <w:r w:rsidRPr="0018683D">
        <w:rPr>
          <w:rStyle w:val="FootnoteReference"/>
          <w:rFonts w:ascii="Arial" w:eastAsia="Times New Roman" w:hAnsi="Arial" w:cs="Arial"/>
          <w:b/>
          <w:bCs/>
          <w:sz w:val="24"/>
          <w:szCs w:val="24"/>
          <w:lang w:eastAsia="en-NZ"/>
        </w:rPr>
        <w:footnoteReference w:id="46"/>
      </w:r>
      <w:r w:rsidRPr="0018683D">
        <w:rPr>
          <w:rFonts w:ascii="Arial" w:eastAsia="Times New Roman" w:hAnsi="Arial" w:cs="Arial"/>
          <w:b/>
          <w:bCs/>
          <w:sz w:val="24"/>
          <w:szCs w:val="24"/>
          <w:lang w:eastAsia="en-NZ"/>
        </w:rPr>
        <w:t xml:space="preserve"> </w:t>
      </w:r>
    </w:p>
    <w:p w14:paraId="75A5C5A0" w14:textId="77777777" w:rsidR="005729C6" w:rsidRPr="0018683D" w:rsidRDefault="005729C6" w:rsidP="005729C6">
      <w:pPr>
        <w:pStyle w:val="NoSpacing"/>
        <w:spacing w:line="360" w:lineRule="auto"/>
        <w:ind w:left="1276"/>
        <w:rPr>
          <w:rFonts w:ascii="Arial" w:hAnsi="Arial" w:cs="Arial"/>
          <w:b/>
          <w:sz w:val="24"/>
          <w:szCs w:val="24"/>
        </w:rPr>
      </w:pPr>
    </w:p>
    <w:p w14:paraId="3742595F" w14:textId="786DA8BA" w:rsidR="00154D74" w:rsidRDefault="005729C6" w:rsidP="00AB20F3">
      <w:pPr>
        <w:pStyle w:val="NoSpacing"/>
        <w:numPr>
          <w:ilvl w:val="0"/>
          <w:numId w:val="1"/>
        </w:numPr>
        <w:spacing w:line="360" w:lineRule="auto"/>
        <w:ind w:left="1134" w:hanging="567"/>
        <w:rPr>
          <w:rFonts w:ascii="Arial" w:hAnsi="Arial" w:cs="Arial"/>
          <w:bCs/>
          <w:sz w:val="24"/>
          <w:szCs w:val="24"/>
        </w:rPr>
      </w:pPr>
      <w:r w:rsidRPr="0003073E">
        <w:rPr>
          <w:rFonts w:ascii="Arial" w:hAnsi="Arial" w:cs="Arial"/>
          <w:bCs/>
          <w:sz w:val="24"/>
          <w:szCs w:val="24"/>
        </w:rPr>
        <w:t>This</w:t>
      </w:r>
      <w:r w:rsidR="00940371" w:rsidRPr="0003073E">
        <w:rPr>
          <w:rFonts w:ascii="Arial" w:hAnsi="Arial" w:cs="Arial"/>
          <w:bCs/>
          <w:sz w:val="24"/>
          <w:szCs w:val="24"/>
        </w:rPr>
        <w:t xml:space="preserve"> section </w:t>
      </w:r>
      <w:r w:rsidR="00303C7D">
        <w:rPr>
          <w:rFonts w:ascii="Arial" w:hAnsi="Arial" w:cs="Arial"/>
          <w:bCs/>
          <w:sz w:val="24"/>
          <w:szCs w:val="24"/>
        </w:rPr>
        <w:t xml:space="preserve">describes the </w:t>
      </w:r>
      <w:r w:rsidR="00303C7D" w:rsidRPr="0003073E">
        <w:rPr>
          <w:rFonts w:ascii="Arial" w:hAnsi="Arial" w:cs="Arial"/>
          <w:bCs/>
          <w:sz w:val="24"/>
          <w:szCs w:val="24"/>
        </w:rPr>
        <w:t xml:space="preserve">consultation processes </w:t>
      </w:r>
      <w:r w:rsidR="00303C7D">
        <w:rPr>
          <w:rFonts w:ascii="Arial" w:hAnsi="Arial" w:cs="Arial"/>
          <w:bCs/>
          <w:sz w:val="24"/>
          <w:szCs w:val="24"/>
        </w:rPr>
        <w:t xml:space="preserve">adopted by Puao-Te-Ata-Tu to outline methodologies adopted </w:t>
      </w:r>
      <w:r w:rsidR="00154D74">
        <w:rPr>
          <w:rFonts w:ascii="Arial" w:hAnsi="Arial" w:cs="Arial"/>
          <w:bCs/>
          <w:sz w:val="24"/>
          <w:szCs w:val="24"/>
        </w:rPr>
        <w:t>to meet the Crown’s Treaty obligations, particularly the principle of partnership</w:t>
      </w:r>
      <w:r w:rsidR="00780038" w:rsidRPr="0003073E">
        <w:rPr>
          <w:rFonts w:ascii="Arial" w:hAnsi="Arial" w:cs="Arial"/>
          <w:bCs/>
          <w:sz w:val="24"/>
          <w:szCs w:val="24"/>
        </w:rPr>
        <w:t xml:space="preserve">. </w:t>
      </w:r>
    </w:p>
    <w:p w14:paraId="3D2222F7" w14:textId="77777777" w:rsidR="00154D74" w:rsidRDefault="00154D74" w:rsidP="00154D74">
      <w:pPr>
        <w:pStyle w:val="NoSpacing"/>
        <w:spacing w:line="360" w:lineRule="auto"/>
        <w:ind w:left="1134"/>
        <w:rPr>
          <w:rFonts w:ascii="Arial" w:hAnsi="Arial" w:cs="Arial"/>
          <w:bCs/>
          <w:sz w:val="24"/>
          <w:szCs w:val="24"/>
        </w:rPr>
      </w:pPr>
    </w:p>
    <w:p w14:paraId="21FFFA2F" w14:textId="5FC6DBB2" w:rsidR="00710FE1" w:rsidRPr="0003073E" w:rsidRDefault="00303C7D" w:rsidP="00AB20F3">
      <w:pPr>
        <w:pStyle w:val="NoSpacing"/>
        <w:numPr>
          <w:ilvl w:val="0"/>
          <w:numId w:val="1"/>
        </w:numPr>
        <w:spacing w:line="360" w:lineRule="auto"/>
        <w:ind w:left="1134" w:hanging="567"/>
        <w:rPr>
          <w:rFonts w:ascii="Arial" w:hAnsi="Arial" w:cs="Arial"/>
          <w:bCs/>
          <w:sz w:val="24"/>
          <w:szCs w:val="24"/>
        </w:rPr>
      </w:pPr>
      <w:r>
        <w:rPr>
          <w:rFonts w:ascii="Arial" w:hAnsi="Arial" w:cs="Arial"/>
          <w:bCs/>
          <w:sz w:val="24"/>
          <w:szCs w:val="24"/>
        </w:rPr>
        <w:t xml:space="preserve">There </w:t>
      </w:r>
      <w:r w:rsidR="004E4650">
        <w:rPr>
          <w:rFonts w:ascii="Arial" w:hAnsi="Arial" w:cs="Arial"/>
          <w:bCs/>
          <w:sz w:val="24"/>
          <w:szCs w:val="24"/>
        </w:rPr>
        <w:t xml:space="preserve">are many other processes and reports that </w:t>
      </w:r>
      <w:r w:rsidR="00A143C5" w:rsidRPr="0003073E">
        <w:rPr>
          <w:rFonts w:ascii="Arial" w:hAnsi="Arial" w:cs="Arial"/>
          <w:bCs/>
          <w:sz w:val="24"/>
          <w:szCs w:val="24"/>
        </w:rPr>
        <w:t xml:space="preserve">could </w:t>
      </w:r>
      <w:r w:rsidR="001309BA" w:rsidRPr="0003073E">
        <w:rPr>
          <w:rFonts w:ascii="Arial" w:hAnsi="Arial" w:cs="Arial"/>
          <w:bCs/>
          <w:sz w:val="24"/>
          <w:szCs w:val="24"/>
        </w:rPr>
        <w:t>be considered alongside this</w:t>
      </w:r>
      <w:r>
        <w:rPr>
          <w:rFonts w:ascii="Arial" w:hAnsi="Arial" w:cs="Arial"/>
          <w:bCs/>
          <w:sz w:val="24"/>
          <w:szCs w:val="24"/>
        </w:rPr>
        <w:t xml:space="preserve"> report, but Puao-Te-Ata-Tu was selected </w:t>
      </w:r>
      <w:r w:rsidR="003607A9" w:rsidRPr="0003073E">
        <w:rPr>
          <w:rFonts w:ascii="Arial" w:hAnsi="Arial" w:cs="Arial"/>
          <w:bCs/>
          <w:sz w:val="24"/>
          <w:szCs w:val="24"/>
        </w:rPr>
        <w:t xml:space="preserve">due to </w:t>
      </w:r>
      <w:r w:rsidR="004E4650">
        <w:rPr>
          <w:rFonts w:ascii="Arial" w:hAnsi="Arial" w:cs="Arial"/>
          <w:bCs/>
          <w:sz w:val="24"/>
          <w:szCs w:val="24"/>
        </w:rPr>
        <w:t xml:space="preserve">its </w:t>
      </w:r>
      <w:r w:rsidR="00C67F3D" w:rsidRPr="0003073E">
        <w:rPr>
          <w:rFonts w:ascii="Arial" w:hAnsi="Arial" w:cs="Arial"/>
          <w:bCs/>
          <w:sz w:val="24"/>
          <w:szCs w:val="24"/>
        </w:rPr>
        <w:t xml:space="preserve">applicability </w:t>
      </w:r>
      <w:r w:rsidR="00BB6D44" w:rsidRPr="0003073E">
        <w:rPr>
          <w:rFonts w:ascii="Arial" w:hAnsi="Arial" w:cs="Arial"/>
          <w:bCs/>
          <w:sz w:val="24"/>
          <w:szCs w:val="24"/>
        </w:rPr>
        <w:t xml:space="preserve">to the work of this Royal Commission. </w:t>
      </w:r>
    </w:p>
    <w:p w14:paraId="014EA30E" w14:textId="77777777" w:rsidR="004861FD" w:rsidRPr="0018683D" w:rsidRDefault="004861FD" w:rsidP="0095527E">
      <w:pPr>
        <w:pStyle w:val="Heading3"/>
        <w:spacing w:line="360" w:lineRule="auto"/>
        <w:ind w:left="567"/>
        <w:rPr>
          <w:rFonts w:ascii="Arial" w:hAnsi="Arial" w:cs="Arial"/>
          <w:b/>
          <w:color w:val="auto"/>
          <w:lang w:val="en-NZ"/>
        </w:rPr>
      </w:pPr>
    </w:p>
    <w:p w14:paraId="4C3D2260" w14:textId="714147A8" w:rsidR="00236277" w:rsidRPr="0018683D" w:rsidRDefault="00236277" w:rsidP="006970C4">
      <w:pPr>
        <w:pStyle w:val="ListParagraph"/>
        <w:spacing w:after="0" w:line="360" w:lineRule="auto"/>
        <w:ind w:left="1134"/>
        <w:rPr>
          <w:rFonts w:ascii="Arial" w:eastAsia="Times New Roman" w:hAnsi="Arial" w:cs="Arial"/>
          <w:b/>
          <w:bCs/>
          <w:i/>
          <w:iCs/>
          <w:sz w:val="24"/>
          <w:szCs w:val="24"/>
          <w:lang w:eastAsia="en-NZ"/>
        </w:rPr>
      </w:pPr>
      <w:r w:rsidRPr="0018683D">
        <w:rPr>
          <w:rFonts w:ascii="Arial" w:eastAsia="Times New Roman" w:hAnsi="Arial" w:cs="Arial"/>
          <w:b/>
          <w:bCs/>
          <w:i/>
          <w:iCs/>
          <w:sz w:val="24"/>
          <w:szCs w:val="24"/>
          <w:lang w:eastAsia="en-NZ"/>
        </w:rPr>
        <w:t>Background</w:t>
      </w:r>
    </w:p>
    <w:p w14:paraId="7066E2A7" w14:textId="77777777" w:rsidR="00236277" w:rsidRPr="0018683D" w:rsidRDefault="00236277" w:rsidP="0095527E">
      <w:pPr>
        <w:pStyle w:val="ListParagraph"/>
        <w:spacing w:after="0" w:line="360" w:lineRule="auto"/>
        <w:ind w:left="1701"/>
        <w:rPr>
          <w:rFonts w:ascii="Arial" w:eastAsia="Times New Roman" w:hAnsi="Arial" w:cs="Arial"/>
          <w:i/>
          <w:iCs/>
          <w:sz w:val="24"/>
          <w:szCs w:val="24"/>
          <w:lang w:eastAsia="en-NZ"/>
        </w:rPr>
      </w:pPr>
    </w:p>
    <w:p w14:paraId="373DBF82" w14:textId="6CEA809D" w:rsidR="004E6E49" w:rsidRPr="00C6292D" w:rsidRDefault="004E6E49"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C6292D">
        <w:rPr>
          <w:rFonts w:ascii="Arial" w:eastAsia="Times New Roman" w:hAnsi="Arial" w:cs="Arial"/>
          <w:sz w:val="24"/>
          <w:szCs w:val="24"/>
          <w:lang w:eastAsia="en-NZ"/>
        </w:rPr>
        <w:t xml:space="preserve">The </w:t>
      </w:r>
      <w:r w:rsidR="004E4650">
        <w:rPr>
          <w:rFonts w:ascii="Arial" w:eastAsia="Times New Roman" w:hAnsi="Arial" w:cs="Arial"/>
          <w:sz w:val="24"/>
          <w:szCs w:val="24"/>
          <w:lang w:eastAsia="en-NZ"/>
        </w:rPr>
        <w:t xml:space="preserve">Puao-Te-Ata-Tu </w:t>
      </w:r>
      <w:r w:rsidRPr="00C6292D">
        <w:rPr>
          <w:rFonts w:ascii="Arial" w:eastAsia="Times New Roman" w:hAnsi="Arial" w:cs="Arial"/>
          <w:sz w:val="24"/>
          <w:szCs w:val="24"/>
          <w:lang w:eastAsia="en-NZ"/>
        </w:rPr>
        <w:t xml:space="preserve">report was commissioned </w:t>
      </w:r>
      <w:r w:rsidR="00224239" w:rsidRPr="00C6292D">
        <w:rPr>
          <w:rFonts w:ascii="Arial" w:eastAsia="Times New Roman" w:hAnsi="Arial" w:cs="Arial"/>
          <w:sz w:val="24"/>
          <w:szCs w:val="24"/>
          <w:lang w:eastAsia="en-NZ"/>
        </w:rPr>
        <w:t xml:space="preserve">by the Department of Social Welfare, </w:t>
      </w:r>
      <w:r w:rsidR="00524277">
        <w:rPr>
          <w:rFonts w:ascii="Arial" w:eastAsia="Times New Roman" w:hAnsi="Arial" w:cs="Arial"/>
          <w:sz w:val="24"/>
          <w:szCs w:val="24"/>
          <w:lang w:eastAsia="en-NZ"/>
        </w:rPr>
        <w:t xml:space="preserve">of the Ministerial Advisory Committee chaired by John </w:t>
      </w:r>
      <w:proofErr w:type="spellStart"/>
      <w:r w:rsidR="00524277">
        <w:rPr>
          <w:rFonts w:ascii="Arial" w:eastAsia="Times New Roman" w:hAnsi="Arial" w:cs="Arial"/>
          <w:sz w:val="24"/>
          <w:szCs w:val="24"/>
          <w:lang w:eastAsia="en-NZ"/>
        </w:rPr>
        <w:t>Rangihau</w:t>
      </w:r>
      <w:proofErr w:type="spellEnd"/>
      <w:r w:rsidR="00524277">
        <w:rPr>
          <w:rFonts w:ascii="Arial" w:eastAsia="Times New Roman" w:hAnsi="Arial" w:cs="Arial"/>
          <w:sz w:val="24"/>
          <w:szCs w:val="24"/>
          <w:lang w:eastAsia="en-NZ"/>
        </w:rPr>
        <w:t>. The Committee was ta</w:t>
      </w:r>
      <w:r w:rsidR="0003281A">
        <w:rPr>
          <w:rFonts w:ascii="Arial" w:eastAsia="Times New Roman" w:hAnsi="Arial" w:cs="Arial"/>
          <w:sz w:val="24"/>
          <w:szCs w:val="24"/>
          <w:lang w:eastAsia="en-NZ"/>
        </w:rPr>
        <w:t>s</w:t>
      </w:r>
      <w:r w:rsidR="00524277">
        <w:rPr>
          <w:rFonts w:ascii="Arial" w:eastAsia="Times New Roman" w:hAnsi="Arial" w:cs="Arial"/>
          <w:sz w:val="24"/>
          <w:szCs w:val="24"/>
          <w:lang w:eastAsia="en-NZ"/>
        </w:rPr>
        <w:t>ked with</w:t>
      </w:r>
      <w:r w:rsidRPr="00C6292D">
        <w:rPr>
          <w:rFonts w:ascii="Arial" w:eastAsia="Times New Roman" w:hAnsi="Arial" w:cs="Arial"/>
          <w:sz w:val="24"/>
          <w:szCs w:val="24"/>
          <w:lang w:eastAsia="en-NZ"/>
        </w:rPr>
        <w:t xml:space="preserve"> </w:t>
      </w:r>
      <w:r w:rsidR="00224239" w:rsidRPr="00C6292D">
        <w:rPr>
          <w:rFonts w:ascii="Arial" w:eastAsia="Times New Roman" w:hAnsi="Arial" w:cs="Arial"/>
          <w:sz w:val="24"/>
          <w:szCs w:val="24"/>
          <w:lang w:eastAsia="en-NZ"/>
        </w:rPr>
        <w:t>provid</w:t>
      </w:r>
      <w:r w:rsidR="00524277">
        <w:rPr>
          <w:rFonts w:ascii="Arial" w:eastAsia="Times New Roman" w:hAnsi="Arial" w:cs="Arial"/>
          <w:sz w:val="24"/>
          <w:szCs w:val="24"/>
          <w:lang w:eastAsia="en-NZ"/>
        </w:rPr>
        <w:t>ing</w:t>
      </w:r>
      <w:r w:rsidR="00224239" w:rsidRPr="00C6292D">
        <w:rPr>
          <w:rFonts w:ascii="Arial" w:eastAsia="Times New Roman" w:hAnsi="Arial" w:cs="Arial"/>
          <w:sz w:val="24"/>
          <w:szCs w:val="24"/>
          <w:lang w:eastAsia="en-NZ"/>
        </w:rPr>
        <w:t xml:space="preserve"> </w:t>
      </w:r>
      <w:r w:rsidRPr="00C6292D">
        <w:rPr>
          <w:rFonts w:ascii="Arial" w:eastAsia="Times New Roman" w:hAnsi="Arial" w:cs="Arial"/>
          <w:sz w:val="24"/>
          <w:szCs w:val="24"/>
          <w:lang w:eastAsia="en-NZ"/>
        </w:rPr>
        <w:t xml:space="preserve">a Māori perspective </w:t>
      </w:r>
      <w:r w:rsidR="00224239" w:rsidRPr="00C6292D">
        <w:rPr>
          <w:rFonts w:ascii="Arial" w:eastAsia="Times New Roman" w:hAnsi="Arial" w:cs="Arial"/>
          <w:sz w:val="24"/>
          <w:szCs w:val="24"/>
          <w:lang w:eastAsia="en-NZ"/>
        </w:rPr>
        <w:t xml:space="preserve">and </w:t>
      </w:r>
      <w:r w:rsidRPr="00C6292D">
        <w:rPr>
          <w:rFonts w:ascii="Arial" w:eastAsia="Times New Roman" w:hAnsi="Arial" w:cs="Arial"/>
          <w:sz w:val="24"/>
          <w:szCs w:val="24"/>
          <w:lang w:eastAsia="en-NZ"/>
        </w:rPr>
        <w:t>with a mandate to make recommendations to improve the practice and policy of the Department in relation to Māori</w:t>
      </w:r>
      <w:r w:rsidR="00033492" w:rsidRPr="00C6292D">
        <w:rPr>
          <w:rFonts w:ascii="Arial" w:eastAsia="Times New Roman" w:hAnsi="Arial" w:cs="Arial"/>
          <w:sz w:val="24"/>
          <w:szCs w:val="24"/>
          <w:lang w:eastAsia="en-NZ"/>
        </w:rPr>
        <w:t xml:space="preserve">. </w:t>
      </w:r>
    </w:p>
    <w:p w14:paraId="5AAACDA9" w14:textId="77777777" w:rsidR="006849FF" w:rsidRPr="0018683D" w:rsidRDefault="006849FF" w:rsidP="0095527E">
      <w:pPr>
        <w:pStyle w:val="ListParagraph"/>
        <w:spacing w:after="0" w:line="360" w:lineRule="auto"/>
        <w:ind w:left="1701"/>
        <w:rPr>
          <w:rFonts w:ascii="Arial" w:eastAsia="Times New Roman" w:hAnsi="Arial" w:cs="Arial"/>
          <w:sz w:val="24"/>
          <w:szCs w:val="24"/>
          <w:lang w:eastAsia="en-NZ"/>
        </w:rPr>
      </w:pPr>
    </w:p>
    <w:p w14:paraId="78758097" w14:textId="26D5D8C9" w:rsidR="00033492" w:rsidRPr="0018683D" w:rsidRDefault="00033492"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Terms of Reference were based on the ultimate goal of </w:t>
      </w:r>
      <w:r w:rsidRPr="000D733C">
        <w:rPr>
          <w:rFonts w:ascii="Arial" w:eastAsia="Times New Roman" w:hAnsi="Arial" w:cs="Arial"/>
          <w:i/>
          <w:iCs/>
          <w:sz w:val="24"/>
          <w:szCs w:val="24"/>
          <w:lang w:eastAsia="en-NZ"/>
        </w:rPr>
        <w:t>“… an approach which would meet the needs of Māori in policy, planning and service delivery in the Department of Social Welfare</w:t>
      </w:r>
      <w:r w:rsidRPr="0018683D">
        <w:rPr>
          <w:rFonts w:ascii="Arial" w:eastAsia="Times New Roman" w:hAnsi="Arial" w:cs="Arial"/>
          <w:sz w:val="24"/>
          <w:szCs w:val="24"/>
          <w:lang w:eastAsia="en-NZ"/>
        </w:rPr>
        <w:t>”.</w:t>
      </w:r>
      <w:r w:rsidR="002528C1" w:rsidRPr="0018683D">
        <w:rPr>
          <w:rStyle w:val="FootnoteReference"/>
          <w:rFonts w:ascii="Arial" w:eastAsia="Times New Roman" w:hAnsi="Arial" w:cs="Arial"/>
          <w:sz w:val="24"/>
          <w:szCs w:val="24"/>
          <w:lang w:eastAsia="en-NZ"/>
        </w:rPr>
        <w:footnoteReference w:id="47"/>
      </w:r>
      <w:r w:rsidRPr="0018683D">
        <w:rPr>
          <w:rFonts w:ascii="Arial" w:eastAsia="Times New Roman" w:hAnsi="Arial" w:cs="Arial"/>
          <w:sz w:val="24"/>
          <w:szCs w:val="24"/>
          <w:lang w:eastAsia="en-NZ"/>
        </w:rPr>
        <w:t xml:space="preserve"> </w:t>
      </w:r>
    </w:p>
    <w:p w14:paraId="5EF0BF26" w14:textId="363EBB4B" w:rsidR="006849FF" w:rsidRPr="0018683D" w:rsidRDefault="006849FF" w:rsidP="0095527E">
      <w:pPr>
        <w:pStyle w:val="ListParagraph"/>
        <w:spacing w:after="0" w:line="360" w:lineRule="auto"/>
        <w:ind w:left="1701"/>
        <w:rPr>
          <w:rFonts w:ascii="Arial" w:eastAsia="Times New Roman" w:hAnsi="Arial" w:cs="Arial"/>
          <w:b/>
          <w:bCs/>
          <w:sz w:val="24"/>
          <w:szCs w:val="24"/>
          <w:lang w:eastAsia="en-NZ"/>
        </w:rPr>
      </w:pPr>
    </w:p>
    <w:p w14:paraId="1FA3EA24" w14:textId="41EFFC92" w:rsidR="00111611" w:rsidRPr="0018683D" w:rsidRDefault="00111611" w:rsidP="006970C4">
      <w:pPr>
        <w:pStyle w:val="ListParagraph"/>
        <w:spacing w:after="0" w:line="360" w:lineRule="auto"/>
        <w:ind w:left="1134"/>
        <w:rPr>
          <w:rFonts w:ascii="Arial" w:eastAsia="Times New Roman" w:hAnsi="Arial" w:cs="Arial"/>
          <w:b/>
          <w:bCs/>
          <w:i/>
          <w:iCs/>
          <w:sz w:val="24"/>
          <w:szCs w:val="24"/>
          <w:lang w:eastAsia="en-NZ"/>
        </w:rPr>
      </w:pPr>
      <w:r w:rsidRPr="0018683D">
        <w:rPr>
          <w:rFonts w:ascii="Arial" w:eastAsia="Times New Roman" w:hAnsi="Arial" w:cs="Arial"/>
          <w:b/>
          <w:bCs/>
          <w:i/>
          <w:iCs/>
          <w:sz w:val="24"/>
          <w:szCs w:val="24"/>
          <w:lang w:eastAsia="en-NZ"/>
        </w:rPr>
        <w:t>Approach</w:t>
      </w:r>
    </w:p>
    <w:p w14:paraId="11ED48EF" w14:textId="77777777" w:rsidR="00111611" w:rsidRPr="00D85101" w:rsidRDefault="00111611" w:rsidP="0095527E">
      <w:pPr>
        <w:pStyle w:val="ListParagraph"/>
        <w:spacing w:after="0" w:line="360" w:lineRule="auto"/>
        <w:ind w:left="1701"/>
        <w:rPr>
          <w:rFonts w:ascii="Arial" w:eastAsia="Times New Roman" w:hAnsi="Arial" w:cs="Arial"/>
          <w:sz w:val="24"/>
          <w:szCs w:val="24"/>
          <w:lang w:eastAsia="en-NZ"/>
        </w:rPr>
      </w:pPr>
    </w:p>
    <w:p w14:paraId="02E30010" w14:textId="6046DC6A" w:rsidR="004E6E49" w:rsidRPr="00D85101" w:rsidRDefault="00033492"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D85101">
        <w:rPr>
          <w:rFonts w:ascii="Arial" w:eastAsia="Times New Roman" w:hAnsi="Arial" w:cs="Arial"/>
          <w:sz w:val="24"/>
          <w:szCs w:val="24"/>
          <w:lang w:eastAsia="en-NZ"/>
        </w:rPr>
        <w:t>The Committee’s approach</w:t>
      </w:r>
      <w:r w:rsidR="004E6E49" w:rsidRPr="00D85101">
        <w:rPr>
          <w:rFonts w:ascii="Arial" w:eastAsia="Times New Roman" w:hAnsi="Arial" w:cs="Arial"/>
          <w:sz w:val="24"/>
          <w:szCs w:val="24"/>
          <w:lang w:eastAsia="en-NZ"/>
        </w:rPr>
        <w:t xml:space="preserve"> involved travelling </w:t>
      </w:r>
      <w:r w:rsidR="00224239" w:rsidRPr="00D85101">
        <w:rPr>
          <w:rFonts w:ascii="Arial" w:eastAsia="Times New Roman" w:hAnsi="Arial" w:cs="Arial"/>
          <w:sz w:val="24"/>
          <w:szCs w:val="24"/>
          <w:lang w:eastAsia="en-NZ"/>
        </w:rPr>
        <w:t xml:space="preserve">throughout New Zealand </w:t>
      </w:r>
      <w:r w:rsidR="004E6E49" w:rsidRPr="00D85101">
        <w:rPr>
          <w:rFonts w:ascii="Arial" w:eastAsia="Times New Roman" w:hAnsi="Arial" w:cs="Arial"/>
          <w:sz w:val="24"/>
          <w:szCs w:val="24"/>
          <w:lang w:eastAsia="en-NZ"/>
        </w:rPr>
        <w:t>to speak with Department of Social Welfare clients in a marae setting</w:t>
      </w:r>
      <w:r w:rsidR="002528C1" w:rsidRPr="00D85101">
        <w:rPr>
          <w:rFonts w:ascii="Arial" w:eastAsia="Times New Roman" w:hAnsi="Arial" w:cs="Arial"/>
          <w:sz w:val="24"/>
          <w:szCs w:val="24"/>
          <w:lang w:eastAsia="en-NZ"/>
        </w:rPr>
        <w:t xml:space="preserve">, believing </w:t>
      </w:r>
      <w:r w:rsidR="00CE5BF4" w:rsidRPr="00D85101">
        <w:rPr>
          <w:rFonts w:ascii="Arial" w:eastAsia="Times New Roman" w:hAnsi="Arial" w:cs="Arial"/>
          <w:sz w:val="24"/>
          <w:szCs w:val="24"/>
          <w:lang w:eastAsia="en-NZ"/>
        </w:rPr>
        <w:t>an oral approach as the traditional method for Māori would be one to which they would respond</w:t>
      </w:r>
      <w:r w:rsidR="004E6E49" w:rsidRPr="00D85101">
        <w:rPr>
          <w:rFonts w:ascii="Arial" w:eastAsia="Times New Roman" w:hAnsi="Arial" w:cs="Arial"/>
          <w:sz w:val="24"/>
          <w:szCs w:val="24"/>
          <w:lang w:eastAsia="en-NZ"/>
        </w:rPr>
        <w:t>.</w:t>
      </w:r>
      <w:r w:rsidR="00CE5BF4" w:rsidRPr="00D85101">
        <w:rPr>
          <w:rFonts w:ascii="Arial" w:eastAsia="Times New Roman" w:hAnsi="Arial" w:cs="Arial"/>
          <w:sz w:val="24"/>
          <w:szCs w:val="24"/>
          <w:lang w:eastAsia="en-NZ"/>
        </w:rPr>
        <w:t xml:space="preserve"> Records were made in oral form with unedited transcripts and tapes of the proceedings and written submissions were also invited and received.</w:t>
      </w:r>
      <w:r w:rsidR="004E6E49" w:rsidRPr="00D85101">
        <w:rPr>
          <w:rStyle w:val="FootnoteReference"/>
          <w:rFonts w:ascii="Arial" w:eastAsia="Times New Roman" w:hAnsi="Arial" w:cs="Arial"/>
          <w:sz w:val="24"/>
          <w:szCs w:val="24"/>
          <w:lang w:eastAsia="en-NZ"/>
        </w:rPr>
        <w:footnoteReference w:id="48"/>
      </w:r>
      <w:r w:rsidR="002528C1" w:rsidRPr="00D85101">
        <w:rPr>
          <w:rFonts w:ascii="Arial" w:eastAsia="Times New Roman" w:hAnsi="Arial" w:cs="Arial"/>
          <w:sz w:val="24"/>
          <w:szCs w:val="24"/>
          <w:lang w:eastAsia="en-NZ"/>
        </w:rPr>
        <w:t xml:space="preserve"> </w:t>
      </w:r>
    </w:p>
    <w:p w14:paraId="7CC34822" w14:textId="7B0A6D06" w:rsidR="006849FF" w:rsidRPr="00D85101" w:rsidRDefault="002528C1" w:rsidP="0095527E">
      <w:pPr>
        <w:pStyle w:val="ListParagraph"/>
        <w:tabs>
          <w:tab w:val="left" w:pos="6585"/>
        </w:tabs>
        <w:spacing w:after="0" w:line="360" w:lineRule="auto"/>
        <w:ind w:left="1701"/>
        <w:rPr>
          <w:rFonts w:ascii="Arial" w:eastAsia="Times New Roman" w:hAnsi="Arial" w:cs="Arial"/>
          <w:sz w:val="24"/>
          <w:szCs w:val="24"/>
          <w:lang w:eastAsia="en-NZ"/>
        </w:rPr>
      </w:pPr>
      <w:r w:rsidRPr="00D85101">
        <w:rPr>
          <w:rFonts w:ascii="Arial" w:eastAsia="Times New Roman" w:hAnsi="Arial" w:cs="Arial"/>
          <w:sz w:val="24"/>
          <w:szCs w:val="24"/>
          <w:lang w:eastAsia="en-NZ"/>
        </w:rPr>
        <w:tab/>
      </w:r>
    </w:p>
    <w:p w14:paraId="25D3052F" w14:textId="7E480549" w:rsidR="004E6E49" w:rsidRPr="00D85101" w:rsidRDefault="004E6E49"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D85101">
        <w:rPr>
          <w:rFonts w:ascii="Arial" w:eastAsia="Times New Roman" w:hAnsi="Arial" w:cs="Arial"/>
          <w:sz w:val="24"/>
          <w:szCs w:val="24"/>
          <w:lang w:eastAsia="en-NZ"/>
        </w:rPr>
        <w:lastRenderedPageBreak/>
        <w:t>6</w:t>
      </w:r>
      <w:r w:rsidR="007D03F9" w:rsidRPr="00D85101">
        <w:rPr>
          <w:rFonts w:ascii="Arial" w:eastAsia="Times New Roman" w:hAnsi="Arial" w:cs="Arial"/>
          <w:sz w:val="24"/>
          <w:szCs w:val="24"/>
          <w:lang w:eastAsia="en-NZ"/>
        </w:rPr>
        <w:t>9</w:t>
      </w:r>
      <w:r w:rsidRPr="00D85101">
        <w:rPr>
          <w:rFonts w:ascii="Arial" w:eastAsia="Times New Roman" w:hAnsi="Arial" w:cs="Arial"/>
          <w:sz w:val="24"/>
          <w:szCs w:val="24"/>
          <w:lang w:eastAsia="en-NZ"/>
        </w:rPr>
        <w:t xml:space="preserve"> meetings were held across marae, institutions and Department offices.</w:t>
      </w:r>
      <w:r w:rsidRPr="00D85101">
        <w:rPr>
          <w:rStyle w:val="FootnoteReference"/>
          <w:rFonts w:ascii="Arial" w:eastAsia="Times New Roman" w:hAnsi="Arial" w:cs="Arial"/>
          <w:sz w:val="24"/>
          <w:szCs w:val="24"/>
          <w:lang w:eastAsia="en-NZ"/>
        </w:rPr>
        <w:footnoteReference w:id="49"/>
      </w:r>
      <w:r w:rsidRPr="00D85101">
        <w:rPr>
          <w:rFonts w:ascii="Arial" w:eastAsia="Times New Roman" w:hAnsi="Arial" w:cs="Arial"/>
          <w:sz w:val="24"/>
          <w:szCs w:val="24"/>
          <w:lang w:eastAsia="en-NZ"/>
        </w:rPr>
        <w:t xml:space="preserve"> </w:t>
      </w:r>
      <w:r w:rsidR="007D03F9" w:rsidRPr="00D85101">
        <w:rPr>
          <w:rFonts w:ascii="Arial" w:eastAsia="Times New Roman" w:hAnsi="Arial" w:cs="Arial"/>
          <w:sz w:val="24"/>
          <w:szCs w:val="24"/>
          <w:lang w:eastAsia="en-NZ"/>
        </w:rPr>
        <w:t>39 of these were at marae or community venues, the other 30 at offices or alternative venues. Approximately 2954 people attended the hui, 1424 verbal submissions were recorded and 267 written submissions were received as evidence.</w:t>
      </w:r>
      <w:r w:rsidR="007D03F9" w:rsidRPr="00D85101">
        <w:rPr>
          <w:rStyle w:val="FootnoteReference"/>
          <w:rFonts w:ascii="Arial" w:eastAsia="Times New Roman" w:hAnsi="Arial" w:cs="Arial"/>
          <w:sz w:val="24"/>
          <w:szCs w:val="24"/>
          <w:lang w:eastAsia="en-NZ"/>
        </w:rPr>
        <w:footnoteReference w:id="50"/>
      </w:r>
    </w:p>
    <w:p w14:paraId="78C084EA" w14:textId="77777777" w:rsidR="006849FF" w:rsidRPr="00D85101" w:rsidRDefault="006849FF" w:rsidP="0095527E">
      <w:pPr>
        <w:pStyle w:val="ListParagraph"/>
        <w:spacing w:after="0" w:line="360" w:lineRule="auto"/>
        <w:ind w:left="1701"/>
        <w:rPr>
          <w:rFonts w:ascii="Arial" w:eastAsia="Times New Roman" w:hAnsi="Arial" w:cs="Arial"/>
          <w:sz w:val="24"/>
          <w:szCs w:val="24"/>
          <w:lang w:eastAsia="en-NZ"/>
        </w:rPr>
      </w:pPr>
    </w:p>
    <w:p w14:paraId="4A792698" w14:textId="77777777" w:rsidR="00CE5BF4" w:rsidRPr="00D85101" w:rsidRDefault="004E6E49"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D85101">
        <w:rPr>
          <w:rFonts w:ascii="Arial" w:eastAsia="Times New Roman" w:hAnsi="Arial" w:cs="Arial"/>
          <w:sz w:val="24"/>
          <w:szCs w:val="24"/>
          <w:lang w:eastAsia="en-NZ"/>
        </w:rPr>
        <w:t xml:space="preserve">“Countless” discussions and consultations were held with staff, community workers, young people and the </w:t>
      </w:r>
      <w:r w:rsidR="00033492" w:rsidRPr="00D85101">
        <w:rPr>
          <w:rFonts w:ascii="Arial" w:eastAsia="Times New Roman" w:hAnsi="Arial" w:cs="Arial"/>
          <w:sz w:val="24"/>
          <w:szCs w:val="24"/>
          <w:lang w:eastAsia="en-NZ"/>
        </w:rPr>
        <w:t>judiciary.</w:t>
      </w:r>
      <w:r w:rsidR="002528C1" w:rsidRPr="00D85101">
        <w:rPr>
          <w:rStyle w:val="FootnoteReference"/>
          <w:rFonts w:ascii="Arial" w:eastAsia="Times New Roman" w:hAnsi="Arial" w:cs="Arial"/>
          <w:sz w:val="24"/>
          <w:szCs w:val="24"/>
          <w:lang w:eastAsia="en-NZ"/>
        </w:rPr>
        <w:footnoteReference w:id="51"/>
      </w:r>
    </w:p>
    <w:p w14:paraId="24CA7BA6" w14:textId="77777777" w:rsidR="00CE5BF4" w:rsidRPr="00D85101" w:rsidRDefault="00CE5BF4" w:rsidP="0095527E">
      <w:pPr>
        <w:pStyle w:val="ListParagraph"/>
        <w:spacing w:line="360" w:lineRule="auto"/>
        <w:rPr>
          <w:rFonts w:ascii="Arial" w:eastAsia="Times New Roman" w:hAnsi="Arial" w:cs="Arial"/>
          <w:sz w:val="24"/>
          <w:szCs w:val="24"/>
          <w:lang w:eastAsia="en-NZ"/>
        </w:rPr>
      </w:pPr>
    </w:p>
    <w:p w14:paraId="29CADAD7" w14:textId="77777777" w:rsidR="004F28E1" w:rsidRPr="00D85101" w:rsidRDefault="00CE5BF4"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D85101">
        <w:rPr>
          <w:rFonts w:ascii="Arial" w:eastAsia="Times New Roman" w:hAnsi="Arial" w:cs="Arial"/>
          <w:sz w:val="24"/>
          <w:szCs w:val="24"/>
          <w:lang w:eastAsia="en-NZ"/>
        </w:rPr>
        <w:t xml:space="preserve">The Committee spoke to senior staff from the Department’s head office and district management, senior staff of the State Services Commission (SSC) and the Department of Māori Affairs. </w:t>
      </w:r>
    </w:p>
    <w:p w14:paraId="663A20E0" w14:textId="77777777" w:rsidR="004F28E1" w:rsidRPr="00D85101" w:rsidRDefault="004F28E1" w:rsidP="004F28E1">
      <w:pPr>
        <w:pStyle w:val="ListParagraph"/>
        <w:rPr>
          <w:rFonts w:ascii="Arial" w:eastAsia="Times New Roman" w:hAnsi="Arial" w:cs="Arial"/>
          <w:sz w:val="24"/>
          <w:szCs w:val="24"/>
          <w:lang w:eastAsia="en-NZ"/>
        </w:rPr>
      </w:pPr>
    </w:p>
    <w:p w14:paraId="72740614" w14:textId="246AB6D5" w:rsidR="00CE5BF4" w:rsidRPr="00D85101" w:rsidRDefault="00CE5BF4"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D85101">
        <w:rPr>
          <w:rFonts w:ascii="Arial" w:eastAsia="Times New Roman" w:hAnsi="Arial" w:cs="Arial"/>
          <w:sz w:val="24"/>
          <w:szCs w:val="24"/>
          <w:lang w:eastAsia="en-NZ"/>
        </w:rPr>
        <w:t xml:space="preserve">Broad findings were communicated to the heads of </w:t>
      </w:r>
      <w:r w:rsidR="00CC1678">
        <w:rPr>
          <w:rFonts w:ascii="Arial" w:eastAsia="Times New Roman" w:hAnsi="Arial" w:cs="Arial"/>
          <w:sz w:val="24"/>
          <w:szCs w:val="24"/>
          <w:lang w:eastAsia="en-NZ"/>
        </w:rPr>
        <w:t xml:space="preserve">the </w:t>
      </w:r>
      <w:r w:rsidRPr="00D85101">
        <w:rPr>
          <w:rFonts w:ascii="Arial" w:eastAsia="Times New Roman" w:hAnsi="Arial" w:cs="Arial"/>
          <w:sz w:val="24"/>
          <w:szCs w:val="24"/>
          <w:lang w:eastAsia="en-NZ"/>
        </w:rPr>
        <w:t>Departments of Health, Labour, Housing, Education, Justice, Police and the SSC.</w:t>
      </w:r>
      <w:r w:rsidRPr="00D85101">
        <w:rPr>
          <w:rStyle w:val="FootnoteReference"/>
          <w:rFonts w:ascii="Arial" w:eastAsia="Times New Roman" w:hAnsi="Arial" w:cs="Arial"/>
          <w:sz w:val="24"/>
          <w:szCs w:val="24"/>
          <w:lang w:eastAsia="en-NZ"/>
        </w:rPr>
        <w:footnoteReference w:id="52"/>
      </w:r>
    </w:p>
    <w:p w14:paraId="681A17BD" w14:textId="77777777" w:rsidR="00CE5BF4" w:rsidRPr="00D85101" w:rsidRDefault="00CE5BF4" w:rsidP="0095527E">
      <w:pPr>
        <w:pStyle w:val="ListParagraph"/>
        <w:spacing w:line="360" w:lineRule="auto"/>
        <w:rPr>
          <w:rFonts w:ascii="Arial" w:eastAsia="Times New Roman" w:hAnsi="Arial" w:cs="Arial"/>
          <w:sz w:val="24"/>
          <w:szCs w:val="24"/>
          <w:lang w:eastAsia="en-NZ"/>
        </w:rPr>
      </w:pPr>
    </w:p>
    <w:p w14:paraId="1E952388" w14:textId="7F97144A" w:rsidR="002528C1" w:rsidRPr="00D85101" w:rsidRDefault="00CE5BF4"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D85101">
        <w:rPr>
          <w:rFonts w:ascii="Arial" w:eastAsia="Times New Roman" w:hAnsi="Arial" w:cs="Arial"/>
          <w:sz w:val="24"/>
          <w:szCs w:val="24"/>
          <w:lang w:eastAsia="en-NZ"/>
        </w:rPr>
        <w:t xml:space="preserve">A historical paper is attached as an appendix to the report to provide context and in recognition </w:t>
      </w:r>
      <w:r w:rsidR="00A01AA6" w:rsidRPr="00D85101">
        <w:rPr>
          <w:rFonts w:ascii="Arial" w:eastAsia="Times New Roman" w:hAnsi="Arial" w:cs="Arial"/>
          <w:sz w:val="24"/>
          <w:szCs w:val="24"/>
          <w:lang w:eastAsia="en-NZ"/>
        </w:rPr>
        <w:t xml:space="preserve">of </w:t>
      </w:r>
      <w:r w:rsidRPr="00D85101">
        <w:rPr>
          <w:rFonts w:ascii="Arial" w:eastAsia="Times New Roman" w:hAnsi="Arial" w:cs="Arial"/>
          <w:sz w:val="24"/>
          <w:szCs w:val="24"/>
          <w:lang w:eastAsia="en-NZ"/>
        </w:rPr>
        <w:t>the socio-economic status of Māori having been created by events and experiences, as the Māori perspective upon this experience underlies the substance of the report and findings.</w:t>
      </w:r>
    </w:p>
    <w:p w14:paraId="384B729E" w14:textId="77777777" w:rsidR="000E06A3" w:rsidRPr="00D85101" w:rsidRDefault="000E06A3" w:rsidP="00FC43E2">
      <w:pPr>
        <w:ind w:left="414" w:firstLine="720"/>
        <w:rPr>
          <w:rFonts w:ascii="Arial" w:eastAsia="Times New Roman" w:hAnsi="Arial" w:cs="Arial"/>
          <w:i/>
          <w:iCs/>
          <w:sz w:val="24"/>
          <w:szCs w:val="24"/>
          <w:lang w:eastAsia="en-NZ"/>
        </w:rPr>
      </w:pPr>
    </w:p>
    <w:p w14:paraId="0D02A6D5" w14:textId="0695B4F3" w:rsidR="00111611" w:rsidRPr="0018683D" w:rsidRDefault="00111611" w:rsidP="00FC43E2">
      <w:pPr>
        <w:ind w:left="414" w:firstLine="720"/>
        <w:rPr>
          <w:rFonts w:ascii="Arial" w:eastAsia="Times New Roman" w:hAnsi="Arial" w:cs="Arial"/>
          <w:b/>
          <w:bCs/>
          <w:i/>
          <w:iCs/>
          <w:sz w:val="24"/>
          <w:szCs w:val="24"/>
          <w:lang w:eastAsia="en-NZ"/>
        </w:rPr>
      </w:pPr>
      <w:r w:rsidRPr="0018683D">
        <w:rPr>
          <w:rFonts w:ascii="Arial" w:eastAsia="Times New Roman" w:hAnsi="Arial" w:cs="Arial"/>
          <w:b/>
          <w:bCs/>
          <w:i/>
          <w:iCs/>
          <w:sz w:val="24"/>
          <w:szCs w:val="24"/>
          <w:lang w:eastAsia="en-NZ"/>
        </w:rPr>
        <w:t>Findings</w:t>
      </w:r>
    </w:p>
    <w:p w14:paraId="1F2EA298" w14:textId="77777777" w:rsidR="00111611" w:rsidRPr="00CC1678" w:rsidRDefault="00111611" w:rsidP="0095527E">
      <w:pPr>
        <w:pStyle w:val="ListParagraph"/>
        <w:spacing w:line="360" w:lineRule="auto"/>
        <w:rPr>
          <w:rFonts w:ascii="Arial" w:eastAsia="Times New Roman" w:hAnsi="Arial" w:cs="Arial"/>
          <w:sz w:val="24"/>
          <w:szCs w:val="24"/>
          <w:lang w:eastAsia="en-NZ"/>
        </w:rPr>
      </w:pPr>
    </w:p>
    <w:p w14:paraId="14DB37AC" w14:textId="257DB71D" w:rsidR="00111611" w:rsidRPr="00CC1678" w:rsidRDefault="002E5BDB"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CC1678">
        <w:rPr>
          <w:rFonts w:ascii="Arial" w:eastAsia="Times New Roman" w:hAnsi="Arial" w:cs="Arial"/>
          <w:sz w:val="24"/>
          <w:szCs w:val="24"/>
          <w:lang w:eastAsia="en-NZ"/>
        </w:rPr>
        <w:t xml:space="preserve">The Committee made </w:t>
      </w:r>
      <w:r w:rsidR="00A01AA6" w:rsidRPr="00CC1678">
        <w:rPr>
          <w:rFonts w:ascii="Arial" w:eastAsia="Times New Roman" w:hAnsi="Arial" w:cs="Arial"/>
          <w:sz w:val="24"/>
          <w:szCs w:val="24"/>
          <w:lang w:eastAsia="en-NZ"/>
        </w:rPr>
        <w:t xml:space="preserve">a number of </w:t>
      </w:r>
      <w:r w:rsidRPr="00CC1678">
        <w:rPr>
          <w:rFonts w:ascii="Arial" w:eastAsia="Times New Roman" w:hAnsi="Arial" w:cs="Arial"/>
          <w:sz w:val="24"/>
          <w:szCs w:val="24"/>
          <w:lang w:eastAsia="en-NZ"/>
        </w:rPr>
        <w:t>recommendations:</w:t>
      </w:r>
    </w:p>
    <w:p w14:paraId="10C87C7B" w14:textId="77777777" w:rsidR="00A01AA6" w:rsidRPr="0018683D" w:rsidRDefault="00A01AA6" w:rsidP="00A01AA6">
      <w:pPr>
        <w:pStyle w:val="ListParagraph"/>
        <w:spacing w:after="0" w:line="360" w:lineRule="auto"/>
        <w:ind w:left="2160"/>
        <w:rPr>
          <w:rFonts w:ascii="Arial" w:eastAsia="Times New Roman" w:hAnsi="Arial" w:cs="Arial"/>
          <w:sz w:val="24"/>
          <w:szCs w:val="24"/>
          <w:lang w:eastAsia="en-NZ"/>
        </w:rPr>
      </w:pPr>
    </w:p>
    <w:p w14:paraId="55FB1A54" w14:textId="60A9BF24" w:rsidR="002E5BDB" w:rsidRPr="0018683D" w:rsidRDefault="002E5BDB"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A social policy objective be endorsed by the Government which specifically combats racism, particularly towards Māori and Māori lifestyles</w:t>
      </w:r>
      <w:r w:rsidR="00747320" w:rsidRPr="0018683D">
        <w:rPr>
          <w:rFonts w:ascii="Arial" w:eastAsia="Times New Roman" w:hAnsi="Arial" w:cs="Arial"/>
          <w:sz w:val="24"/>
          <w:szCs w:val="24"/>
          <w:lang w:eastAsia="en-NZ"/>
        </w:rPr>
        <w:t>;</w:t>
      </w:r>
      <w:r w:rsidRPr="0018683D">
        <w:rPr>
          <w:rStyle w:val="FootnoteReference"/>
          <w:rFonts w:ascii="Arial" w:eastAsia="Times New Roman" w:hAnsi="Arial" w:cs="Arial"/>
          <w:sz w:val="24"/>
          <w:szCs w:val="24"/>
          <w:lang w:eastAsia="en-NZ"/>
        </w:rPr>
        <w:footnoteReference w:id="53"/>
      </w:r>
    </w:p>
    <w:p w14:paraId="4B4976B6"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74A9BF4E" w14:textId="6B16A237" w:rsidR="002E5BDB" w:rsidRPr="0018683D" w:rsidRDefault="002E5BDB"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lastRenderedPageBreak/>
        <w:t>The endorsement of an operational policy to attack and eliminate deprivation</w:t>
      </w:r>
      <w:r w:rsidR="00747320" w:rsidRPr="0018683D">
        <w:rPr>
          <w:rFonts w:ascii="Arial" w:eastAsia="Times New Roman" w:hAnsi="Arial" w:cs="Arial"/>
          <w:sz w:val="24"/>
          <w:szCs w:val="24"/>
          <w:lang w:eastAsia="en-NZ"/>
        </w:rPr>
        <w:t>;</w:t>
      </w:r>
      <w:r w:rsidRPr="0018683D">
        <w:rPr>
          <w:rStyle w:val="FootnoteReference"/>
          <w:rFonts w:ascii="Arial" w:eastAsia="Times New Roman" w:hAnsi="Arial" w:cs="Arial"/>
          <w:sz w:val="24"/>
          <w:szCs w:val="24"/>
          <w:lang w:eastAsia="en-NZ"/>
        </w:rPr>
        <w:footnoteReference w:id="54"/>
      </w:r>
    </w:p>
    <w:p w14:paraId="4F38FC8A"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4AA1B8BC" w14:textId="5E5A0586" w:rsidR="002E5BDB" w:rsidRPr="0018683D" w:rsidRDefault="002E5BDB"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Accountability measures be taken in the abolishing of the Social Security Commission and the establishment of a Social Welfare Commission</w:t>
      </w:r>
      <w:r w:rsidR="00747320" w:rsidRPr="0018683D">
        <w:rPr>
          <w:rFonts w:ascii="Arial" w:eastAsia="Times New Roman" w:hAnsi="Arial" w:cs="Arial"/>
          <w:sz w:val="24"/>
          <w:szCs w:val="24"/>
          <w:lang w:eastAsia="en-NZ"/>
        </w:rPr>
        <w:t>;</w:t>
      </w:r>
      <w:r w:rsidRPr="0018683D">
        <w:rPr>
          <w:rStyle w:val="FootnoteReference"/>
          <w:rFonts w:ascii="Arial" w:eastAsia="Times New Roman" w:hAnsi="Arial" w:cs="Arial"/>
          <w:sz w:val="24"/>
          <w:szCs w:val="24"/>
          <w:lang w:eastAsia="en-NZ"/>
        </w:rPr>
        <w:footnoteReference w:id="55"/>
      </w:r>
      <w:r w:rsidRPr="0018683D">
        <w:rPr>
          <w:rFonts w:ascii="Arial" w:eastAsia="Times New Roman" w:hAnsi="Arial" w:cs="Arial"/>
          <w:sz w:val="24"/>
          <w:szCs w:val="24"/>
          <w:lang w:eastAsia="en-NZ"/>
        </w:rPr>
        <w:t xml:space="preserve"> </w:t>
      </w:r>
    </w:p>
    <w:p w14:paraId="3A45485B"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288F2A12" w14:textId="7735042E" w:rsidR="002E5BDB" w:rsidRPr="0018683D" w:rsidRDefault="008A26C9"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Changes</w:t>
      </w:r>
      <w:r w:rsidR="002E5BDB" w:rsidRPr="0018683D">
        <w:rPr>
          <w:rFonts w:ascii="Arial" w:eastAsia="Times New Roman" w:hAnsi="Arial" w:cs="Arial"/>
          <w:sz w:val="24"/>
          <w:szCs w:val="24"/>
          <w:lang w:eastAsia="en-NZ"/>
        </w:rPr>
        <w:t xml:space="preserve"> to the Social Welfare Act 1971, Social Security Act 1964 and </w:t>
      </w:r>
      <w:r w:rsidRPr="0018683D">
        <w:rPr>
          <w:rFonts w:ascii="Arial" w:eastAsia="Times New Roman" w:hAnsi="Arial" w:cs="Arial"/>
          <w:sz w:val="24"/>
          <w:szCs w:val="24"/>
          <w:lang w:eastAsia="en-NZ"/>
        </w:rPr>
        <w:t xml:space="preserve">the Children and Young Persons Act 1974 in order to develop practice with the welfare beneficiary scheme, awareness of Māori </w:t>
      </w:r>
      <w:proofErr w:type="spellStart"/>
      <w:r w:rsidRPr="0018683D">
        <w:rPr>
          <w:rFonts w:ascii="Arial" w:eastAsia="Times New Roman" w:hAnsi="Arial" w:cs="Arial"/>
          <w:sz w:val="24"/>
          <w:szCs w:val="24"/>
          <w:lang w:eastAsia="en-NZ"/>
        </w:rPr>
        <w:t>whānau</w:t>
      </w:r>
      <w:proofErr w:type="spellEnd"/>
      <w:r w:rsidRPr="0018683D">
        <w:rPr>
          <w:rFonts w:ascii="Arial" w:eastAsia="Times New Roman" w:hAnsi="Arial" w:cs="Arial"/>
          <w:sz w:val="24"/>
          <w:szCs w:val="24"/>
          <w:lang w:eastAsia="en-NZ"/>
        </w:rPr>
        <w:t xml:space="preserve">, </w:t>
      </w:r>
      <w:proofErr w:type="spellStart"/>
      <w:r w:rsidRPr="0018683D">
        <w:rPr>
          <w:rFonts w:ascii="Arial" w:eastAsia="Times New Roman" w:hAnsi="Arial" w:cs="Arial"/>
          <w:sz w:val="24"/>
          <w:szCs w:val="24"/>
          <w:lang w:eastAsia="en-NZ"/>
        </w:rPr>
        <w:t>hapu</w:t>
      </w:r>
      <w:proofErr w:type="spellEnd"/>
      <w:r w:rsidRPr="0018683D">
        <w:rPr>
          <w:rFonts w:ascii="Arial" w:eastAsia="Times New Roman" w:hAnsi="Arial" w:cs="Arial"/>
          <w:sz w:val="24"/>
          <w:szCs w:val="24"/>
          <w:lang w:eastAsia="en-NZ"/>
        </w:rPr>
        <w:t xml:space="preserve"> and iwi links when social services work with Māori children</w:t>
      </w:r>
      <w:r w:rsidR="00747320" w:rsidRPr="0018683D">
        <w:rPr>
          <w:rFonts w:ascii="Arial" w:eastAsia="Times New Roman" w:hAnsi="Arial" w:cs="Arial"/>
          <w:sz w:val="24"/>
          <w:szCs w:val="24"/>
          <w:lang w:eastAsia="en-NZ"/>
        </w:rPr>
        <w:t>,</w:t>
      </w:r>
      <w:r w:rsidRPr="0018683D">
        <w:rPr>
          <w:rFonts w:ascii="Arial" w:eastAsia="Times New Roman" w:hAnsi="Arial" w:cs="Arial"/>
          <w:sz w:val="24"/>
          <w:szCs w:val="24"/>
          <w:lang w:eastAsia="en-NZ"/>
        </w:rPr>
        <w:t xml:space="preserve"> and cultural training for staff</w:t>
      </w:r>
      <w:r w:rsidR="00747320" w:rsidRPr="0018683D">
        <w:rPr>
          <w:rFonts w:ascii="Arial" w:eastAsia="Times New Roman" w:hAnsi="Arial" w:cs="Arial"/>
          <w:sz w:val="24"/>
          <w:szCs w:val="24"/>
          <w:lang w:eastAsia="en-NZ"/>
        </w:rPr>
        <w:t>;</w:t>
      </w:r>
      <w:r w:rsidRPr="0018683D">
        <w:rPr>
          <w:rStyle w:val="FootnoteReference"/>
          <w:rFonts w:ascii="Arial" w:eastAsia="Times New Roman" w:hAnsi="Arial" w:cs="Arial"/>
          <w:sz w:val="24"/>
          <w:szCs w:val="24"/>
          <w:lang w:eastAsia="en-NZ"/>
        </w:rPr>
        <w:footnoteReference w:id="56"/>
      </w:r>
    </w:p>
    <w:p w14:paraId="7CFE08AD"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0DD9F4DD" w14:textId="757FBE7C" w:rsidR="008A26C9" w:rsidRPr="0018683D" w:rsidRDefault="008A26C9"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A review of the Social Security Act by the Social Welfare Commission when established to reduce complexity around eligibility for and rationalisation of benefit rates</w:t>
      </w:r>
      <w:r w:rsidR="00517371" w:rsidRPr="0018683D">
        <w:rPr>
          <w:rFonts w:ascii="Arial" w:eastAsia="Times New Roman" w:hAnsi="Arial" w:cs="Arial"/>
          <w:sz w:val="24"/>
          <w:szCs w:val="24"/>
          <w:lang w:eastAsia="en-NZ"/>
        </w:rPr>
        <w:t>;</w:t>
      </w:r>
      <w:r w:rsidRPr="0018683D">
        <w:rPr>
          <w:rStyle w:val="FootnoteReference"/>
          <w:rFonts w:ascii="Arial" w:eastAsia="Times New Roman" w:hAnsi="Arial" w:cs="Arial"/>
          <w:sz w:val="24"/>
          <w:szCs w:val="24"/>
          <w:lang w:eastAsia="en-NZ"/>
        </w:rPr>
        <w:footnoteReference w:id="57"/>
      </w:r>
    </w:p>
    <w:p w14:paraId="6735E009"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57589451" w14:textId="62E68F40" w:rsidR="008A26C9" w:rsidRPr="0018683D" w:rsidRDefault="008A26C9"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Committees representative of the community, as well as the Department of Social Welfare and the Minister for Māori Affairs, to be appointed and funded, and responsible for, providing recommendations </w:t>
      </w:r>
      <w:r w:rsidR="00517371" w:rsidRPr="0018683D">
        <w:rPr>
          <w:rFonts w:ascii="Arial" w:eastAsia="Times New Roman" w:hAnsi="Arial" w:cs="Arial"/>
          <w:sz w:val="24"/>
          <w:szCs w:val="24"/>
          <w:lang w:eastAsia="en-NZ"/>
        </w:rPr>
        <w:t xml:space="preserve">about </w:t>
      </w:r>
      <w:r w:rsidRPr="0018683D">
        <w:rPr>
          <w:rFonts w:ascii="Arial" w:eastAsia="Times New Roman" w:hAnsi="Arial" w:cs="Arial"/>
          <w:sz w:val="24"/>
          <w:szCs w:val="24"/>
          <w:lang w:eastAsia="en-NZ"/>
        </w:rPr>
        <w:t>the direction of policy governing individual institutions</w:t>
      </w:r>
      <w:r w:rsidRPr="0018683D">
        <w:rPr>
          <w:rStyle w:val="FootnoteReference"/>
          <w:rFonts w:ascii="Arial" w:eastAsia="Times New Roman" w:hAnsi="Arial" w:cs="Arial"/>
          <w:sz w:val="24"/>
          <w:szCs w:val="24"/>
          <w:lang w:eastAsia="en-NZ"/>
        </w:rPr>
        <w:footnoteReference w:id="58"/>
      </w:r>
      <w:r w:rsidRPr="0018683D">
        <w:rPr>
          <w:rFonts w:ascii="Arial" w:eastAsia="Times New Roman" w:hAnsi="Arial" w:cs="Arial"/>
          <w:sz w:val="24"/>
          <w:szCs w:val="24"/>
          <w:lang w:eastAsia="en-NZ"/>
        </w:rPr>
        <w:t xml:space="preserve">, resource allocation, selection of staff, and the cultural relevance of programmes provided. The Committees would also manage the issue of alternative community care through networking with the extended family and the ability to report on the institutions to </w:t>
      </w:r>
      <w:r w:rsidR="00082F91" w:rsidRPr="0018683D">
        <w:rPr>
          <w:rFonts w:ascii="Arial" w:eastAsia="Times New Roman" w:hAnsi="Arial" w:cs="Arial"/>
          <w:sz w:val="24"/>
          <w:szCs w:val="24"/>
          <w:lang w:eastAsia="en-NZ"/>
        </w:rPr>
        <w:t xml:space="preserve">the Social Welfare Commission. </w:t>
      </w:r>
      <w:r w:rsidR="001146BD" w:rsidRPr="0018683D">
        <w:rPr>
          <w:rFonts w:ascii="Arial" w:eastAsia="Times New Roman" w:hAnsi="Arial" w:cs="Arial"/>
          <w:sz w:val="24"/>
          <w:szCs w:val="24"/>
          <w:lang w:eastAsia="en-NZ"/>
        </w:rPr>
        <w:t>Funding to allow for children to return to tribal areas for cultural development and continuity of schooling</w:t>
      </w:r>
      <w:r w:rsidR="00517371" w:rsidRPr="0018683D">
        <w:rPr>
          <w:rFonts w:ascii="Arial" w:eastAsia="Times New Roman" w:hAnsi="Arial" w:cs="Arial"/>
          <w:sz w:val="24"/>
          <w:szCs w:val="24"/>
          <w:lang w:eastAsia="en-NZ"/>
        </w:rPr>
        <w:t>;</w:t>
      </w:r>
      <w:r w:rsidR="001146BD" w:rsidRPr="0018683D">
        <w:rPr>
          <w:rStyle w:val="FootnoteReference"/>
          <w:rFonts w:ascii="Arial" w:eastAsia="Times New Roman" w:hAnsi="Arial" w:cs="Arial"/>
          <w:sz w:val="24"/>
          <w:szCs w:val="24"/>
          <w:lang w:eastAsia="en-NZ"/>
        </w:rPr>
        <w:footnoteReference w:id="59"/>
      </w:r>
    </w:p>
    <w:p w14:paraId="7E411F42"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20605664" w14:textId="42128189" w:rsidR="001146BD" w:rsidRPr="0018683D" w:rsidRDefault="001146BD"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lastRenderedPageBreak/>
        <w:t xml:space="preserve">The development of the </w:t>
      </w:r>
      <w:proofErr w:type="spellStart"/>
      <w:r w:rsidRPr="0018683D">
        <w:rPr>
          <w:rFonts w:ascii="Arial" w:eastAsia="Times New Roman" w:hAnsi="Arial" w:cs="Arial"/>
          <w:sz w:val="24"/>
          <w:szCs w:val="24"/>
          <w:lang w:eastAsia="en-NZ"/>
        </w:rPr>
        <w:t>Maatua</w:t>
      </w:r>
      <w:proofErr w:type="spellEnd"/>
      <w:r w:rsidRPr="0018683D">
        <w:rPr>
          <w:rFonts w:ascii="Arial" w:eastAsia="Times New Roman" w:hAnsi="Arial" w:cs="Arial"/>
          <w:sz w:val="24"/>
          <w:szCs w:val="24"/>
          <w:lang w:eastAsia="en-NZ"/>
        </w:rPr>
        <w:t xml:space="preserve"> </w:t>
      </w:r>
      <w:proofErr w:type="spellStart"/>
      <w:r w:rsidRPr="0018683D">
        <w:rPr>
          <w:rFonts w:ascii="Arial" w:eastAsia="Times New Roman" w:hAnsi="Arial" w:cs="Arial"/>
          <w:sz w:val="24"/>
          <w:szCs w:val="24"/>
          <w:lang w:eastAsia="en-NZ"/>
        </w:rPr>
        <w:t>Whangai</w:t>
      </w:r>
      <w:proofErr w:type="spellEnd"/>
      <w:r w:rsidRPr="0018683D">
        <w:rPr>
          <w:rFonts w:ascii="Arial" w:eastAsia="Times New Roman" w:hAnsi="Arial" w:cs="Arial"/>
          <w:sz w:val="24"/>
          <w:szCs w:val="24"/>
          <w:lang w:eastAsia="en-NZ"/>
        </w:rPr>
        <w:t xml:space="preserve"> programme</w:t>
      </w:r>
      <w:r w:rsidR="00517371" w:rsidRPr="0018683D">
        <w:rPr>
          <w:rFonts w:ascii="Arial" w:eastAsia="Times New Roman" w:hAnsi="Arial" w:cs="Arial"/>
          <w:sz w:val="24"/>
          <w:szCs w:val="24"/>
          <w:lang w:eastAsia="en-NZ"/>
        </w:rPr>
        <w:t>;</w:t>
      </w:r>
      <w:r w:rsidRPr="0018683D">
        <w:rPr>
          <w:rStyle w:val="FootnoteReference"/>
          <w:rFonts w:ascii="Arial" w:eastAsia="Times New Roman" w:hAnsi="Arial" w:cs="Arial"/>
          <w:sz w:val="24"/>
          <w:szCs w:val="24"/>
          <w:lang w:eastAsia="en-NZ"/>
        </w:rPr>
        <w:footnoteReference w:id="60"/>
      </w:r>
    </w:p>
    <w:p w14:paraId="2D078FA1"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041E0084" w14:textId="227C4EA9" w:rsidR="001146BD" w:rsidRPr="0018683D" w:rsidRDefault="00E5771E"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 funding of initiatives to target long-term unemployment amongst youth, particularly for Māori</w:t>
      </w:r>
      <w:r w:rsidR="00517371" w:rsidRPr="0018683D">
        <w:rPr>
          <w:rFonts w:ascii="Arial" w:eastAsia="Times New Roman" w:hAnsi="Arial" w:cs="Arial"/>
          <w:sz w:val="24"/>
          <w:szCs w:val="24"/>
          <w:lang w:eastAsia="en-NZ"/>
        </w:rPr>
        <w:t>;</w:t>
      </w:r>
      <w:r w:rsidR="00603EE1">
        <w:rPr>
          <w:rStyle w:val="FootnoteReference"/>
          <w:rFonts w:ascii="Arial" w:eastAsia="Times New Roman" w:hAnsi="Arial" w:cs="Arial"/>
          <w:sz w:val="24"/>
          <w:szCs w:val="24"/>
          <w:lang w:eastAsia="en-NZ"/>
        </w:rPr>
        <w:footnoteReference w:id="61"/>
      </w:r>
      <w:r w:rsidRPr="0018683D">
        <w:rPr>
          <w:rFonts w:ascii="Arial" w:eastAsia="Times New Roman" w:hAnsi="Arial" w:cs="Arial"/>
          <w:sz w:val="24"/>
          <w:szCs w:val="24"/>
          <w:lang w:eastAsia="en-NZ"/>
        </w:rPr>
        <w:t xml:space="preserve"> </w:t>
      </w:r>
    </w:p>
    <w:p w14:paraId="157F9D2E"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5C1CB77D" w14:textId="426D2058" w:rsidR="00E5771E" w:rsidRPr="0018683D" w:rsidRDefault="00E5771E"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inclusion of cultural competency and an awareness of Māori needs and those of the Māori community in job descriptions, inclusion of someone with knowledge of </w:t>
      </w:r>
      <w:proofErr w:type="spellStart"/>
      <w:r w:rsidRPr="0018683D">
        <w:rPr>
          <w:rFonts w:ascii="Arial" w:eastAsia="Times New Roman" w:hAnsi="Arial" w:cs="Arial"/>
          <w:sz w:val="24"/>
          <w:szCs w:val="24"/>
          <w:lang w:eastAsia="en-NZ"/>
        </w:rPr>
        <w:t>Māoritanga</w:t>
      </w:r>
      <w:proofErr w:type="spellEnd"/>
      <w:r w:rsidRPr="0018683D">
        <w:rPr>
          <w:rFonts w:ascii="Arial" w:eastAsia="Times New Roman" w:hAnsi="Arial" w:cs="Arial"/>
          <w:sz w:val="24"/>
          <w:szCs w:val="24"/>
          <w:lang w:eastAsia="en-NZ"/>
        </w:rPr>
        <w:t xml:space="preserve"> in the interview panel, that the Department train staff in cultural competency with additional training in </w:t>
      </w:r>
      <w:proofErr w:type="spellStart"/>
      <w:r w:rsidRPr="0018683D">
        <w:rPr>
          <w:rFonts w:ascii="Arial" w:eastAsia="Times New Roman" w:hAnsi="Arial" w:cs="Arial"/>
          <w:sz w:val="24"/>
          <w:szCs w:val="24"/>
          <w:lang w:eastAsia="en-NZ"/>
        </w:rPr>
        <w:t>Māoritanga</w:t>
      </w:r>
      <w:proofErr w:type="spellEnd"/>
      <w:r w:rsidRPr="0018683D">
        <w:rPr>
          <w:rFonts w:ascii="Arial" w:eastAsia="Times New Roman" w:hAnsi="Arial" w:cs="Arial"/>
          <w:sz w:val="24"/>
          <w:szCs w:val="24"/>
          <w:lang w:eastAsia="en-NZ"/>
        </w:rPr>
        <w:t xml:space="preserve">, that staff can attend training while their work is covered with relief staff, </w:t>
      </w:r>
      <w:r w:rsidR="00896492" w:rsidRPr="0018683D">
        <w:rPr>
          <w:rFonts w:ascii="Arial" w:eastAsia="Times New Roman" w:hAnsi="Arial" w:cs="Arial"/>
          <w:sz w:val="24"/>
          <w:szCs w:val="24"/>
          <w:lang w:eastAsia="en-NZ"/>
        </w:rPr>
        <w:t>that local Māori groups can provide the training with assistance and the Department accredit Māori for field and reception work.</w:t>
      </w:r>
      <w:r w:rsidR="00F81EC9" w:rsidRPr="0018683D">
        <w:rPr>
          <w:rFonts w:ascii="Arial" w:eastAsia="Times New Roman" w:hAnsi="Arial" w:cs="Arial"/>
          <w:sz w:val="24"/>
          <w:szCs w:val="24"/>
          <w:lang w:eastAsia="en-NZ"/>
        </w:rPr>
        <w:t>;</w:t>
      </w:r>
      <w:r w:rsidR="00896492" w:rsidRPr="0018683D">
        <w:rPr>
          <w:rStyle w:val="FootnoteReference"/>
          <w:rFonts w:ascii="Arial" w:eastAsia="Times New Roman" w:hAnsi="Arial" w:cs="Arial"/>
          <w:sz w:val="24"/>
          <w:szCs w:val="24"/>
          <w:lang w:eastAsia="en-NZ"/>
        </w:rPr>
        <w:footnoteReference w:id="62"/>
      </w:r>
      <w:r w:rsidRPr="0018683D">
        <w:rPr>
          <w:rFonts w:ascii="Arial" w:eastAsia="Times New Roman" w:hAnsi="Arial" w:cs="Arial"/>
          <w:sz w:val="24"/>
          <w:szCs w:val="24"/>
          <w:lang w:eastAsia="en-NZ"/>
        </w:rPr>
        <w:t xml:space="preserve"> </w:t>
      </w:r>
    </w:p>
    <w:p w14:paraId="18A63487"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69BB723F" w14:textId="5B004533" w:rsidR="00896492" w:rsidRPr="0018683D" w:rsidRDefault="00896492"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The development of training, urgently;</w:t>
      </w:r>
      <w:r w:rsidR="006970C4" w:rsidRPr="0018683D">
        <w:rPr>
          <w:rStyle w:val="FootnoteReference"/>
          <w:rFonts w:ascii="Arial" w:eastAsia="Times New Roman" w:hAnsi="Arial" w:cs="Arial"/>
          <w:sz w:val="24"/>
          <w:szCs w:val="24"/>
          <w:lang w:eastAsia="en-NZ"/>
        </w:rPr>
        <w:footnoteReference w:id="63"/>
      </w:r>
    </w:p>
    <w:p w14:paraId="38D475DF" w14:textId="77777777"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412DBCE1" w14:textId="4CCA6030" w:rsidR="00896492" w:rsidRDefault="00896492"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Communication strategies including language translations, a toll free calling service, the hiring of consultants, and updating of the design and function of reception areas, and for Māori to be hired to assist with dealing with Māori people in areas with high volumes of Māori users</w:t>
      </w:r>
      <w:r w:rsidR="00AC1507" w:rsidRPr="0018683D">
        <w:rPr>
          <w:rFonts w:ascii="Arial" w:eastAsia="Times New Roman" w:hAnsi="Arial" w:cs="Arial"/>
          <w:sz w:val="24"/>
          <w:szCs w:val="24"/>
          <w:lang w:eastAsia="en-NZ"/>
        </w:rPr>
        <w:t>;</w:t>
      </w:r>
      <w:r w:rsidRPr="0018683D">
        <w:rPr>
          <w:rStyle w:val="FootnoteReference"/>
          <w:rFonts w:ascii="Arial" w:eastAsia="Times New Roman" w:hAnsi="Arial" w:cs="Arial"/>
          <w:sz w:val="24"/>
          <w:szCs w:val="24"/>
          <w:lang w:eastAsia="en-NZ"/>
        </w:rPr>
        <w:footnoteReference w:id="64"/>
      </w:r>
    </w:p>
    <w:p w14:paraId="4125592D" w14:textId="77777777" w:rsidR="00721B02" w:rsidRPr="00721B02" w:rsidRDefault="00721B02" w:rsidP="00721B02">
      <w:pPr>
        <w:pStyle w:val="ListParagraph"/>
        <w:rPr>
          <w:rFonts w:ascii="Arial" w:eastAsia="Times New Roman" w:hAnsi="Arial" w:cs="Arial"/>
          <w:sz w:val="24"/>
          <w:szCs w:val="24"/>
          <w:lang w:eastAsia="en-NZ"/>
        </w:rPr>
      </w:pPr>
    </w:p>
    <w:p w14:paraId="2CBD17D1" w14:textId="4CA95066" w:rsidR="00896492" w:rsidRPr="0018683D" w:rsidRDefault="00721B02"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721B02">
        <w:rPr>
          <w:rFonts w:ascii="Arial" w:eastAsia="Times New Roman" w:hAnsi="Arial" w:cs="Arial"/>
          <w:sz w:val="24"/>
          <w:szCs w:val="24"/>
          <w:lang w:eastAsia="en-NZ"/>
        </w:rPr>
        <w:t xml:space="preserve">That </w:t>
      </w:r>
      <w:r w:rsidR="007D03F9" w:rsidRPr="0018683D">
        <w:rPr>
          <w:rFonts w:ascii="Arial" w:eastAsia="Times New Roman" w:hAnsi="Arial" w:cs="Arial"/>
          <w:sz w:val="24"/>
          <w:szCs w:val="24"/>
          <w:lang w:eastAsia="en-NZ"/>
        </w:rPr>
        <w:t>the intended Royal Commission on Social Policy take the recommendations into account and immediate action occurs within the State Services Commission;</w:t>
      </w:r>
      <w:r w:rsidR="007D03F9" w:rsidRPr="0018683D">
        <w:rPr>
          <w:rStyle w:val="FootnoteReference"/>
          <w:rFonts w:ascii="Arial" w:eastAsia="Times New Roman" w:hAnsi="Arial" w:cs="Arial"/>
          <w:sz w:val="24"/>
          <w:szCs w:val="24"/>
          <w:lang w:eastAsia="en-NZ"/>
        </w:rPr>
        <w:footnoteReference w:id="65"/>
      </w:r>
      <w:r w:rsidR="00AC1507" w:rsidRPr="0018683D">
        <w:rPr>
          <w:rFonts w:ascii="Arial" w:eastAsia="Times New Roman" w:hAnsi="Arial" w:cs="Arial"/>
          <w:sz w:val="24"/>
          <w:szCs w:val="24"/>
          <w:lang w:eastAsia="en-NZ"/>
        </w:rPr>
        <w:t xml:space="preserve"> and</w:t>
      </w:r>
    </w:p>
    <w:p w14:paraId="1B8781EA" w14:textId="7CDED96D" w:rsidR="00A01AA6" w:rsidRPr="0018683D" w:rsidRDefault="00A01AA6" w:rsidP="00FC43E2">
      <w:pPr>
        <w:pStyle w:val="ListParagraph"/>
        <w:spacing w:after="0" w:line="360" w:lineRule="auto"/>
        <w:ind w:left="1701" w:hanging="567"/>
        <w:rPr>
          <w:rFonts w:ascii="Arial" w:eastAsia="Times New Roman" w:hAnsi="Arial" w:cs="Arial"/>
          <w:sz w:val="24"/>
          <w:szCs w:val="24"/>
          <w:lang w:eastAsia="en-NZ"/>
        </w:rPr>
      </w:pPr>
    </w:p>
    <w:p w14:paraId="18A9B369" w14:textId="7A889CCB" w:rsidR="007D03F9" w:rsidRPr="0018683D" w:rsidRDefault="007D03F9" w:rsidP="00AB20F3">
      <w:pPr>
        <w:pStyle w:val="ListParagraph"/>
        <w:numPr>
          <w:ilvl w:val="0"/>
          <w:numId w:val="5"/>
        </w:numPr>
        <w:spacing w:after="0" w:line="360" w:lineRule="auto"/>
        <w:ind w:left="1701"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Immediate action </w:t>
      </w:r>
      <w:r w:rsidR="00AC1507" w:rsidRPr="0018683D">
        <w:rPr>
          <w:rFonts w:ascii="Arial" w:eastAsia="Times New Roman" w:hAnsi="Arial" w:cs="Arial"/>
          <w:sz w:val="24"/>
          <w:szCs w:val="24"/>
          <w:lang w:eastAsia="en-NZ"/>
        </w:rPr>
        <w:t xml:space="preserve">be </w:t>
      </w:r>
      <w:r w:rsidRPr="0018683D">
        <w:rPr>
          <w:rFonts w:ascii="Arial" w:eastAsia="Times New Roman" w:hAnsi="Arial" w:cs="Arial"/>
          <w:sz w:val="24"/>
          <w:szCs w:val="24"/>
          <w:lang w:eastAsia="en-NZ"/>
        </w:rPr>
        <w:t xml:space="preserve">taken to address economic, social and cultural problems that are creating serious tensions in major cities and outlying areas – in order to co-ordinate efforts of local and central government, iwi and other cultural structures, including Māori </w:t>
      </w:r>
      <w:r w:rsidRPr="0018683D">
        <w:rPr>
          <w:rFonts w:ascii="Arial" w:eastAsia="Times New Roman" w:hAnsi="Arial" w:cs="Arial"/>
          <w:sz w:val="24"/>
          <w:szCs w:val="24"/>
          <w:lang w:eastAsia="en-NZ"/>
        </w:rPr>
        <w:lastRenderedPageBreak/>
        <w:t>businesses and to use the initiatives of Māori and the community at large, and that the Cabinet Committee on Social Equity and their permanent members be responsible for planning and directing the co-ordination of resources.</w:t>
      </w:r>
      <w:r w:rsidRPr="0018683D">
        <w:rPr>
          <w:rStyle w:val="FootnoteReference"/>
          <w:rFonts w:ascii="Arial" w:eastAsia="Times New Roman" w:hAnsi="Arial" w:cs="Arial"/>
          <w:sz w:val="24"/>
          <w:szCs w:val="24"/>
          <w:lang w:eastAsia="en-NZ"/>
        </w:rPr>
        <w:footnoteReference w:id="66"/>
      </w:r>
    </w:p>
    <w:p w14:paraId="46D2B554" w14:textId="77777777" w:rsidR="00A01AA6" w:rsidRPr="0018683D" w:rsidRDefault="00A01AA6" w:rsidP="0095527E">
      <w:pPr>
        <w:pStyle w:val="ListParagraph"/>
        <w:spacing w:after="0" w:line="360" w:lineRule="auto"/>
        <w:ind w:left="1701"/>
        <w:rPr>
          <w:rFonts w:ascii="Arial" w:eastAsia="Times New Roman" w:hAnsi="Arial" w:cs="Arial"/>
          <w:b/>
          <w:bCs/>
          <w:i/>
          <w:iCs/>
          <w:sz w:val="24"/>
          <w:szCs w:val="24"/>
          <w:lang w:eastAsia="en-NZ"/>
        </w:rPr>
      </w:pPr>
    </w:p>
    <w:p w14:paraId="73EB1638" w14:textId="4204C0F1" w:rsidR="00796CB1" w:rsidRPr="0018683D" w:rsidRDefault="00796CB1" w:rsidP="006970C4">
      <w:pPr>
        <w:pStyle w:val="ListParagraph"/>
        <w:spacing w:after="0" w:line="360" w:lineRule="auto"/>
        <w:ind w:left="1134"/>
        <w:rPr>
          <w:rFonts w:ascii="Arial" w:eastAsia="Times New Roman" w:hAnsi="Arial" w:cs="Arial"/>
          <w:b/>
          <w:bCs/>
          <w:i/>
          <w:iCs/>
          <w:sz w:val="24"/>
          <w:szCs w:val="24"/>
          <w:lang w:eastAsia="en-NZ"/>
        </w:rPr>
      </w:pPr>
      <w:r w:rsidRPr="0018683D">
        <w:rPr>
          <w:rFonts w:ascii="Arial" w:eastAsia="Times New Roman" w:hAnsi="Arial" w:cs="Arial"/>
          <w:b/>
          <w:bCs/>
          <w:i/>
          <w:iCs/>
          <w:sz w:val="24"/>
          <w:szCs w:val="24"/>
          <w:lang w:eastAsia="en-NZ"/>
        </w:rPr>
        <w:t xml:space="preserve">Outcome of </w:t>
      </w:r>
      <w:r w:rsidR="00235168">
        <w:rPr>
          <w:rFonts w:ascii="Arial" w:eastAsia="Times New Roman" w:hAnsi="Arial" w:cs="Arial"/>
          <w:b/>
          <w:bCs/>
          <w:i/>
          <w:iCs/>
          <w:sz w:val="24"/>
          <w:szCs w:val="24"/>
          <w:lang w:eastAsia="en-NZ"/>
        </w:rPr>
        <w:t>Report’s Release</w:t>
      </w:r>
      <w:r w:rsidRPr="0018683D">
        <w:rPr>
          <w:rFonts w:ascii="Arial" w:eastAsia="Times New Roman" w:hAnsi="Arial" w:cs="Arial"/>
          <w:b/>
          <w:bCs/>
          <w:i/>
          <w:iCs/>
          <w:sz w:val="24"/>
          <w:szCs w:val="24"/>
          <w:lang w:eastAsia="en-NZ"/>
        </w:rPr>
        <w:t xml:space="preserve"> in 1986</w:t>
      </w:r>
    </w:p>
    <w:p w14:paraId="6DD2FB35" w14:textId="77777777" w:rsidR="00A01AA6" w:rsidRPr="0018683D" w:rsidRDefault="00A01AA6" w:rsidP="00A01AA6">
      <w:pPr>
        <w:pStyle w:val="ListParagraph"/>
        <w:spacing w:after="0" w:line="360" w:lineRule="auto"/>
        <w:ind w:left="1701"/>
        <w:rPr>
          <w:rFonts w:ascii="Arial" w:eastAsia="Times New Roman" w:hAnsi="Arial" w:cs="Arial"/>
          <w:b/>
          <w:bCs/>
          <w:i/>
          <w:iCs/>
          <w:sz w:val="24"/>
          <w:szCs w:val="24"/>
          <w:lang w:eastAsia="en-NZ"/>
        </w:rPr>
      </w:pPr>
    </w:p>
    <w:p w14:paraId="1C212024" w14:textId="77DF53D1" w:rsidR="00796CB1" w:rsidRPr="0018683D" w:rsidRDefault="00796CB1" w:rsidP="00AB20F3">
      <w:pPr>
        <w:pStyle w:val="ListParagraph"/>
        <w:numPr>
          <w:ilvl w:val="0"/>
          <w:numId w:val="1"/>
        </w:numPr>
        <w:spacing w:after="0" w:line="360" w:lineRule="auto"/>
        <w:ind w:left="1134" w:hanging="567"/>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A national hui was held at Lower Hutt in 1986 attended by two representatives of each marae visited by the Committee, kaumatua, heads of social service departments, regional district directors of the Departments of Social Welfare and Māori Affairs. </w:t>
      </w:r>
    </w:p>
    <w:p w14:paraId="4D9F7156" w14:textId="77777777" w:rsidR="00575DE8" w:rsidRPr="0018683D" w:rsidRDefault="00575DE8" w:rsidP="00575DE8">
      <w:pPr>
        <w:pStyle w:val="ListParagraph"/>
        <w:spacing w:after="0" w:line="360" w:lineRule="auto"/>
        <w:ind w:left="1701"/>
        <w:rPr>
          <w:rFonts w:ascii="Arial" w:eastAsia="Times New Roman" w:hAnsi="Arial" w:cs="Arial"/>
          <w:sz w:val="24"/>
          <w:szCs w:val="24"/>
          <w:lang w:eastAsia="en-NZ"/>
        </w:rPr>
      </w:pPr>
    </w:p>
    <w:p w14:paraId="42E571B7" w14:textId="77777777" w:rsidR="00EF53CE" w:rsidRDefault="00796CB1" w:rsidP="00AB20F3">
      <w:pPr>
        <w:pStyle w:val="ListParagraph"/>
        <w:numPr>
          <w:ilvl w:val="0"/>
          <w:numId w:val="1"/>
        </w:numPr>
        <w:spacing w:after="0" w:line="360" w:lineRule="auto"/>
        <w:ind w:left="1134" w:hanging="501"/>
        <w:rPr>
          <w:rFonts w:ascii="Arial" w:eastAsia="Times New Roman" w:hAnsi="Arial" w:cs="Arial"/>
          <w:sz w:val="24"/>
          <w:szCs w:val="24"/>
          <w:lang w:eastAsia="en-NZ"/>
        </w:rPr>
      </w:pPr>
      <w:r w:rsidRPr="0018683D">
        <w:rPr>
          <w:rFonts w:ascii="Arial" w:eastAsia="Times New Roman" w:hAnsi="Arial" w:cs="Arial"/>
          <w:sz w:val="24"/>
          <w:szCs w:val="24"/>
          <w:lang w:eastAsia="en-NZ"/>
        </w:rPr>
        <w:t xml:space="preserve">The Ministers for Social Welfare and Māori Affairs attended and made unequivocal commitments to the findings of the Report, and it was hoped by Chairman </w:t>
      </w:r>
      <w:proofErr w:type="spellStart"/>
      <w:r w:rsidRPr="0018683D">
        <w:rPr>
          <w:rFonts w:ascii="Arial" w:eastAsia="Times New Roman" w:hAnsi="Arial" w:cs="Arial"/>
          <w:sz w:val="24"/>
          <w:szCs w:val="24"/>
          <w:lang w:eastAsia="en-NZ"/>
        </w:rPr>
        <w:t>Rangihau</w:t>
      </w:r>
      <w:proofErr w:type="spellEnd"/>
      <w:r w:rsidRPr="0018683D">
        <w:rPr>
          <w:rFonts w:ascii="Arial" w:eastAsia="Times New Roman" w:hAnsi="Arial" w:cs="Arial"/>
          <w:sz w:val="24"/>
          <w:szCs w:val="24"/>
          <w:lang w:eastAsia="en-NZ"/>
        </w:rPr>
        <w:t xml:space="preserve"> that if the Department of Social Welfare effectively implemented the steps seen as necessary </w:t>
      </w:r>
      <w:r w:rsidR="00C74310" w:rsidRPr="0018683D">
        <w:rPr>
          <w:rFonts w:ascii="Arial" w:eastAsia="Times New Roman" w:hAnsi="Arial" w:cs="Arial"/>
          <w:sz w:val="24"/>
          <w:szCs w:val="24"/>
          <w:lang w:eastAsia="en-NZ"/>
        </w:rPr>
        <w:t>then all New Zealanders would benefit fr</w:t>
      </w:r>
      <w:r w:rsidR="0095527E" w:rsidRPr="0018683D">
        <w:rPr>
          <w:rFonts w:ascii="Arial" w:eastAsia="Times New Roman" w:hAnsi="Arial" w:cs="Arial"/>
          <w:sz w:val="24"/>
          <w:szCs w:val="24"/>
          <w:lang w:eastAsia="en-NZ"/>
        </w:rPr>
        <w:t>o</w:t>
      </w:r>
      <w:r w:rsidR="00C74310" w:rsidRPr="0018683D">
        <w:rPr>
          <w:rFonts w:ascii="Arial" w:eastAsia="Times New Roman" w:hAnsi="Arial" w:cs="Arial"/>
          <w:sz w:val="24"/>
          <w:szCs w:val="24"/>
          <w:lang w:eastAsia="en-NZ"/>
        </w:rPr>
        <w:t>m the changes.</w:t>
      </w:r>
      <w:r w:rsidR="00960DE7" w:rsidRPr="0018683D">
        <w:rPr>
          <w:rStyle w:val="FootnoteReference"/>
          <w:rFonts w:ascii="Arial" w:eastAsia="Times New Roman" w:hAnsi="Arial" w:cs="Arial"/>
          <w:sz w:val="24"/>
          <w:szCs w:val="24"/>
          <w:lang w:eastAsia="en-NZ"/>
        </w:rPr>
        <w:footnoteReference w:id="67"/>
      </w:r>
    </w:p>
    <w:sectPr w:rsidR="00EF53C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73602" w14:textId="77777777" w:rsidR="00853A27" w:rsidRDefault="00853A27" w:rsidP="003779A5">
      <w:pPr>
        <w:spacing w:after="0" w:line="240" w:lineRule="auto"/>
      </w:pPr>
      <w:r>
        <w:separator/>
      </w:r>
    </w:p>
  </w:endnote>
  <w:endnote w:type="continuationSeparator" w:id="0">
    <w:p w14:paraId="44F29D3F" w14:textId="77777777" w:rsidR="00853A27" w:rsidRDefault="00853A27" w:rsidP="0037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EE"/>
    <w:family w:val="roman"/>
    <w:notTrueType/>
    <w:pitch w:val="default"/>
    <w:sig w:usb0="00000007" w:usb1="00000000" w:usb2="00000000" w:usb3="00000000" w:csb0="00000003" w:csb1="00000000"/>
  </w:font>
  <w:font w:name="Minion Pro Capt">
    <w:altName w:val="Cambria"/>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84020"/>
      <w:docPartObj>
        <w:docPartGallery w:val="Page Numbers (Bottom of Page)"/>
        <w:docPartUnique/>
      </w:docPartObj>
    </w:sdtPr>
    <w:sdtEndPr>
      <w:rPr>
        <w:noProof/>
      </w:rPr>
    </w:sdtEndPr>
    <w:sdtContent>
      <w:p w14:paraId="1A60D84D" w14:textId="6A2B268F" w:rsidR="00EB0F76" w:rsidRDefault="00EB0F76">
        <w:pPr>
          <w:pStyle w:val="Footer"/>
          <w:jc w:val="right"/>
        </w:pPr>
        <w:r>
          <w:rPr>
            <w:noProof/>
          </w:rPr>
          <w:t>2</w:t>
        </w:r>
      </w:p>
    </w:sdtContent>
  </w:sdt>
  <w:p w14:paraId="0BC0763B" w14:textId="77777777" w:rsidR="00EB0F76" w:rsidRDefault="00EB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BB18" w14:textId="77777777" w:rsidR="00853A27" w:rsidRDefault="00853A27" w:rsidP="003779A5">
      <w:pPr>
        <w:spacing w:after="0" w:line="240" w:lineRule="auto"/>
      </w:pPr>
      <w:r>
        <w:separator/>
      </w:r>
    </w:p>
  </w:footnote>
  <w:footnote w:type="continuationSeparator" w:id="0">
    <w:p w14:paraId="632E3D48" w14:textId="77777777" w:rsidR="00853A27" w:rsidRDefault="00853A27" w:rsidP="003779A5">
      <w:pPr>
        <w:spacing w:after="0" w:line="240" w:lineRule="auto"/>
      </w:pPr>
      <w:r>
        <w:continuationSeparator/>
      </w:r>
    </w:p>
  </w:footnote>
  <w:footnote w:id="1">
    <w:p w14:paraId="70AAA2A4" w14:textId="77777777" w:rsidR="00574A69" w:rsidRPr="00133E71" w:rsidRDefault="00574A69" w:rsidP="00574A69">
      <w:pPr>
        <w:pStyle w:val="FootnoteText"/>
        <w:ind w:left="567" w:hanging="567"/>
        <w:rPr>
          <w:rFonts w:ascii="Arial" w:hAnsi="Arial" w:cs="Arial"/>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RCOI Transcript of Dr Moana Jackson, 30/10/19, page 17, lines 23-30. </w:t>
      </w:r>
    </w:p>
  </w:footnote>
  <w:footnote w:id="2">
    <w:p w14:paraId="30713CD8" w14:textId="77777777" w:rsidR="00436BA1" w:rsidRPr="00133E71" w:rsidRDefault="00436BA1" w:rsidP="00436BA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This paper </w:t>
      </w:r>
      <w:r w:rsidRPr="00133E71">
        <w:rPr>
          <w:rFonts w:ascii="Arial" w:hAnsi="Arial" w:cs="Arial"/>
        </w:rPr>
        <w:t>acknowledges</w:t>
      </w:r>
      <w:r w:rsidRPr="00133E71">
        <w:rPr>
          <w:rFonts w:ascii="Arial" w:hAnsi="Arial" w:cs="Arial"/>
          <w:lang w:val="en-NZ"/>
        </w:rPr>
        <w:t xml:space="preserve"> the Waitangi Tribunal’s exclusive authority to determine the meaning and effect of the Treaty as embodied in the two texts and to decide issues raised by the differences between them, pursuant to s 5 of the Treaty of Waitangi Act 1975. </w:t>
      </w:r>
      <w:r>
        <w:rPr>
          <w:rFonts w:ascii="Arial" w:hAnsi="Arial" w:cs="Arial"/>
          <w:lang w:val="en-NZ"/>
        </w:rPr>
        <w:t>The two texts are referred collectively herein as “the Treaty agreement.”</w:t>
      </w:r>
    </w:p>
  </w:footnote>
  <w:footnote w:id="3">
    <w:p w14:paraId="0337F82C" w14:textId="77777777" w:rsidR="00436BA1" w:rsidRPr="00133E71" w:rsidRDefault="00436BA1" w:rsidP="00436BA1">
      <w:pPr>
        <w:pStyle w:val="FootnoteText"/>
        <w:ind w:left="567" w:hanging="425"/>
        <w:rPr>
          <w:rFonts w:ascii="Arial" w:hAnsi="Arial" w:cs="Arial"/>
          <w:i/>
          <w:iCs/>
        </w:rPr>
      </w:pPr>
      <w:r w:rsidRPr="00133E71">
        <w:rPr>
          <w:rStyle w:val="FootnoteReference"/>
          <w:rFonts w:ascii="Arial" w:hAnsi="Arial" w:cs="Arial"/>
        </w:rPr>
        <w:footnoteRef/>
      </w:r>
      <w:r w:rsidRPr="00133E71">
        <w:rPr>
          <w:rFonts w:ascii="Arial" w:hAnsi="Arial" w:cs="Arial"/>
        </w:rPr>
        <w:t xml:space="preserve"> </w:t>
      </w:r>
      <w:r>
        <w:rPr>
          <w:rFonts w:ascii="Arial" w:hAnsi="Arial" w:cs="Arial"/>
        </w:rPr>
        <w:tab/>
      </w:r>
      <w:r w:rsidRPr="00133E71">
        <w:rPr>
          <w:rFonts w:ascii="Arial" w:hAnsi="Arial" w:cs="Arial"/>
        </w:rPr>
        <w:t xml:space="preserve">Waitangi Tribunal, </w:t>
      </w:r>
      <w:r w:rsidRPr="00133E71">
        <w:rPr>
          <w:rFonts w:ascii="Arial" w:hAnsi="Arial" w:cs="Arial"/>
          <w:i/>
          <w:iCs/>
        </w:rPr>
        <w:t xml:space="preserve">Hauora: Report on Stage One of the Health Services and Outcomes Kaupapa Inquiry, </w:t>
      </w:r>
      <w:r w:rsidRPr="00133E71">
        <w:rPr>
          <w:rFonts w:ascii="Arial" w:hAnsi="Arial" w:cs="Arial"/>
        </w:rPr>
        <w:t xml:space="preserve">(Wellington: Legislation Direct, 2019). </w:t>
      </w:r>
    </w:p>
  </w:footnote>
  <w:footnote w:id="4">
    <w:p w14:paraId="764D00F9" w14:textId="0CD1E2EE" w:rsidR="00EB0F76" w:rsidRPr="00133E71" w:rsidRDefault="00EB0F76" w:rsidP="004D44B7">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i/>
          <w:iCs/>
          <w:color w:val="000000"/>
        </w:rPr>
        <w:t xml:space="preserve">New Zealand Maori Council v Attorney General </w:t>
      </w:r>
      <w:r w:rsidRPr="00133E71">
        <w:rPr>
          <w:rFonts w:ascii="Arial" w:hAnsi="Arial" w:cs="Arial"/>
          <w:color w:val="000000"/>
        </w:rPr>
        <w:t>[1987] 1 NZLR 641 (CA), p 667.</w:t>
      </w:r>
    </w:p>
  </w:footnote>
  <w:footnote w:id="5">
    <w:p w14:paraId="0A2F35BD" w14:textId="31190A2D" w:rsidR="00EB0F76" w:rsidRPr="00133E71" w:rsidRDefault="00EB0F76" w:rsidP="004D44B7">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Waitangi Tribunal, </w:t>
      </w:r>
      <w:r w:rsidRPr="00133E71">
        <w:rPr>
          <w:rFonts w:ascii="Arial" w:hAnsi="Arial" w:cs="Arial"/>
          <w:i/>
          <w:iCs/>
        </w:rPr>
        <w:t>Te Whanau o Waipareira Report</w:t>
      </w:r>
      <w:r w:rsidRPr="00133E71">
        <w:rPr>
          <w:rFonts w:ascii="Arial" w:hAnsi="Arial" w:cs="Arial"/>
        </w:rPr>
        <w:t xml:space="preserve"> (Wellington: GP Publications, 1998), p xxvi.</w:t>
      </w:r>
    </w:p>
  </w:footnote>
  <w:footnote w:id="6">
    <w:p w14:paraId="6264A016" w14:textId="28A83E76" w:rsidR="00EB0F76" w:rsidRPr="00133E71" w:rsidRDefault="00EB0F76" w:rsidP="004634F3">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color w:val="000000"/>
        </w:rPr>
        <w:t xml:space="preserve">Waitangi Tribunal, </w:t>
      </w:r>
      <w:r w:rsidRPr="00133E71">
        <w:rPr>
          <w:rFonts w:ascii="Arial" w:hAnsi="Arial" w:cs="Arial"/>
          <w:i/>
          <w:iCs/>
          <w:color w:val="000000"/>
        </w:rPr>
        <w:t xml:space="preserve">Tū Mai te Rangi! Report on the Crown and Disproportionate Reoffending Rates </w:t>
      </w:r>
      <w:r w:rsidRPr="00133E71">
        <w:rPr>
          <w:rFonts w:ascii="Arial" w:hAnsi="Arial" w:cs="Arial"/>
          <w:color w:val="000000"/>
        </w:rPr>
        <w:t>(Wellington: Legislation Direct, 2017), p 21.</w:t>
      </w:r>
    </w:p>
  </w:footnote>
  <w:footnote w:id="7">
    <w:p w14:paraId="23456F99" w14:textId="43276339" w:rsidR="00EB0F76" w:rsidRPr="00133E71" w:rsidRDefault="00EB0F76" w:rsidP="00F6569C">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Waitangi Tribunal, </w:t>
      </w:r>
      <w:r w:rsidRPr="00133E71">
        <w:rPr>
          <w:rFonts w:ascii="Arial" w:hAnsi="Arial" w:cs="Arial"/>
          <w:i/>
          <w:iCs/>
          <w:lang w:val="en-NZ"/>
        </w:rPr>
        <w:t xml:space="preserve">Te Whanau o </w:t>
      </w:r>
      <w:proofErr w:type="spellStart"/>
      <w:r w:rsidRPr="00133E71">
        <w:rPr>
          <w:rFonts w:ascii="Arial" w:hAnsi="Arial" w:cs="Arial"/>
          <w:i/>
          <w:iCs/>
          <w:lang w:val="en-NZ"/>
        </w:rPr>
        <w:t>Waipareira</w:t>
      </w:r>
      <w:proofErr w:type="spellEnd"/>
      <w:r w:rsidRPr="00133E71">
        <w:rPr>
          <w:rFonts w:ascii="Arial" w:hAnsi="Arial" w:cs="Arial"/>
          <w:i/>
          <w:iCs/>
          <w:lang w:val="en-NZ"/>
        </w:rPr>
        <w:t xml:space="preserve"> Report, </w:t>
      </w:r>
      <w:r w:rsidRPr="00133E71">
        <w:rPr>
          <w:rFonts w:ascii="Arial" w:hAnsi="Arial" w:cs="Arial"/>
          <w:lang w:val="en-NZ"/>
        </w:rPr>
        <w:t xml:space="preserve">p xxvi. 16, 30. </w:t>
      </w:r>
    </w:p>
  </w:footnote>
  <w:footnote w:id="8">
    <w:p w14:paraId="52770FC1" w14:textId="100977A6" w:rsidR="00EB0F76" w:rsidRPr="00D56D76" w:rsidRDefault="00EB0F76" w:rsidP="00F6569C">
      <w:pPr>
        <w:pStyle w:val="Pa42"/>
        <w:ind w:left="567" w:hanging="567"/>
        <w:jc w:val="both"/>
        <w:rPr>
          <w:rFonts w:ascii="Arial" w:hAnsi="Arial" w:cs="Arial"/>
        </w:rPr>
      </w:pPr>
      <w:r w:rsidRPr="00133E71">
        <w:rPr>
          <w:rStyle w:val="FootnoteReference"/>
          <w:rFonts w:ascii="Arial" w:hAnsi="Arial" w:cs="Arial"/>
          <w:sz w:val="20"/>
          <w:szCs w:val="20"/>
        </w:rPr>
        <w:footnoteRef/>
      </w:r>
      <w:r w:rsidRPr="00133E71">
        <w:rPr>
          <w:rFonts w:ascii="Arial" w:hAnsi="Arial" w:cs="Arial"/>
        </w:rPr>
        <w:t xml:space="preserve"> </w:t>
      </w:r>
      <w:r w:rsidRPr="00133E71">
        <w:rPr>
          <w:rFonts w:ascii="Arial" w:hAnsi="Arial" w:cs="Arial"/>
        </w:rPr>
        <w:tab/>
      </w:r>
      <w:r w:rsidRPr="00D56D76">
        <w:rPr>
          <w:rFonts w:ascii="Arial" w:hAnsi="Arial" w:cs="Arial"/>
          <w:i/>
          <w:iCs/>
          <w:color w:val="000000"/>
          <w:sz w:val="20"/>
          <w:szCs w:val="20"/>
        </w:rPr>
        <w:t xml:space="preserve">Te Whanau o </w:t>
      </w:r>
      <w:proofErr w:type="spellStart"/>
      <w:r w:rsidRPr="00D56D76">
        <w:rPr>
          <w:rFonts w:ascii="Arial" w:hAnsi="Arial" w:cs="Arial"/>
          <w:i/>
          <w:iCs/>
          <w:color w:val="000000"/>
          <w:sz w:val="20"/>
          <w:szCs w:val="20"/>
        </w:rPr>
        <w:t>Waipareira</w:t>
      </w:r>
      <w:proofErr w:type="spellEnd"/>
      <w:r w:rsidRPr="00D56D76">
        <w:rPr>
          <w:rFonts w:ascii="Arial" w:hAnsi="Arial" w:cs="Arial"/>
          <w:i/>
          <w:iCs/>
          <w:color w:val="000000"/>
          <w:sz w:val="20"/>
          <w:szCs w:val="20"/>
        </w:rPr>
        <w:t xml:space="preserve"> Report</w:t>
      </w:r>
      <w:r w:rsidRPr="00D56D76">
        <w:rPr>
          <w:rFonts w:ascii="Arial" w:hAnsi="Arial" w:cs="Arial"/>
          <w:color w:val="000000"/>
          <w:sz w:val="20"/>
          <w:szCs w:val="20"/>
        </w:rPr>
        <w:t xml:space="preserve">, p 25; and Waitangi Tribunal, </w:t>
      </w:r>
      <w:r w:rsidRPr="00D56D76">
        <w:rPr>
          <w:rFonts w:ascii="Arial" w:hAnsi="Arial" w:cs="Arial"/>
          <w:i/>
          <w:iCs/>
          <w:color w:val="000000"/>
          <w:sz w:val="20"/>
          <w:szCs w:val="20"/>
        </w:rPr>
        <w:t xml:space="preserve">Matua </w:t>
      </w:r>
      <w:proofErr w:type="spellStart"/>
      <w:r w:rsidRPr="00D56D76">
        <w:rPr>
          <w:rFonts w:ascii="Arial" w:hAnsi="Arial" w:cs="Arial"/>
          <w:i/>
          <w:iCs/>
          <w:color w:val="000000"/>
          <w:sz w:val="20"/>
          <w:szCs w:val="20"/>
        </w:rPr>
        <w:t>Rautia</w:t>
      </w:r>
      <w:proofErr w:type="spellEnd"/>
      <w:r w:rsidRPr="00D56D76">
        <w:rPr>
          <w:rFonts w:ascii="Arial" w:hAnsi="Arial" w:cs="Arial"/>
          <w:i/>
          <w:iCs/>
          <w:color w:val="000000"/>
          <w:sz w:val="20"/>
          <w:szCs w:val="20"/>
        </w:rPr>
        <w:t xml:space="preserve">: The Report on the </w:t>
      </w:r>
      <w:proofErr w:type="spellStart"/>
      <w:r w:rsidRPr="00D56D76">
        <w:rPr>
          <w:rFonts w:ascii="Arial" w:hAnsi="Arial" w:cs="Arial"/>
          <w:i/>
          <w:iCs/>
          <w:color w:val="000000"/>
          <w:sz w:val="20"/>
          <w:szCs w:val="20"/>
        </w:rPr>
        <w:t>Kōhanga</w:t>
      </w:r>
      <w:proofErr w:type="spellEnd"/>
      <w:r w:rsidRPr="00D56D76">
        <w:rPr>
          <w:rFonts w:ascii="Arial" w:hAnsi="Arial" w:cs="Arial"/>
          <w:i/>
          <w:iCs/>
          <w:color w:val="000000"/>
          <w:sz w:val="20"/>
          <w:szCs w:val="20"/>
        </w:rPr>
        <w:t xml:space="preserve"> Reo Claim </w:t>
      </w:r>
      <w:r w:rsidRPr="00D56D76">
        <w:rPr>
          <w:rFonts w:ascii="Arial" w:hAnsi="Arial" w:cs="Arial"/>
          <w:color w:val="000000"/>
          <w:sz w:val="20"/>
          <w:szCs w:val="20"/>
        </w:rPr>
        <w:t>(Wellington: Legislation Direct, 2013), pp 64–65.</w:t>
      </w:r>
    </w:p>
  </w:footnote>
  <w:footnote w:id="9">
    <w:p w14:paraId="4AD109A2" w14:textId="2707B28E" w:rsidR="00EB0F76" w:rsidRPr="00D56D76" w:rsidRDefault="00EB0F76" w:rsidP="00F6569C">
      <w:pPr>
        <w:pStyle w:val="FootnoteText"/>
        <w:ind w:left="567" w:hanging="567"/>
        <w:rPr>
          <w:rFonts w:ascii="Arial" w:hAnsi="Arial" w:cs="Arial"/>
          <w:lang w:val="en-NZ"/>
        </w:rPr>
      </w:pPr>
      <w:r w:rsidRPr="00D56D76">
        <w:rPr>
          <w:rStyle w:val="FootnoteReference"/>
          <w:rFonts w:ascii="Arial" w:hAnsi="Arial" w:cs="Arial"/>
        </w:rPr>
        <w:footnoteRef/>
      </w:r>
      <w:r w:rsidRPr="00D56D76">
        <w:rPr>
          <w:rFonts w:ascii="Arial" w:hAnsi="Arial" w:cs="Arial"/>
        </w:rPr>
        <w:t xml:space="preserve"> </w:t>
      </w:r>
      <w:r w:rsidRPr="00D56D76">
        <w:rPr>
          <w:rFonts w:ascii="Arial" w:hAnsi="Arial" w:cs="Arial"/>
        </w:rPr>
        <w:tab/>
      </w:r>
      <w:r w:rsidRPr="00D56D76">
        <w:rPr>
          <w:rFonts w:ascii="Arial" w:hAnsi="Arial" w:cs="Arial"/>
          <w:i/>
          <w:iCs/>
          <w:color w:val="000000"/>
        </w:rPr>
        <w:t>Tū Mai te Rangi!,</w:t>
      </w:r>
      <w:r w:rsidRPr="00D56D76">
        <w:rPr>
          <w:rFonts w:ascii="Arial" w:hAnsi="Arial" w:cs="Arial"/>
          <w:color w:val="000000"/>
        </w:rPr>
        <w:t xml:space="preserve"> pp 62-63.</w:t>
      </w:r>
    </w:p>
  </w:footnote>
  <w:footnote w:id="10">
    <w:p w14:paraId="03ADED95" w14:textId="743B6C8B" w:rsidR="00EB0F76" w:rsidRPr="00D56D76" w:rsidRDefault="00EB0F76" w:rsidP="00F6569C">
      <w:pPr>
        <w:pStyle w:val="FootnoteText"/>
        <w:ind w:left="567" w:hanging="567"/>
        <w:rPr>
          <w:rFonts w:ascii="Arial" w:hAnsi="Arial" w:cs="Arial"/>
          <w:lang w:val="en-NZ"/>
        </w:rPr>
      </w:pPr>
      <w:r w:rsidRPr="00D56D76">
        <w:rPr>
          <w:rStyle w:val="FootnoteReference"/>
          <w:rFonts w:ascii="Arial" w:hAnsi="Arial" w:cs="Arial"/>
        </w:rPr>
        <w:footnoteRef/>
      </w:r>
      <w:r w:rsidRPr="00D56D76">
        <w:rPr>
          <w:rFonts w:ascii="Arial" w:hAnsi="Arial" w:cs="Arial"/>
        </w:rPr>
        <w:t xml:space="preserve"> </w:t>
      </w:r>
      <w:r w:rsidRPr="00D56D76">
        <w:rPr>
          <w:rFonts w:ascii="Arial" w:hAnsi="Arial" w:cs="Arial"/>
        </w:rPr>
        <w:tab/>
      </w:r>
      <w:r w:rsidRPr="00D56D76">
        <w:rPr>
          <w:rFonts w:ascii="Arial" w:hAnsi="Arial" w:cs="Arial"/>
          <w:lang w:val="en-NZ"/>
        </w:rPr>
        <w:t xml:space="preserve">See above n 10, </w:t>
      </w:r>
      <w:r w:rsidRPr="00D56D76">
        <w:rPr>
          <w:rFonts w:ascii="Arial" w:hAnsi="Arial" w:cs="Arial"/>
          <w:i/>
          <w:iCs/>
          <w:color w:val="000000"/>
        </w:rPr>
        <w:t>Tū Mai te Rangi!</w:t>
      </w:r>
      <w:r w:rsidRPr="00D56D76">
        <w:rPr>
          <w:rFonts w:ascii="Arial" w:hAnsi="Arial" w:cs="Arial"/>
          <w:color w:val="000000"/>
        </w:rPr>
        <w:t xml:space="preserve"> Where the principle of partnership was met in the Department of Correction’s declaration of commitment to engage with Māori groups. However should the vision and commitment not be effected, the Waitangi Tribunal noted this would constitute a breach. </w:t>
      </w:r>
    </w:p>
  </w:footnote>
  <w:footnote w:id="11">
    <w:p w14:paraId="68A32347" w14:textId="33054F02" w:rsidR="00EB0F76" w:rsidRPr="00D56D76" w:rsidRDefault="00EB0F76" w:rsidP="00154D74">
      <w:pPr>
        <w:pStyle w:val="FootnoteText"/>
        <w:ind w:left="567" w:hanging="567"/>
        <w:rPr>
          <w:rFonts w:ascii="Arial" w:hAnsi="Arial" w:cs="Arial"/>
          <w:lang w:val="en-NZ"/>
        </w:rPr>
      </w:pPr>
      <w:r w:rsidRPr="00D56D76">
        <w:rPr>
          <w:rStyle w:val="FootnoteReference"/>
          <w:rFonts w:ascii="Arial" w:hAnsi="Arial" w:cs="Arial"/>
        </w:rPr>
        <w:footnoteRef/>
      </w:r>
      <w:r w:rsidRPr="00D56D76">
        <w:rPr>
          <w:rFonts w:ascii="Arial" w:hAnsi="Arial" w:cs="Arial"/>
        </w:rPr>
        <w:t xml:space="preserve"> </w:t>
      </w:r>
      <w:r w:rsidRPr="00D56D76">
        <w:rPr>
          <w:rFonts w:ascii="Arial" w:hAnsi="Arial" w:cs="Arial"/>
        </w:rPr>
        <w:tab/>
        <w:t xml:space="preserve">Waitangi Tribunal, </w:t>
      </w:r>
      <w:r w:rsidRPr="00D56D76">
        <w:rPr>
          <w:rFonts w:ascii="Arial" w:hAnsi="Arial" w:cs="Arial"/>
          <w:i/>
          <w:iCs/>
        </w:rPr>
        <w:t>Ahu Moana The Aquaculture and Marine Farming Report</w:t>
      </w:r>
      <w:r w:rsidRPr="00D56D76">
        <w:rPr>
          <w:rFonts w:ascii="Arial" w:hAnsi="Arial" w:cs="Arial"/>
        </w:rPr>
        <w:t xml:space="preserve">, (Wellington: Legislation Direct, 2002) p 65. </w:t>
      </w:r>
    </w:p>
  </w:footnote>
  <w:footnote w:id="12">
    <w:p w14:paraId="4AF92D05" w14:textId="112C3275" w:rsidR="00BE17A0" w:rsidRPr="00D56D76" w:rsidRDefault="00BE17A0" w:rsidP="00D56D76">
      <w:pPr>
        <w:pStyle w:val="FootnoteText"/>
        <w:ind w:left="567" w:hanging="567"/>
        <w:rPr>
          <w:rFonts w:ascii="Arial" w:hAnsi="Arial" w:cs="Arial"/>
          <w:lang w:val="en-NZ"/>
        </w:rPr>
      </w:pPr>
      <w:r w:rsidRPr="00D56D76">
        <w:rPr>
          <w:rStyle w:val="FootnoteReference"/>
          <w:rFonts w:ascii="Arial" w:hAnsi="Arial" w:cs="Arial"/>
        </w:rPr>
        <w:footnoteRef/>
      </w:r>
      <w:r w:rsidRPr="00D56D76">
        <w:rPr>
          <w:rFonts w:ascii="Arial" w:hAnsi="Arial" w:cs="Arial"/>
        </w:rPr>
        <w:t xml:space="preserve"> </w:t>
      </w:r>
      <w:r w:rsidRPr="00D56D76">
        <w:rPr>
          <w:rFonts w:ascii="Arial" w:hAnsi="Arial" w:cs="Arial"/>
          <w:lang w:val="en-NZ"/>
        </w:rPr>
        <w:tab/>
        <w:t xml:space="preserve">Waitangi Tribunal </w:t>
      </w:r>
      <w:r w:rsidRPr="00D56D76">
        <w:rPr>
          <w:rFonts w:ascii="Arial" w:hAnsi="Arial" w:cs="Arial"/>
          <w:i/>
          <w:iCs/>
          <w:lang w:val="en-NZ"/>
        </w:rPr>
        <w:t xml:space="preserve">Te Tau Ihu o Te Waka a Maui Report on Northern South Island Claims </w:t>
      </w:r>
      <w:r w:rsidRPr="00D56D76">
        <w:rPr>
          <w:rFonts w:ascii="Arial" w:hAnsi="Arial" w:cs="Arial"/>
          <w:lang w:val="en-NZ"/>
        </w:rPr>
        <w:t>(Wellington: Legislation Direct, 2008)</w:t>
      </w:r>
      <w:r w:rsidRPr="00D56D76">
        <w:rPr>
          <w:rFonts w:ascii="Arial" w:hAnsi="Arial" w:cs="Arial"/>
          <w:i/>
          <w:iCs/>
          <w:lang w:val="en-NZ"/>
        </w:rPr>
        <w:t xml:space="preserve">, </w:t>
      </w:r>
      <w:r w:rsidRPr="00D56D76">
        <w:rPr>
          <w:rFonts w:ascii="Arial" w:hAnsi="Arial" w:cs="Arial"/>
          <w:lang w:val="en-NZ"/>
        </w:rPr>
        <w:t>p 4.</w:t>
      </w:r>
    </w:p>
  </w:footnote>
  <w:footnote w:id="13">
    <w:p w14:paraId="0F0D03E1" w14:textId="4150EDF9" w:rsidR="003D5D8A" w:rsidRPr="005B45E1" w:rsidRDefault="003D5D8A" w:rsidP="005B45E1">
      <w:pPr>
        <w:pStyle w:val="FootnoteText"/>
        <w:ind w:left="567" w:hanging="567"/>
        <w:rPr>
          <w:rFonts w:ascii="Arial" w:hAnsi="Arial" w:cs="Arial"/>
          <w:lang w:val="en-NZ"/>
        </w:rPr>
      </w:pPr>
      <w:r>
        <w:rPr>
          <w:rStyle w:val="FootnoteReference"/>
        </w:rPr>
        <w:footnoteRef/>
      </w:r>
      <w:r>
        <w:t xml:space="preserve"> </w:t>
      </w:r>
      <w:r>
        <w:rPr>
          <w:lang w:val="en-NZ"/>
        </w:rPr>
        <w:tab/>
      </w:r>
      <w:r w:rsidRPr="005B45E1">
        <w:rPr>
          <w:rFonts w:ascii="Arial" w:hAnsi="Arial" w:cs="Arial"/>
          <w:lang w:val="en-NZ"/>
        </w:rPr>
        <w:t>Ibid.</w:t>
      </w:r>
    </w:p>
  </w:footnote>
  <w:footnote w:id="14">
    <w:p w14:paraId="6087DA33" w14:textId="02F870BB" w:rsidR="00EB0F76" w:rsidRPr="005B45E1" w:rsidRDefault="00EB0F76" w:rsidP="005B45E1">
      <w:pPr>
        <w:pStyle w:val="FootnoteText"/>
        <w:ind w:left="567" w:hanging="567"/>
        <w:rPr>
          <w:rFonts w:ascii="Arial" w:hAnsi="Arial" w:cs="Arial"/>
          <w:lang w:val="en-NZ"/>
        </w:rPr>
      </w:pPr>
      <w:r w:rsidRPr="005B45E1">
        <w:rPr>
          <w:rStyle w:val="FootnoteReference"/>
          <w:rFonts w:ascii="Arial" w:hAnsi="Arial" w:cs="Arial"/>
        </w:rPr>
        <w:footnoteRef/>
      </w:r>
      <w:r w:rsidRPr="005B45E1">
        <w:rPr>
          <w:rFonts w:ascii="Arial" w:hAnsi="Arial" w:cs="Arial"/>
        </w:rPr>
        <w:t xml:space="preserve"> </w:t>
      </w:r>
      <w:r w:rsidRPr="005B45E1">
        <w:rPr>
          <w:rFonts w:ascii="Arial" w:hAnsi="Arial" w:cs="Arial"/>
        </w:rPr>
        <w:tab/>
      </w:r>
      <w:r w:rsidRPr="005B45E1">
        <w:rPr>
          <w:rFonts w:ascii="Arial" w:hAnsi="Arial" w:cs="Arial"/>
          <w:color w:val="000000"/>
        </w:rPr>
        <w:t xml:space="preserve">Waitangi Tribunal, </w:t>
      </w:r>
      <w:r w:rsidRPr="005B45E1">
        <w:rPr>
          <w:rFonts w:ascii="Arial" w:hAnsi="Arial" w:cs="Arial"/>
          <w:i/>
          <w:iCs/>
          <w:color w:val="000000"/>
        </w:rPr>
        <w:t xml:space="preserve">The Ngātiwai Mandate Inquiry Report </w:t>
      </w:r>
      <w:r w:rsidRPr="005B45E1">
        <w:rPr>
          <w:rFonts w:ascii="Arial" w:hAnsi="Arial" w:cs="Arial"/>
          <w:color w:val="000000"/>
        </w:rPr>
        <w:t xml:space="preserve">(Wellington: Legislation Direct, 2017), p 27; Waitangi Tribunal, </w:t>
      </w:r>
      <w:r w:rsidRPr="005B45E1">
        <w:rPr>
          <w:rFonts w:ascii="Arial" w:hAnsi="Arial" w:cs="Arial"/>
          <w:i/>
          <w:iCs/>
          <w:color w:val="000000"/>
        </w:rPr>
        <w:t>Te Whanau o Waipareira Report</w:t>
      </w:r>
      <w:r w:rsidRPr="005B45E1">
        <w:rPr>
          <w:rFonts w:ascii="Arial" w:hAnsi="Arial" w:cs="Arial"/>
          <w:color w:val="000000"/>
        </w:rPr>
        <w:t xml:space="preserve">, p 215; Waitangi Tribunal, </w:t>
      </w:r>
      <w:r w:rsidRPr="005B45E1">
        <w:rPr>
          <w:rFonts w:ascii="Arial" w:hAnsi="Arial" w:cs="Arial"/>
          <w:i/>
          <w:iCs/>
          <w:color w:val="000000"/>
        </w:rPr>
        <w:t>Ngāpuhi Mandate Inquiry Report</w:t>
      </w:r>
      <w:r w:rsidRPr="005B45E1">
        <w:rPr>
          <w:rFonts w:ascii="Arial" w:hAnsi="Arial" w:cs="Arial"/>
          <w:color w:val="000000"/>
        </w:rPr>
        <w:t xml:space="preserve">, p 24; Waitangi Tribunal, </w:t>
      </w:r>
      <w:r w:rsidRPr="005B45E1">
        <w:rPr>
          <w:rFonts w:ascii="Arial" w:hAnsi="Arial" w:cs="Arial"/>
          <w:i/>
          <w:iCs/>
          <w:color w:val="000000"/>
        </w:rPr>
        <w:t>Turanga Tangata Turanga Whenua: The Report on the Turanganui a Kiwa Claims</w:t>
      </w:r>
      <w:r w:rsidRPr="005B45E1">
        <w:rPr>
          <w:rFonts w:ascii="Arial" w:hAnsi="Arial" w:cs="Arial"/>
          <w:color w:val="000000"/>
        </w:rPr>
        <w:t xml:space="preserve">, 2 vols (Wellington: Legislation Direct, 2004), vol 2, p 739; and Waitangi Tribunal </w:t>
      </w:r>
      <w:r w:rsidRPr="005B45E1">
        <w:rPr>
          <w:rFonts w:ascii="Arial" w:hAnsi="Arial" w:cs="Arial"/>
          <w:i/>
          <w:iCs/>
          <w:color w:val="000000"/>
        </w:rPr>
        <w:t xml:space="preserve">Hauora: Report on Stage One </w:t>
      </w:r>
      <w:r w:rsidRPr="005B45E1">
        <w:rPr>
          <w:rFonts w:ascii="Arial" w:hAnsi="Arial" w:cs="Arial"/>
          <w:color w:val="000000"/>
        </w:rPr>
        <w:t>above n 3, p 30.</w:t>
      </w:r>
    </w:p>
  </w:footnote>
  <w:footnote w:id="15">
    <w:p w14:paraId="2EBA3342" w14:textId="435F353D" w:rsidR="00EB0F76" w:rsidRPr="005B45E1" w:rsidRDefault="00EB0F76" w:rsidP="005B45E1">
      <w:pPr>
        <w:pStyle w:val="FootnoteText"/>
        <w:ind w:left="567" w:hanging="567"/>
        <w:rPr>
          <w:rFonts w:ascii="Arial" w:hAnsi="Arial" w:cs="Arial"/>
          <w:lang w:val="en-NZ"/>
        </w:rPr>
      </w:pPr>
      <w:r w:rsidRPr="005B45E1">
        <w:rPr>
          <w:rStyle w:val="FootnoteReference"/>
          <w:rFonts w:ascii="Arial" w:hAnsi="Arial" w:cs="Arial"/>
        </w:rPr>
        <w:footnoteRef/>
      </w:r>
      <w:r w:rsidRPr="005B45E1">
        <w:rPr>
          <w:rFonts w:ascii="Arial" w:hAnsi="Arial" w:cs="Arial"/>
        </w:rPr>
        <w:t xml:space="preserve"> </w:t>
      </w:r>
      <w:r w:rsidRPr="005B45E1">
        <w:rPr>
          <w:rFonts w:ascii="Arial" w:hAnsi="Arial" w:cs="Arial"/>
        </w:rPr>
        <w:tab/>
      </w:r>
      <w:r w:rsidRPr="005B45E1">
        <w:rPr>
          <w:rFonts w:ascii="Arial" w:hAnsi="Arial" w:cs="Arial"/>
          <w:i/>
          <w:iCs/>
        </w:rPr>
        <w:t>New Zealand Maori Council v Attorney-General</w:t>
      </w:r>
      <w:r w:rsidRPr="005B45E1">
        <w:rPr>
          <w:rFonts w:ascii="Arial" w:hAnsi="Arial" w:cs="Arial"/>
        </w:rPr>
        <w:t xml:space="preserve"> [1994] 1 NZLR 513 (PC), p 517.</w:t>
      </w:r>
    </w:p>
  </w:footnote>
  <w:footnote w:id="16">
    <w:p w14:paraId="6C11E162" w14:textId="7A3BDF5C" w:rsidR="00EB0F76" w:rsidRPr="005B45E1" w:rsidRDefault="00EB0F76" w:rsidP="005B45E1">
      <w:pPr>
        <w:pStyle w:val="FootnoteText"/>
        <w:ind w:left="567" w:hanging="567"/>
        <w:rPr>
          <w:rFonts w:ascii="Arial" w:hAnsi="Arial" w:cs="Arial"/>
          <w:lang w:val="en-NZ"/>
        </w:rPr>
      </w:pPr>
      <w:r w:rsidRPr="005B45E1">
        <w:rPr>
          <w:rStyle w:val="FootnoteReference"/>
          <w:rFonts w:ascii="Arial" w:hAnsi="Arial" w:cs="Arial"/>
        </w:rPr>
        <w:footnoteRef/>
      </w:r>
      <w:r w:rsidRPr="005B45E1">
        <w:rPr>
          <w:rFonts w:ascii="Arial" w:hAnsi="Arial" w:cs="Arial"/>
        </w:rPr>
        <w:t xml:space="preserve"> </w:t>
      </w:r>
      <w:r w:rsidRPr="005B45E1">
        <w:rPr>
          <w:rFonts w:ascii="Arial" w:hAnsi="Arial" w:cs="Arial"/>
        </w:rPr>
        <w:tab/>
      </w:r>
      <w:r w:rsidRPr="005B45E1">
        <w:rPr>
          <w:rFonts w:ascii="Arial" w:hAnsi="Arial" w:cs="Arial"/>
          <w:color w:val="000000"/>
        </w:rPr>
        <w:t xml:space="preserve">Waitangi Tribunal, </w:t>
      </w:r>
      <w:r w:rsidRPr="005B45E1">
        <w:rPr>
          <w:rFonts w:ascii="Arial" w:hAnsi="Arial" w:cs="Arial"/>
          <w:i/>
          <w:iCs/>
          <w:color w:val="000000"/>
        </w:rPr>
        <w:t>The Napier Hospital and Health Services Report</w:t>
      </w:r>
      <w:r w:rsidRPr="005B45E1">
        <w:rPr>
          <w:rFonts w:ascii="Arial" w:hAnsi="Arial" w:cs="Arial"/>
          <w:color w:val="000000"/>
        </w:rPr>
        <w:t>, p 362</w:t>
      </w:r>
    </w:p>
  </w:footnote>
  <w:footnote w:id="17">
    <w:p w14:paraId="48423974" w14:textId="07C9AF60" w:rsidR="00EB0F76" w:rsidRPr="00133E71" w:rsidRDefault="00EB0F76" w:rsidP="008A5E87">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Pr>
          <w:rFonts w:ascii="Arial" w:hAnsi="Arial" w:cs="Arial"/>
          <w:color w:val="000000"/>
        </w:rPr>
        <w:t>Ibid</w:t>
      </w:r>
      <w:r w:rsidRPr="00133E71">
        <w:rPr>
          <w:rFonts w:ascii="Arial" w:hAnsi="Arial" w:cs="Arial"/>
          <w:color w:val="000000"/>
        </w:rPr>
        <w:t xml:space="preserve">, pp 48, 62 ; Waitangi Tribunal, </w:t>
      </w:r>
      <w:r w:rsidRPr="00133E71">
        <w:rPr>
          <w:rFonts w:ascii="Arial" w:hAnsi="Arial" w:cs="Arial"/>
          <w:i/>
          <w:iCs/>
          <w:color w:val="000000"/>
        </w:rPr>
        <w:t xml:space="preserve">Report on the Crown’s Foreshore and Seabed Policy </w:t>
      </w:r>
      <w:r w:rsidRPr="00133E71">
        <w:rPr>
          <w:rFonts w:ascii="Arial" w:hAnsi="Arial" w:cs="Arial"/>
          <w:color w:val="000000"/>
        </w:rPr>
        <w:t xml:space="preserve">(Wellington: Legislation Direct, 2004), p 133; Waitangi Tribunal, </w:t>
      </w:r>
      <w:r w:rsidRPr="00133E71">
        <w:rPr>
          <w:rFonts w:ascii="Arial" w:hAnsi="Arial" w:cs="Arial"/>
          <w:i/>
          <w:iCs/>
          <w:color w:val="000000"/>
        </w:rPr>
        <w:t xml:space="preserve">The Mohaka ki Ahuriri Report </w:t>
      </w:r>
      <w:r w:rsidRPr="00133E71">
        <w:rPr>
          <w:rFonts w:ascii="Arial" w:hAnsi="Arial" w:cs="Arial"/>
          <w:color w:val="000000"/>
        </w:rPr>
        <w:t xml:space="preserve">(Wellington: Legislation Direct, 2004), p 27; Waitangi Tribunal, </w:t>
      </w:r>
      <w:r w:rsidRPr="00133E71">
        <w:rPr>
          <w:rFonts w:ascii="Arial" w:hAnsi="Arial" w:cs="Arial"/>
          <w:i/>
          <w:iCs/>
          <w:color w:val="000000"/>
        </w:rPr>
        <w:t xml:space="preserve">The Te Arawa Mandate Report </w:t>
      </w:r>
      <w:r w:rsidRPr="00133E71">
        <w:rPr>
          <w:rFonts w:ascii="Arial" w:hAnsi="Arial" w:cs="Arial"/>
          <w:color w:val="000000"/>
        </w:rPr>
        <w:t xml:space="preserve">(Wellington : Legislation Direct, 2004), p 94; Waitangi Tribunal, </w:t>
      </w:r>
      <w:r w:rsidRPr="00133E71">
        <w:rPr>
          <w:rFonts w:ascii="Arial" w:hAnsi="Arial" w:cs="Arial"/>
          <w:i/>
          <w:iCs/>
          <w:color w:val="000000"/>
        </w:rPr>
        <w:t xml:space="preserve">The Offender Assessment Policies Report </w:t>
      </w:r>
      <w:r w:rsidRPr="00133E71">
        <w:rPr>
          <w:rFonts w:ascii="Arial" w:hAnsi="Arial" w:cs="Arial"/>
          <w:color w:val="000000"/>
        </w:rPr>
        <w:t xml:space="preserve">(Wellington : Legislation Direct, 2005), p 13; Waitangi Tribunal, </w:t>
      </w:r>
      <w:r w:rsidRPr="00133E71">
        <w:rPr>
          <w:rFonts w:ascii="Arial" w:hAnsi="Arial" w:cs="Arial"/>
          <w:i/>
          <w:iCs/>
          <w:color w:val="000000"/>
        </w:rPr>
        <w:t>He Maunga Rongo</w:t>
      </w:r>
      <w:r w:rsidRPr="00133E71">
        <w:rPr>
          <w:rFonts w:ascii="Arial" w:hAnsi="Arial" w:cs="Arial"/>
          <w:color w:val="000000"/>
        </w:rPr>
        <w:t>, vol 2, p 428.</w:t>
      </w:r>
    </w:p>
  </w:footnote>
  <w:footnote w:id="18">
    <w:p w14:paraId="5AFCDBEF" w14:textId="2A45332E" w:rsidR="00EB0F76" w:rsidRPr="00B70BAD" w:rsidRDefault="00EB0F76" w:rsidP="008A5E87">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B70BAD">
        <w:rPr>
          <w:rFonts w:ascii="Arial" w:hAnsi="Arial" w:cs="Arial"/>
        </w:rPr>
        <w:tab/>
      </w:r>
      <w:r w:rsidRPr="00B70BAD">
        <w:rPr>
          <w:rFonts w:ascii="Arial" w:hAnsi="Arial" w:cs="Arial"/>
          <w:color w:val="000000"/>
        </w:rPr>
        <w:t xml:space="preserve">Waitangi Tribunal </w:t>
      </w:r>
      <w:r w:rsidRPr="00B70BAD">
        <w:rPr>
          <w:rFonts w:ascii="Arial" w:hAnsi="Arial" w:cs="Arial"/>
          <w:i/>
          <w:iCs/>
          <w:color w:val="000000"/>
        </w:rPr>
        <w:t>Hauora: Report on Stage One</w:t>
      </w:r>
      <w:r w:rsidRPr="00B70BAD">
        <w:rPr>
          <w:rFonts w:ascii="Arial" w:hAnsi="Arial" w:cs="Arial"/>
          <w:color w:val="000000"/>
        </w:rPr>
        <w:t>, p 34.</w:t>
      </w:r>
    </w:p>
  </w:footnote>
  <w:footnote w:id="19">
    <w:p w14:paraId="3E53BB03" w14:textId="34554D59" w:rsidR="00EB0F76" w:rsidRPr="00B70BAD" w:rsidRDefault="00EB0F76" w:rsidP="008A5E87">
      <w:pPr>
        <w:pStyle w:val="FootnoteText"/>
        <w:ind w:left="567" w:hanging="567"/>
        <w:rPr>
          <w:rFonts w:ascii="Arial" w:hAnsi="Arial" w:cs="Arial"/>
          <w:lang w:val="en-NZ"/>
        </w:rPr>
      </w:pPr>
      <w:r w:rsidRPr="00B70BAD">
        <w:rPr>
          <w:rStyle w:val="FootnoteReference"/>
          <w:rFonts w:ascii="Arial" w:hAnsi="Arial" w:cs="Arial"/>
        </w:rPr>
        <w:footnoteRef/>
      </w:r>
      <w:r w:rsidRPr="00B70BAD">
        <w:rPr>
          <w:rFonts w:ascii="Arial" w:hAnsi="Arial" w:cs="Arial"/>
        </w:rPr>
        <w:t xml:space="preserve"> </w:t>
      </w:r>
      <w:r w:rsidRPr="00B70BAD">
        <w:rPr>
          <w:rFonts w:ascii="Arial" w:hAnsi="Arial" w:cs="Arial"/>
        </w:rPr>
        <w:tab/>
        <w:t>Ibid, a</w:t>
      </w:r>
      <w:r w:rsidRPr="00B70BAD">
        <w:rPr>
          <w:rFonts w:ascii="Arial" w:hAnsi="Arial" w:cs="Arial"/>
          <w:lang w:val="en-NZ"/>
        </w:rPr>
        <w:t>t p 34.</w:t>
      </w:r>
    </w:p>
  </w:footnote>
  <w:footnote w:id="20">
    <w:p w14:paraId="06373A0C" w14:textId="009471A7" w:rsidR="003D5D8A" w:rsidRPr="00B70BAD" w:rsidRDefault="003D5D8A" w:rsidP="00B70BAD">
      <w:pPr>
        <w:pStyle w:val="FootnoteText"/>
        <w:ind w:left="567" w:hanging="567"/>
        <w:rPr>
          <w:rFonts w:ascii="Arial" w:hAnsi="Arial" w:cs="Arial"/>
          <w:lang w:val="en-NZ"/>
        </w:rPr>
      </w:pPr>
      <w:r w:rsidRPr="00B70BAD">
        <w:rPr>
          <w:rStyle w:val="FootnoteReference"/>
          <w:rFonts w:ascii="Arial" w:hAnsi="Arial" w:cs="Arial"/>
        </w:rPr>
        <w:footnoteRef/>
      </w:r>
      <w:r w:rsidRPr="00B70BAD">
        <w:rPr>
          <w:rFonts w:ascii="Arial" w:hAnsi="Arial" w:cs="Arial"/>
        </w:rPr>
        <w:t xml:space="preserve"> </w:t>
      </w:r>
      <w:r w:rsidRPr="00B70BAD">
        <w:rPr>
          <w:rFonts w:ascii="Arial" w:hAnsi="Arial" w:cs="Arial"/>
          <w:lang w:val="en-NZ"/>
        </w:rPr>
        <w:tab/>
        <w:t xml:space="preserve">Waitangi Tribunal </w:t>
      </w:r>
      <w:r w:rsidRPr="00B70BAD">
        <w:rPr>
          <w:rFonts w:ascii="Arial" w:hAnsi="Arial" w:cs="Arial"/>
          <w:i/>
          <w:iCs/>
          <w:lang w:val="en-NZ"/>
        </w:rPr>
        <w:t xml:space="preserve">Te Tau Ihu o Te Waka a Maui Report on Northern South Island Claims </w:t>
      </w:r>
      <w:r w:rsidRPr="00B70BAD">
        <w:rPr>
          <w:rFonts w:ascii="Arial" w:hAnsi="Arial" w:cs="Arial"/>
          <w:lang w:val="en-NZ"/>
        </w:rPr>
        <w:t>(Wellington: Legislation Direct, 2008)</w:t>
      </w:r>
      <w:r w:rsidRPr="00B70BAD">
        <w:rPr>
          <w:rFonts w:ascii="Arial" w:hAnsi="Arial" w:cs="Arial"/>
          <w:i/>
          <w:iCs/>
          <w:lang w:val="en-NZ"/>
        </w:rPr>
        <w:t xml:space="preserve">, </w:t>
      </w:r>
      <w:r w:rsidRPr="00B70BAD">
        <w:rPr>
          <w:rFonts w:ascii="Arial" w:hAnsi="Arial" w:cs="Arial"/>
          <w:lang w:val="en-NZ"/>
        </w:rPr>
        <w:t>p 4.</w:t>
      </w:r>
    </w:p>
  </w:footnote>
  <w:footnote w:id="21">
    <w:p w14:paraId="23E7C659" w14:textId="59CC06EC" w:rsidR="00EB0F76" w:rsidRPr="00133E71" w:rsidRDefault="00EB0F76" w:rsidP="0050103A">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003D5D8A" w:rsidRPr="00133E71">
        <w:rPr>
          <w:rFonts w:ascii="Arial" w:hAnsi="Arial" w:cs="Arial"/>
          <w:color w:val="000000"/>
        </w:rPr>
        <w:t xml:space="preserve">Waitangi Tribunal </w:t>
      </w:r>
      <w:r w:rsidR="003D5D8A" w:rsidRPr="00133E71">
        <w:rPr>
          <w:rFonts w:ascii="Arial" w:hAnsi="Arial" w:cs="Arial"/>
          <w:i/>
          <w:iCs/>
          <w:color w:val="000000"/>
        </w:rPr>
        <w:t>Hauora: Report on Stage One</w:t>
      </w:r>
      <w:r w:rsidR="003D5D8A" w:rsidRPr="00133E71">
        <w:rPr>
          <w:rFonts w:ascii="Arial" w:hAnsi="Arial" w:cs="Arial"/>
          <w:color w:val="000000"/>
        </w:rPr>
        <w:t>, p 34.</w:t>
      </w:r>
    </w:p>
  </w:footnote>
  <w:footnote w:id="22">
    <w:p w14:paraId="48ABEB38" w14:textId="37FCD76F" w:rsidR="00EB0F76" w:rsidRPr="00133E71" w:rsidRDefault="00EB0F76" w:rsidP="000742D3">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Waitangi Tribunal </w:t>
      </w:r>
      <w:r w:rsidRPr="00133E71">
        <w:rPr>
          <w:rFonts w:ascii="Arial" w:hAnsi="Arial" w:cs="Arial"/>
          <w:i/>
          <w:iCs/>
        </w:rPr>
        <w:t xml:space="preserve">Foreshore and Seabed </w:t>
      </w:r>
      <w:r>
        <w:rPr>
          <w:rFonts w:ascii="Arial" w:hAnsi="Arial" w:cs="Arial"/>
        </w:rPr>
        <w:t>(</w:t>
      </w:r>
      <w:r w:rsidRPr="00133E71">
        <w:rPr>
          <w:rFonts w:ascii="Arial" w:hAnsi="Arial" w:cs="Arial"/>
        </w:rPr>
        <w:t>Wellington</w:t>
      </w:r>
      <w:r>
        <w:rPr>
          <w:rFonts w:ascii="Arial" w:hAnsi="Arial" w:cs="Arial"/>
        </w:rPr>
        <w:t>: Legislation Direct, 2004</w:t>
      </w:r>
      <w:r w:rsidRPr="00133E71">
        <w:rPr>
          <w:rFonts w:ascii="Arial" w:hAnsi="Arial" w:cs="Arial"/>
        </w:rPr>
        <w:t xml:space="preserve">) p 134; see also </w:t>
      </w:r>
      <w:r w:rsidRPr="00133E71">
        <w:rPr>
          <w:rFonts w:ascii="Arial" w:hAnsi="Arial" w:cs="Arial"/>
          <w:color w:val="292526"/>
        </w:rPr>
        <w:t xml:space="preserve">Waitangi Tribunal, </w:t>
      </w:r>
      <w:r w:rsidRPr="00133E71">
        <w:rPr>
          <w:rFonts w:ascii="Arial" w:hAnsi="Arial" w:cs="Arial"/>
          <w:i/>
          <w:iCs/>
          <w:color w:val="292526"/>
        </w:rPr>
        <w:t>Tarawera Forest Report</w:t>
      </w:r>
      <w:r w:rsidRPr="00133E71">
        <w:rPr>
          <w:rFonts w:ascii="Arial" w:hAnsi="Arial" w:cs="Arial"/>
          <w:color w:val="292526"/>
        </w:rPr>
        <w:t>, p</w:t>
      </w:r>
      <w:r>
        <w:rPr>
          <w:rFonts w:ascii="Arial" w:hAnsi="Arial" w:cs="Arial"/>
          <w:color w:val="292526"/>
        </w:rPr>
        <w:t xml:space="preserve"> </w:t>
      </w:r>
      <w:r w:rsidRPr="00133E71">
        <w:rPr>
          <w:rFonts w:ascii="Arial" w:hAnsi="Arial" w:cs="Arial"/>
          <w:color w:val="292526"/>
        </w:rPr>
        <w:t>29</w:t>
      </w:r>
      <w:r>
        <w:rPr>
          <w:rFonts w:ascii="Arial" w:hAnsi="Arial" w:cs="Arial"/>
          <w:color w:val="292526"/>
        </w:rPr>
        <w:t>.</w:t>
      </w:r>
    </w:p>
  </w:footnote>
  <w:footnote w:id="23">
    <w:p w14:paraId="729CBC61" w14:textId="062A368C" w:rsidR="00EB0F76" w:rsidRPr="00133E71" w:rsidRDefault="00EB0F76" w:rsidP="000742D3">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Waitangi Tribunal </w:t>
      </w:r>
      <w:r w:rsidRPr="00133E71">
        <w:rPr>
          <w:rFonts w:ascii="Arial" w:hAnsi="Arial" w:cs="Arial"/>
          <w:i/>
          <w:iCs/>
        </w:rPr>
        <w:t xml:space="preserve">Foreshore and Seabed </w:t>
      </w:r>
      <w:r w:rsidRPr="00133E71">
        <w:rPr>
          <w:rFonts w:ascii="Arial" w:hAnsi="Arial" w:cs="Arial"/>
        </w:rPr>
        <w:t>at p 134-5.</w:t>
      </w:r>
    </w:p>
  </w:footnote>
  <w:footnote w:id="24">
    <w:p w14:paraId="6CB837D4" w14:textId="2C57FDD7" w:rsidR="00EB0F76" w:rsidRPr="00133E71" w:rsidRDefault="00EB0F76" w:rsidP="000D733C">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Ibid at p 135.</w:t>
      </w:r>
    </w:p>
  </w:footnote>
  <w:footnote w:id="25">
    <w:p w14:paraId="2289DBA6" w14:textId="337698CA" w:rsidR="00EB0F76" w:rsidRPr="00133E71" w:rsidRDefault="00EB0F76" w:rsidP="000742D3">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At p 136. </w:t>
      </w:r>
    </w:p>
  </w:footnote>
  <w:footnote w:id="26">
    <w:p w14:paraId="099521B6" w14:textId="351DC26A" w:rsidR="00401173" w:rsidRPr="00401173" w:rsidRDefault="00401173" w:rsidP="002216AA">
      <w:pPr>
        <w:pStyle w:val="FootnoteText"/>
        <w:ind w:left="567" w:hanging="567"/>
        <w:rPr>
          <w:lang w:val="en-NZ"/>
        </w:rPr>
      </w:pPr>
      <w:r>
        <w:rPr>
          <w:rStyle w:val="FootnoteReference"/>
        </w:rPr>
        <w:footnoteRef/>
      </w:r>
      <w:r>
        <w:t xml:space="preserve"> </w:t>
      </w:r>
      <w:r w:rsidR="002216AA">
        <w:rPr>
          <w:lang w:val="en-NZ"/>
        </w:rPr>
        <w:tab/>
      </w:r>
      <w:r w:rsidR="00DD6C11">
        <w:rPr>
          <w:rFonts w:ascii="Arial" w:hAnsi="Arial" w:cs="Arial"/>
          <w:lang w:val="en-NZ"/>
        </w:rPr>
        <w:t>Immediate examples</w:t>
      </w:r>
      <w:r w:rsidR="002216AA">
        <w:rPr>
          <w:rFonts w:ascii="Arial" w:hAnsi="Arial" w:cs="Arial"/>
          <w:lang w:val="en-NZ"/>
        </w:rPr>
        <w:t xml:space="preserve"> (not exhaustive)</w:t>
      </w:r>
      <w:r w:rsidR="00DD6C11">
        <w:rPr>
          <w:rFonts w:ascii="Arial" w:hAnsi="Arial" w:cs="Arial"/>
          <w:lang w:val="en-NZ"/>
        </w:rPr>
        <w:t xml:space="preserve"> include</w:t>
      </w:r>
      <w:r w:rsidR="002216AA">
        <w:rPr>
          <w:rFonts w:ascii="Arial" w:hAnsi="Arial" w:cs="Arial"/>
          <w:lang w:val="en-NZ"/>
        </w:rPr>
        <w:t>:</w:t>
      </w:r>
      <w:r w:rsidRPr="00992A13">
        <w:rPr>
          <w:rFonts w:ascii="Arial" w:hAnsi="Arial" w:cs="Arial"/>
          <w:lang w:val="en-NZ"/>
        </w:rPr>
        <w:t xml:space="preserve"> </w:t>
      </w:r>
      <w:r w:rsidR="00E24C65" w:rsidRPr="000C58A3">
        <w:rPr>
          <w:rFonts w:ascii="Arial" w:hAnsi="Arial" w:cs="Arial"/>
          <w:i/>
          <w:iCs/>
          <w:lang w:val="en-NZ"/>
        </w:rPr>
        <w:t>Takamore v Clarke</w:t>
      </w:r>
      <w:r w:rsidR="00E24C65" w:rsidRPr="00992A13">
        <w:rPr>
          <w:rFonts w:ascii="Arial" w:hAnsi="Arial" w:cs="Arial"/>
          <w:lang w:val="en-NZ"/>
        </w:rPr>
        <w:t xml:space="preserve"> [2012] NZSC 116</w:t>
      </w:r>
      <w:r w:rsidR="00A62E4A">
        <w:rPr>
          <w:rFonts w:ascii="Arial" w:hAnsi="Arial" w:cs="Arial"/>
          <w:lang w:val="en-NZ"/>
        </w:rPr>
        <w:t xml:space="preserve"> where </w:t>
      </w:r>
      <w:r w:rsidR="00A62E4A" w:rsidRPr="00A62E4A">
        <w:rPr>
          <w:rFonts w:ascii="Arial" w:hAnsi="Arial" w:cs="Arial"/>
          <w:lang w:val="en-NZ"/>
        </w:rPr>
        <w:t>Māori burial customs were seen as being a relevant consideration to be weighed among others in considering how to exercise th</w:t>
      </w:r>
      <w:r w:rsidR="002E5163">
        <w:rPr>
          <w:rFonts w:ascii="Arial" w:hAnsi="Arial" w:cs="Arial"/>
          <w:lang w:val="en-NZ"/>
        </w:rPr>
        <w:t>e</w:t>
      </w:r>
      <w:r w:rsidR="00A62E4A" w:rsidRPr="00A62E4A">
        <w:rPr>
          <w:rFonts w:ascii="Arial" w:hAnsi="Arial" w:cs="Arial"/>
          <w:lang w:val="en-NZ"/>
        </w:rPr>
        <w:t xml:space="preserve"> right</w:t>
      </w:r>
      <w:r w:rsidR="002E5163">
        <w:rPr>
          <w:rFonts w:ascii="Arial" w:hAnsi="Arial" w:cs="Arial"/>
          <w:lang w:val="en-NZ"/>
        </w:rPr>
        <w:t>s</w:t>
      </w:r>
      <w:r w:rsidR="00EF1FC1">
        <w:rPr>
          <w:rFonts w:ascii="Arial" w:hAnsi="Arial" w:cs="Arial"/>
          <w:lang w:val="en-NZ"/>
        </w:rPr>
        <w:t xml:space="preserve"> held by the personal representative</w:t>
      </w:r>
      <w:r w:rsidR="0002673C">
        <w:rPr>
          <w:rFonts w:ascii="Arial" w:hAnsi="Arial" w:cs="Arial"/>
          <w:lang w:val="en-NZ"/>
        </w:rPr>
        <w:t xml:space="preserve"> of the deceased</w:t>
      </w:r>
      <w:r w:rsidR="00E24C65" w:rsidRPr="00992A13">
        <w:rPr>
          <w:rFonts w:ascii="Arial" w:hAnsi="Arial" w:cs="Arial"/>
          <w:lang w:val="en-NZ"/>
        </w:rPr>
        <w:t xml:space="preserve">; </w:t>
      </w:r>
      <w:r w:rsidR="00DB6C65">
        <w:rPr>
          <w:rFonts w:ascii="Arial" w:hAnsi="Arial" w:cs="Arial"/>
          <w:lang w:val="en-NZ"/>
        </w:rPr>
        <w:t>the Marine and Co</w:t>
      </w:r>
      <w:r w:rsidR="002216AA">
        <w:rPr>
          <w:rFonts w:ascii="Arial" w:hAnsi="Arial" w:cs="Arial"/>
          <w:lang w:val="en-NZ"/>
        </w:rPr>
        <w:t>a</w:t>
      </w:r>
      <w:r w:rsidR="00DB6C65">
        <w:rPr>
          <w:rFonts w:ascii="Arial" w:hAnsi="Arial" w:cs="Arial"/>
          <w:lang w:val="en-NZ"/>
        </w:rPr>
        <w:t xml:space="preserve">stal Area (Takutai Moana) Act 2011 which established a process for </w:t>
      </w:r>
      <w:r w:rsidR="001F4407">
        <w:rPr>
          <w:rFonts w:ascii="Arial" w:hAnsi="Arial" w:cs="Arial"/>
          <w:lang w:val="en-NZ"/>
        </w:rPr>
        <w:t xml:space="preserve">applications seeking acknowledgement of </w:t>
      </w:r>
      <w:r w:rsidR="00AA65AB">
        <w:rPr>
          <w:rFonts w:ascii="Arial" w:hAnsi="Arial" w:cs="Arial"/>
          <w:lang w:val="en-NZ"/>
        </w:rPr>
        <w:t xml:space="preserve">customary </w:t>
      </w:r>
      <w:r w:rsidR="001F4407">
        <w:rPr>
          <w:rFonts w:ascii="Arial" w:hAnsi="Arial" w:cs="Arial"/>
          <w:lang w:val="en-NZ"/>
        </w:rPr>
        <w:t>rights</w:t>
      </w:r>
      <w:r w:rsidR="00AA65AB">
        <w:rPr>
          <w:rFonts w:ascii="Arial" w:hAnsi="Arial" w:cs="Arial"/>
          <w:lang w:val="en-NZ"/>
        </w:rPr>
        <w:t xml:space="preserve">; </w:t>
      </w:r>
      <w:r w:rsidR="00992A13" w:rsidRPr="000C58A3">
        <w:rPr>
          <w:rFonts w:ascii="Arial" w:hAnsi="Arial" w:cs="Arial"/>
          <w:i/>
          <w:iCs/>
          <w:lang w:val="en-NZ"/>
        </w:rPr>
        <w:t xml:space="preserve">Te Weehi </w:t>
      </w:r>
      <w:r w:rsidR="000C58A3" w:rsidRPr="000C58A3">
        <w:rPr>
          <w:rFonts w:ascii="Arial" w:hAnsi="Arial" w:cs="Arial"/>
          <w:i/>
          <w:iCs/>
          <w:lang w:val="en-NZ"/>
        </w:rPr>
        <w:t>v Regional Fisheries Officer</w:t>
      </w:r>
      <w:r w:rsidR="00992A13" w:rsidRPr="000C58A3">
        <w:rPr>
          <w:rFonts w:ascii="Arial" w:hAnsi="Arial" w:cs="Arial"/>
          <w:i/>
          <w:iCs/>
          <w:lang w:val="en-NZ"/>
        </w:rPr>
        <w:t xml:space="preserve"> </w:t>
      </w:r>
      <w:r w:rsidR="00992A13" w:rsidRPr="00992A13">
        <w:rPr>
          <w:rFonts w:ascii="Arial" w:hAnsi="Arial" w:cs="Arial"/>
          <w:lang w:val="en-NZ"/>
        </w:rPr>
        <w:t>[1986] 1 NZLR 680</w:t>
      </w:r>
      <w:r w:rsidR="00EB6D95">
        <w:rPr>
          <w:rFonts w:ascii="Arial" w:hAnsi="Arial" w:cs="Arial"/>
          <w:lang w:val="en-NZ"/>
        </w:rPr>
        <w:t xml:space="preserve"> relating to </w:t>
      </w:r>
      <w:r w:rsidR="0060688B">
        <w:rPr>
          <w:rFonts w:ascii="Arial" w:hAnsi="Arial" w:cs="Arial"/>
          <w:lang w:val="en-NZ"/>
        </w:rPr>
        <w:t>customary fishing rights</w:t>
      </w:r>
      <w:r w:rsidR="00DD6C11">
        <w:rPr>
          <w:rFonts w:ascii="Arial" w:hAnsi="Arial" w:cs="Arial"/>
          <w:lang w:val="en-NZ"/>
        </w:rPr>
        <w:t>;</w:t>
      </w:r>
      <w:r w:rsidR="002216AA">
        <w:rPr>
          <w:rFonts w:ascii="Arial" w:hAnsi="Arial" w:cs="Arial"/>
          <w:lang w:val="en-NZ"/>
        </w:rPr>
        <w:t xml:space="preserve"> and</w:t>
      </w:r>
      <w:r w:rsidR="00992A13" w:rsidRPr="00992A13">
        <w:rPr>
          <w:rFonts w:ascii="Arial" w:hAnsi="Arial" w:cs="Arial"/>
          <w:lang w:val="en-NZ"/>
        </w:rPr>
        <w:t xml:space="preserve"> </w:t>
      </w:r>
      <w:r w:rsidR="00F42F23" w:rsidRPr="000C58A3">
        <w:rPr>
          <w:rFonts w:ascii="Arial" w:hAnsi="Arial" w:cs="Arial"/>
          <w:i/>
          <w:iCs/>
          <w:lang w:val="en-NZ"/>
        </w:rPr>
        <w:t>Huakina Development Trust v Waikato Valley Authority</w:t>
      </w:r>
      <w:r w:rsidR="00F42F23" w:rsidRPr="00992A13">
        <w:rPr>
          <w:rFonts w:ascii="Arial" w:hAnsi="Arial" w:cs="Arial"/>
          <w:lang w:val="en-NZ"/>
        </w:rPr>
        <w:t xml:space="preserve"> [1987] 2 NZLR 188</w:t>
      </w:r>
      <w:r w:rsidR="0060688B">
        <w:rPr>
          <w:rFonts w:ascii="Arial" w:hAnsi="Arial" w:cs="Arial"/>
          <w:lang w:val="en-NZ"/>
        </w:rPr>
        <w:t xml:space="preserve"> relating to </w:t>
      </w:r>
      <w:r w:rsidR="00C94E89">
        <w:rPr>
          <w:rFonts w:ascii="Arial" w:hAnsi="Arial" w:cs="Arial"/>
          <w:lang w:val="en-NZ"/>
        </w:rPr>
        <w:t xml:space="preserve">recognition of </w:t>
      </w:r>
      <w:r w:rsidR="00753DE1">
        <w:rPr>
          <w:rFonts w:ascii="Arial" w:hAnsi="Arial" w:cs="Arial"/>
          <w:lang w:val="en-NZ"/>
        </w:rPr>
        <w:t>spiritual and cultural values</w:t>
      </w:r>
      <w:r w:rsidR="00C94E89">
        <w:rPr>
          <w:rFonts w:ascii="Arial" w:hAnsi="Arial" w:cs="Arial"/>
          <w:lang w:val="en-NZ"/>
        </w:rPr>
        <w:t xml:space="preserve"> for decision-making</w:t>
      </w:r>
      <w:r w:rsidR="00DD6C11">
        <w:rPr>
          <w:rFonts w:ascii="Arial" w:hAnsi="Arial" w:cs="Arial"/>
          <w:lang w:val="en-NZ"/>
        </w:rPr>
        <w:t xml:space="preserve">. </w:t>
      </w:r>
    </w:p>
  </w:footnote>
  <w:footnote w:id="27">
    <w:p w14:paraId="49B985AE" w14:textId="367D27D4" w:rsidR="00EB0F76" w:rsidRPr="00133E71" w:rsidRDefault="00EB0F76" w:rsidP="0050103A">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Cabinet Office, </w:t>
      </w:r>
      <w:r w:rsidRPr="00133E71">
        <w:rPr>
          <w:rFonts w:ascii="Arial" w:hAnsi="Arial" w:cs="Arial"/>
          <w:i/>
          <w:iCs/>
          <w:lang w:val="en-NZ"/>
        </w:rPr>
        <w:t>CO (19) 5:</w:t>
      </w:r>
      <w:r w:rsidRPr="00133E71">
        <w:rPr>
          <w:rFonts w:ascii="Arial" w:hAnsi="Arial" w:cs="Arial"/>
          <w:lang w:val="en-NZ"/>
        </w:rPr>
        <w:t xml:space="preserve"> </w:t>
      </w:r>
      <w:r w:rsidRPr="00133E71">
        <w:rPr>
          <w:rFonts w:ascii="Arial" w:hAnsi="Arial" w:cs="Arial"/>
          <w:i/>
          <w:iCs/>
          <w:lang w:val="en-NZ"/>
        </w:rPr>
        <w:t xml:space="preserve">Te Tiriti o Waitangi/Treaty of Waitangi Guidance, </w:t>
      </w:r>
      <w:r w:rsidRPr="00133E71">
        <w:rPr>
          <w:rFonts w:ascii="Arial" w:hAnsi="Arial" w:cs="Arial"/>
          <w:lang w:val="en-NZ"/>
        </w:rPr>
        <w:t xml:space="preserve">(22 October 2019). </w:t>
      </w:r>
    </w:p>
  </w:footnote>
  <w:footnote w:id="28">
    <w:p w14:paraId="2025A172" w14:textId="71728ED2" w:rsidR="00EB0F76" w:rsidRPr="00133E71" w:rsidRDefault="00EB0F76" w:rsidP="001D2025">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Cabinet Office, </w:t>
      </w:r>
      <w:r w:rsidRPr="00133E71">
        <w:rPr>
          <w:rFonts w:ascii="Arial" w:hAnsi="Arial" w:cs="Arial"/>
          <w:i/>
          <w:iCs/>
          <w:lang w:val="en-NZ"/>
        </w:rPr>
        <w:t>Te Tiriti o Waitangi</w:t>
      </w:r>
      <w:r w:rsidRPr="00133E71">
        <w:rPr>
          <w:rFonts w:ascii="Arial" w:hAnsi="Arial" w:cs="Arial"/>
          <w:lang w:val="en-NZ"/>
        </w:rPr>
        <w:t xml:space="preserve"> at [10]-[13].</w:t>
      </w:r>
    </w:p>
  </w:footnote>
  <w:footnote w:id="29">
    <w:p w14:paraId="41252553" w14:textId="7AF98A19" w:rsidR="00EB0F76" w:rsidRPr="00133E71" w:rsidRDefault="00EB0F76" w:rsidP="001D2025">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A Committee established in 2015 (following on from the former Legislation Advisory Committee 1986-2015) with members consisting of senior public service officials and external advisors appointed by the Attorney-General who have expert policy and legislative skills with backgrounds in law, economics, policy and academia. The Committee’s guidelines were first produced in 2001, re-written in 2014 and the current edition was published in 2018. It is expected at a minimum that the Guidelines are explicitly addressed where either policy decisions are sought and/or when draft legislation is submitted to Cabinet Legislation Committee. </w:t>
      </w:r>
    </w:p>
  </w:footnote>
  <w:footnote w:id="30">
    <w:p w14:paraId="7317F1F3" w14:textId="1AABFE44" w:rsidR="00EB0F76" w:rsidRPr="00133E71" w:rsidRDefault="00EB0F76" w:rsidP="001D2025">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Legislation Design and Advisory Committee, </w:t>
      </w:r>
      <w:r w:rsidRPr="00133E71">
        <w:rPr>
          <w:rFonts w:ascii="Arial" w:hAnsi="Arial" w:cs="Arial"/>
          <w:i/>
          <w:iCs/>
          <w:lang w:val="en-NZ"/>
        </w:rPr>
        <w:t xml:space="preserve">Legislation Guidelines, </w:t>
      </w:r>
      <w:r w:rsidRPr="00133E71">
        <w:rPr>
          <w:rFonts w:ascii="Arial" w:hAnsi="Arial" w:cs="Arial"/>
          <w:lang w:val="en-NZ"/>
        </w:rPr>
        <w:t>(2018 ed.) at [4.2] p 24.</w:t>
      </w:r>
    </w:p>
  </w:footnote>
  <w:footnote w:id="31">
    <w:p w14:paraId="69F2AE36" w14:textId="4839B763" w:rsidR="00EB0F76" w:rsidRPr="00133E71" w:rsidRDefault="00EB0F76" w:rsidP="001D2025">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Ibid at [5.1]-[5.7] pp 28-33.</w:t>
      </w:r>
    </w:p>
  </w:footnote>
  <w:footnote w:id="32">
    <w:p w14:paraId="31FBBE2D" w14:textId="74F3BC7F" w:rsidR="00EB0F76" w:rsidRPr="00133E71" w:rsidRDefault="00EB0F76" w:rsidP="009F5C1E">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Te Puni Kokiri, </w:t>
      </w:r>
      <w:r w:rsidRPr="00133E71">
        <w:rPr>
          <w:rFonts w:ascii="Arial" w:hAnsi="Arial" w:cs="Arial"/>
          <w:i/>
          <w:iCs/>
        </w:rPr>
        <w:t>Te Hanga Whanaungatanga mō te Hononga Hāngai ki te Māori Building Relationships for Effective Engagement with Māori</w:t>
      </w:r>
      <w:r w:rsidRPr="00133E71">
        <w:rPr>
          <w:rFonts w:ascii="Arial" w:hAnsi="Arial" w:cs="Arial"/>
        </w:rPr>
        <w:t>, (October 2006).</w:t>
      </w:r>
    </w:p>
  </w:footnote>
  <w:footnote w:id="33">
    <w:p w14:paraId="23EFDE31" w14:textId="7D75D529" w:rsidR="00EB0F76" w:rsidRPr="00133E71" w:rsidRDefault="00EB0F76">
      <w:pPr>
        <w:pStyle w:val="FootnoteText"/>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Cabinet Office, </w:t>
      </w:r>
      <w:r w:rsidRPr="00133E71">
        <w:rPr>
          <w:rFonts w:ascii="Arial" w:hAnsi="Arial" w:cs="Arial"/>
          <w:i/>
          <w:iCs/>
          <w:lang w:val="en-NZ"/>
        </w:rPr>
        <w:t>Te Tiriti o Waitangi</w:t>
      </w:r>
      <w:r w:rsidRPr="00133E71">
        <w:rPr>
          <w:rFonts w:ascii="Arial" w:hAnsi="Arial" w:cs="Arial"/>
          <w:lang w:val="en-NZ"/>
        </w:rPr>
        <w:t xml:space="preserve"> at [23]-[45].</w:t>
      </w:r>
    </w:p>
  </w:footnote>
  <w:footnote w:id="34">
    <w:p w14:paraId="37E86B08" w14:textId="75719781" w:rsidR="00EB0F76" w:rsidRPr="00133E71" w:rsidRDefault="00EB0F76">
      <w:pPr>
        <w:pStyle w:val="FootnoteText"/>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Ibid at [46]-[65]</w:t>
      </w:r>
    </w:p>
  </w:footnote>
  <w:footnote w:id="35">
    <w:p w14:paraId="4068658E" w14:textId="21CE2BDF" w:rsidR="00EB0F76" w:rsidRPr="00133E71" w:rsidRDefault="00EB0F76">
      <w:pPr>
        <w:pStyle w:val="FootnoteText"/>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Ibid at [66]-[76].</w:t>
      </w:r>
    </w:p>
  </w:footnote>
  <w:footnote w:id="36">
    <w:p w14:paraId="46942B71" w14:textId="77777777" w:rsidR="00EB0F76" w:rsidRPr="00133E71" w:rsidRDefault="00EB0F76" w:rsidP="00B9263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These related to primary health care, delivery of services to the disabled, reducing causes of ill-health caused by smoking and HIV/AIDS, alleged disparity in the quality of health service, the accommodation of mātauranga Māori and rongoā Māori within mainstream provision of health services and disparities in health outcomes for Māori and non-Māori.</w:t>
      </w:r>
    </w:p>
  </w:footnote>
  <w:footnote w:id="37">
    <w:p w14:paraId="71C3E67B" w14:textId="77777777" w:rsidR="00EB0F76" w:rsidRPr="00133E71" w:rsidRDefault="00EB0F76" w:rsidP="0052361E">
      <w:pPr>
        <w:pStyle w:val="FootnoteText"/>
        <w:ind w:left="567" w:hanging="567"/>
        <w:rPr>
          <w:rFonts w:ascii="Arial" w:hAnsi="Arial" w:cs="Arial"/>
          <w:lang w:val="mi-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i/>
          <w:iCs/>
          <w:lang w:val="mi-NZ"/>
        </w:rPr>
        <w:t>Hauora</w:t>
      </w:r>
      <w:r w:rsidRPr="00133E71">
        <w:rPr>
          <w:rFonts w:ascii="Arial" w:hAnsi="Arial" w:cs="Arial"/>
          <w:lang w:val="mi-NZ"/>
        </w:rPr>
        <w:t xml:space="preserve">, at p 1, referring to the overall Health Services and Outcomes Kaupapa Inquiry, WAI 2575. </w:t>
      </w:r>
    </w:p>
  </w:footnote>
  <w:footnote w:id="38">
    <w:p w14:paraId="0209CA72" w14:textId="6A1FAFB4" w:rsidR="00EB0F76" w:rsidRPr="00133E71" w:rsidRDefault="00EB0F76" w:rsidP="0052361E">
      <w:pPr>
        <w:pStyle w:val="FootnoteText"/>
        <w:ind w:left="567" w:hanging="567"/>
        <w:rPr>
          <w:rFonts w:ascii="Arial" w:hAnsi="Arial" w:cs="Arial"/>
          <w:lang w:val="mi-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mi-NZ"/>
        </w:rPr>
        <w:t xml:space="preserve">At p 6. This marae held particular significance as it was the first time the Waitangi Tribunal had sat at that marae, and the hearings occurred on the centenary of the Spanish flu pandemic, the health crisis which had prompted Te Puea Hērangi to nominate Māhinārangi Whare at Tūrangawaewae Marae as the site for a Māori-run hospital (although this vision was never realised). </w:t>
      </w:r>
    </w:p>
  </w:footnote>
  <w:footnote w:id="39">
    <w:p w14:paraId="4CA83BD3" w14:textId="77777777" w:rsidR="00EB0F76" w:rsidRPr="00133E71" w:rsidRDefault="00EB0F76" w:rsidP="0052361E">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Ibid, </w:t>
      </w:r>
      <w:r w:rsidRPr="00133E71">
        <w:rPr>
          <w:rFonts w:ascii="Arial" w:hAnsi="Arial" w:cs="Arial"/>
          <w:lang w:val="en-NZ"/>
        </w:rPr>
        <w:t>Executive Summary, p XV</w:t>
      </w:r>
    </w:p>
  </w:footnote>
  <w:footnote w:id="40">
    <w:p w14:paraId="6D0BE146" w14:textId="77777777" w:rsidR="00EB0F76" w:rsidRPr="00133E71" w:rsidRDefault="00EB0F76" w:rsidP="0052361E">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At p 80, see [3.1]-[3.5] of </w:t>
      </w:r>
      <w:r w:rsidRPr="00133E71">
        <w:rPr>
          <w:rFonts w:ascii="Arial" w:hAnsi="Arial" w:cs="Arial"/>
          <w:i/>
          <w:iCs/>
          <w:lang w:val="en-NZ"/>
        </w:rPr>
        <w:t xml:space="preserve">Hauora </w:t>
      </w:r>
      <w:r w:rsidRPr="00133E71">
        <w:rPr>
          <w:rFonts w:ascii="Arial" w:hAnsi="Arial" w:cs="Arial"/>
          <w:lang w:val="en-NZ"/>
        </w:rPr>
        <w:t xml:space="preserve">for an extrapolated discussion of Treaty principles. </w:t>
      </w:r>
    </w:p>
  </w:footnote>
  <w:footnote w:id="41">
    <w:p w14:paraId="7BCE202E" w14:textId="77777777" w:rsidR="00EB0F76" w:rsidRPr="00133E71" w:rsidRDefault="00EB0F76" w:rsidP="0052361E">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color w:val="000000"/>
        </w:rPr>
        <w:t>Enabling whānau, hapū, iwi and Māori to exercise control over their own health and wellbeing, as well as the direction and shape of their own institutions, com</w:t>
      </w:r>
      <w:r w:rsidRPr="00133E71">
        <w:rPr>
          <w:rFonts w:ascii="Arial" w:hAnsi="Arial" w:cs="Arial"/>
          <w:color w:val="000000"/>
        </w:rPr>
        <w:softHyphen/>
        <w:t>munities and development as a people.</w:t>
      </w:r>
    </w:p>
  </w:footnote>
  <w:footnote w:id="42">
    <w:p w14:paraId="2DB57854" w14:textId="77777777" w:rsidR="00EB0F76" w:rsidRPr="00133E71" w:rsidRDefault="00EB0F76" w:rsidP="0052361E">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At 81. </w:t>
      </w:r>
    </w:p>
  </w:footnote>
  <w:footnote w:id="43">
    <w:p w14:paraId="25D5EC7C" w14:textId="77777777" w:rsidR="00EB0F76" w:rsidRPr="00133E71" w:rsidRDefault="00EB0F76" w:rsidP="0052361E">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At </w:t>
      </w:r>
      <w:r w:rsidRPr="00133E71">
        <w:rPr>
          <w:rFonts w:ascii="Arial" w:hAnsi="Arial" w:cs="Arial"/>
          <w:lang w:val="en-NZ"/>
        </w:rPr>
        <w:t xml:space="preserve">82. </w:t>
      </w:r>
    </w:p>
  </w:footnote>
  <w:footnote w:id="44">
    <w:p w14:paraId="1ADE0CD8" w14:textId="77777777" w:rsidR="00EB0F76" w:rsidRPr="00133E71" w:rsidRDefault="00EB0F76" w:rsidP="0052361E">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At 83. </w:t>
      </w:r>
    </w:p>
  </w:footnote>
  <w:footnote w:id="45">
    <w:p w14:paraId="69C63C7C" w14:textId="78C96DF6" w:rsidR="00EB0F76" w:rsidRPr="00133E71" w:rsidRDefault="00EB0F76" w:rsidP="000D733C">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lang w:val="en-NZ"/>
        </w:rPr>
        <w:tab/>
        <w:t>At 89 and 90, regarding Māori primary health organisations and providers difficulties in partnering with district health boards. For a more comprehensive briefing paper on historical claims processes, refer to the Royal Commission’s briefing paper titled “Government Policy Between 2000 and 2017”</w:t>
      </w:r>
    </w:p>
  </w:footnote>
  <w:footnote w:id="46">
    <w:p w14:paraId="65983ED5" w14:textId="77777777" w:rsidR="008F7A90" w:rsidRPr="00133E71" w:rsidRDefault="008F7A90" w:rsidP="008F7A90">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The Māori Per</w:t>
      </w:r>
      <w:r w:rsidRPr="00133E71">
        <w:rPr>
          <w:rFonts w:ascii="Arial" w:hAnsi="Arial" w:cs="Arial"/>
          <w:lang w:val="en-NZ"/>
        </w:rPr>
        <w:t xml:space="preserve">spective Advisory Committee, </w:t>
      </w:r>
      <w:r w:rsidRPr="00133E71">
        <w:rPr>
          <w:rFonts w:ascii="Arial" w:hAnsi="Arial" w:cs="Arial"/>
          <w:i/>
          <w:iCs/>
          <w:lang w:val="en-NZ"/>
        </w:rPr>
        <w:t xml:space="preserve">Puao-Te-Ata-Tu </w:t>
      </w:r>
      <w:r w:rsidRPr="00133E71">
        <w:rPr>
          <w:rFonts w:ascii="Arial" w:hAnsi="Arial" w:cs="Arial"/>
          <w:lang w:val="en-NZ"/>
        </w:rPr>
        <w:t xml:space="preserve">(Wellington, September 1988) </w:t>
      </w:r>
    </w:p>
  </w:footnote>
  <w:footnote w:id="47">
    <w:p w14:paraId="74EA5881" w14:textId="557A9CA7" w:rsidR="00EB0F76" w:rsidRPr="00133E71" w:rsidRDefault="00EB0F76" w:rsidP="00704CD5">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Ibid, at p 5.</w:t>
      </w:r>
    </w:p>
  </w:footnote>
  <w:footnote w:id="48">
    <w:p w14:paraId="724AA51B" w14:textId="695BED8C" w:rsidR="00EB0F76" w:rsidRPr="00133E71" w:rsidRDefault="00EB0F76" w:rsidP="00704CD5">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“Puao Te Ata Tu” at p 17, [18]. </w:t>
      </w:r>
    </w:p>
  </w:footnote>
  <w:footnote w:id="49">
    <w:p w14:paraId="62E78C03" w14:textId="0EDD4FCB" w:rsidR="00EB0F76" w:rsidRPr="00133E71" w:rsidRDefault="00EB0F76" w:rsidP="00154D74">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Ibid, at [19].</w:t>
      </w:r>
    </w:p>
  </w:footnote>
  <w:footnote w:id="50">
    <w:p w14:paraId="0E7E0F3C" w14:textId="6F5A90DD" w:rsidR="00EB0F76" w:rsidRPr="00133E71" w:rsidRDefault="00EB0F76" w:rsidP="00704CD5">
      <w:pPr>
        <w:pStyle w:val="FootnoteText"/>
        <w:ind w:left="567" w:hanging="567"/>
        <w:rPr>
          <w:rFonts w:ascii="Arial" w:hAnsi="Arial" w:cs="Arial"/>
          <w:lang w:val="mi-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mi-NZ"/>
        </w:rPr>
        <w:t xml:space="preserve">Ibid, Appendix IV at p 91. </w:t>
      </w:r>
    </w:p>
  </w:footnote>
  <w:footnote w:id="51">
    <w:p w14:paraId="1586C7E0" w14:textId="1B79B57B" w:rsidR="00EB0F76" w:rsidRPr="00133E71" w:rsidRDefault="00EB0F76" w:rsidP="00704CD5">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At [20].</w:t>
      </w:r>
    </w:p>
  </w:footnote>
  <w:footnote w:id="52">
    <w:p w14:paraId="1161DCDE" w14:textId="38D019D8"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At [23]. </w:t>
      </w:r>
    </w:p>
  </w:footnote>
  <w:footnote w:id="53">
    <w:p w14:paraId="05FAFB98" w14:textId="0FCCA484"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Ibid at p 9. </w:t>
      </w:r>
    </w:p>
  </w:footnote>
  <w:footnote w:id="54">
    <w:p w14:paraId="5A2C6DDC" w14:textId="4350DA1F"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Ibid.</w:t>
      </w:r>
    </w:p>
  </w:footnote>
  <w:footnote w:id="55">
    <w:p w14:paraId="7370E995" w14:textId="739C03F6"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Ibid at p 9-10. </w:t>
      </w:r>
    </w:p>
  </w:footnote>
  <w:footnote w:id="56">
    <w:p w14:paraId="1C19B706" w14:textId="3A874CD9"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Ibid at 10. </w:t>
      </w:r>
    </w:p>
  </w:footnote>
  <w:footnote w:id="57">
    <w:p w14:paraId="3F3C333C" w14:textId="647B2E81"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At 11.</w:t>
      </w:r>
    </w:p>
  </w:footnote>
  <w:footnote w:id="58">
    <w:p w14:paraId="3C82CA64" w14:textId="64B3F376"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Residential care facilities. </w:t>
      </w:r>
    </w:p>
  </w:footnote>
  <w:footnote w:id="59">
    <w:p w14:paraId="61880F1E" w14:textId="668FE595"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At </w:t>
      </w:r>
      <w:r w:rsidRPr="00133E71">
        <w:rPr>
          <w:rFonts w:ascii="Arial" w:hAnsi="Arial" w:cs="Arial"/>
          <w:lang w:val="en-NZ"/>
        </w:rPr>
        <w:t xml:space="preserve">11-12. </w:t>
      </w:r>
    </w:p>
  </w:footnote>
  <w:footnote w:id="60">
    <w:p w14:paraId="451784C5" w14:textId="39677EAA"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At </w:t>
      </w:r>
      <w:r w:rsidRPr="00133E71">
        <w:rPr>
          <w:rFonts w:ascii="Arial" w:hAnsi="Arial" w:cs="Arial"/>
          <w:lang w:val="en-NZ"/>
        </w:rPr>
        <w:t>12.</w:t>
      </w:r>
    </w:p>
  </w:footnote>
  <w:footnote w:id="61">
    <w:p w14:paraId="15E25F0C" w14:textId="52730B0F" w:rsidR="00EB0F76" w:rsidRPr="00133E71" w:rsidRDefault="00EB0F76" w:rsidP="00603EE1">
      <w:pPr>
        <w:pStyle w:val="FootnoteText"/>
        <w:ind w:left="567" w:hanging="567"/>
        <w:rPr>
          <w:rFonts w:ascii="Arial" w:hAnsi="Arial" w:cs="Arial"/>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Ibid.</w:t>
      </w:r>
    </w:p>
  </w:footnote>
  <w:footnote w:id="62">
    <w:p w14:paraId="65EFF0D3" w14:textId="227C2D58"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At p 12-13.</w:t>
      </w:r>
    </w:p>
  </w:footnote>
  <w:footnote w:id="63">
    <w:p w14:paraId="346BACF7" w14:textId="3476547E"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en-NZ"/>
        </w:rPr>
        <w:t xml:space="preserve">Ibid. </w:t>
      </w:r>
    </w:p>
  </w:footnote>
  <w:footnote w:id="64">
    <w:p w14:paraId="0331F280" w14:textId="3A942E3B"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t xml:space="preserve">At </w:t>
      </w:r>
      <w:r w:rsidRPr="00133E71">
        <w:rPr>
          <w:rFonts w:ascii="Arial" w:hAnsi="Arial" w:cs="Arial"/>
          <w:lang w:val="en-NZ"/>
        </w:rPr>
        <w:t>13</w:t>
      </w:r>
    </w:p>
  </w:footnote>
  <w:footnote w:id="65">
    <w:p w14:paraId="5FED2838" w14:textId="61BE59B5" w:rsidR="00EB0F76" w:rsidRPr="00133E71" w:rsidRDefault="00EB0F76" w:rsidP="00603EE1">
      <w:pPr>
        <w:pStyle w:val="FootnoteText"/>
        <w:ind w:left="567" w:hanging="567"/>
        <w:rPr>
          <w:rFonts w:ascii="Arial" w:hAnsi="Arial" w:cs="Arial"/>
          <w:lang w:val="mi-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mi-NZ"/>
        </w:rPr>
        <w:t>At 14.</w:t>
      </w:r>
    </w:p>
  </w:footnote>
  <w:footnote w:id="66">
    <w:p w14:paraId="226D19E0" w14:textId="5E847182" w:rsidR="00EB0F76" w:rsidRPr="00133E71" w:rsidRDefault="00EB0F76" w:rsidP="00603EE1">
      <w:pPr>
        <w:pStyle w:val="FootnoteText"/>
        <w:ind w:left="567" w:hanging="567"/>
        <w:rPr>
          <w:rFonts w:ascii="Arial" w:hAnsi="Arial" w:cs="Arial"/>
          <w:lang w:val="mi-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mi-NZ"/>
        </w:rPr>
        <w:t xml:space="preserve">At 14. </w:t>
      </w:r>
    </w:p>
  </w:footnote>
  <w:footnote w:id="67">
    <w:p w14:paraId="79A8F9D3" w14:textId="41D088DB" w:rsidR="00EB0F76" w:rsidRPr="00133E71" w:rsidRDefault="00EB0F76" w:rsidP="00603EE1">
      <w:pPr>
        <w:pStyle w:val="FootnoteText"/>
        <w:ind w:left="567" w:hanging="567"/>
        <w:rPr>
          <w:rFonts w:ascii="Arial" w:hAnsi="Arial" w:cs="Arial"/>
          <w:lang w:val="en-NZ"/>
        </w:rPr>
      </w:pPr>
      <w:r w:rsidRPr="00133E71">
        <w:rPr>
          <w:rStyle w:val="FootnoteReference"/>
          <w:rFonts w:ascii="Arial" w:hAnsi="Arial" w:cs="Arial"/>
        </w:rPr>
        <w:footnoteRef/>
      </w:r>
      <w:r w:rsidRPr="00133E71">
        <w:rPr>
          <w:rFonts w:ascii="Arial" w:hAnsi="Arial" w:cs="Arial"/>
        </w:rPr>
        <w:t xml:space="preserve"> </w:t>
      </w:r>
      <w:r w:rsidRPr="00133E71">
        <w:rPr>
          <w:rFonts w:ascii="Arial" w:hAnsi="Arial" w:cs="Arial"/>
        </w:rPr>
        <w:tab/>
      </w:r>
      <w:r w:rsidRPr="00133E71">
        <w:rPr>
          <w:rFonts w:ascii="Arial" w:hAnsi="Arial" w:cs="Arial"/>
          <w:lang w:val="mi-NZ"/>
        </w:rPr>
        <w:t>At Epilogue, p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10A4"/>
    <w:multiLevelType w:val="hybridMultilevel"/>
    <w:tmpl w:val="40508900"/>
    <w:lvl w:ilvl="0" w:tplc="14090019">
      <w:start w:val="1"/>
      <w:numFmt w:val="lowerLetter"/>
      <w:lvlText w:val="%1."/>
      <w:lvlJc w:val="left"/>
      <w:pPr>
        <w:ind w:left="1647" w:hanging="360"/>
      </w:pPr>
    </w:lvl>
    <w:lvl w:ilvl="1" w:tplc="14090019">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 w15:restartNumberingAfterBreak="0">
    <w:nsid w:val="175C5CF7"/>
    <w:multiLevelType w:val="hybridMultilevel"/>
    <w:tmpl w:val="8C82F0DA"/>
    <w:lvl w:ilvl="0" w:tplc="1409000B">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 w15:restartNumberingAfterBreak="0">
    <w:nsid w:val="17930E99"/>
    <w:multiLevelType w:val="hybridMultilevel"/>
    <w:tmpl w:val="5C1CFCD8"/>
    <w:lvl w:ilvl="0" w:tplc="3CEC8964">
      <w:start w:val="1"/>
      <w:numFmt w:val="lowerRoman"/>
      <w:lvlText w:val="%1."/>
      <w:lvlJc w:val="left"/>
      <w:pPr>
        <w:ind w:left="2160" w:hanging="360"/>
      </w:pPr>
      <w:rPr>
        <w:rFonts w:hint="default"/>
        <w:b w:val="0"/>
        <w:bCs w:val="0"/>
        <w:i w:val="0"/>
        <w:iCs w:val="0"/>
      </w:rPr>
    </w:lvl>
    <w:lvl w:ilvl="1" w:tplc="14090019">
      <w:start w:val="1"/>
      <w:numFmt w:val="lowerLetter"/>
      <w:lvlText w:val="%2."/>
      <w:lvlJc w:val="left"/>
      <w:pPr>
        <w:ind w:left="2880" w:hanging="360"/>
      </w:pPr>
    </w:lvl>
    <w:lvl w:ilvl="2" w:tplc="1409001B">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 w15:restartNumberingAfterBreak="0">
    <w:nsid w:val="1B7D4A28"/>
    <w:multiLevelType w:val="hybridMultilevel"/>
    <w:tmpl w:val="77FA4CC4"/>
    <w:lvl w:ilvl="0" w:tplc="6D9A381C">
      <w:start w:val="1"/>
      <w:numFmt w:val="lowerLetter"/>
      <w:lvlText w:val="%1."/>
      <w:lvlJc w:val="left"/>
      <w:pPr>
        <w:ind w:left="1494" w:hanging="360"/>
      </w:pPr>
      <w:rPr>
        <w:rFonts w:ascii="Arial" w:eastAsiaTheme="minorHAnsi" w:hAnsi="Arial" w:cs="Arial"/>
        <w:b w:val="0"/>
        <w:i w:val="0"/>
        <w:iCs w:val="0"/>
      </w:rPr>
    </w:lvl>
    <w:lvl w:ilvl="1" w:tplc="14090003">
      <w:start w:val="1"/>
      <w:numFmt w:val="bullet"/>
      <w:lvlText w:val="o"/>
      <w:lvlJc w:val="left"/>
      <w:pPr>
        <w:ind w:left="2214" w:hanging="360"/>
      </w:pPr>
      <w:rPr>
        <w:rFonts w:ascii="Courier New" w:hAnsi="Courier New" w:cs="Courier New" w:hint="default"/>
      </w:rPr>
    </w:lvl>
    <w:lvl w:ilvl="2" w:tplc="14090005">
      <w:start w:val="1"/>
      <w:numFmt w:val="bullet"/>
      <w:lvlText w:val=""/>
      <w:lvlJc w:val="left"/>
      <w:pPr>
        <w:ind w:left="2934" w:hanging="360"/>
      </w:pPr>
      <w:rPr>
        <w:rFonts w:ascii="Wingdings" w:hAnsi="Wingdings" w:hint="default"/>
      </w:rPr>
    </w:lvl>
    <w:lvl w:ilvl="3" w:tplc="1409000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4" w15:restartNumberingAfterBreak="0">
    <w:nsid w:val="20F922DE"/>
    <w:multiLevelType w:val="multilevel"/>
    <w:tmpl w:val="E6A268EA"/>
    <w:styleLink w:val="Style1"/>
    <w:lvl w:ilvl="0">
      <w:start w:val="28"/>
      <w:numFmt w:val="decimal"/>
      <w:lvlText w:val="%1."/>
      <w:lvlJc w:val="left"/>
      <w:pPr>
        <w:ind w:left="360" w:hanging="360"/>
      </w:pPr>
      <w:rPr>
        <w:rFonts w:hint="default"/>
        <w:b w:val="0"/>
      </w:rPr>
    </w:lvl>
    <w:lvl w:ilvl="1">
      <w:start w:val="28"/>
      <w:numFmt w:val="decimal"/>
      <w:lvlText w:val="%2."/>
      <w:lvlJc w:val="left"/>
      <w:pPr>
        <w:ind w:left="792" w:hanging="432"/>
      </w:pPr>
      <w:rPr>
        <w:rFonts w:hint="default"/>
      </w:rPr>
    </w:lvl>
    <w:lvl w:ilvl="2">
      <w:start w:val="27"/>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482A5E"/>
    <w:multiLevelType w:val="hybridMultilevel"/>
    <w:tmpl w:val="ACFCD76A"/>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761EE094">
      <w:start w:val="9"/>
      <w:numFmt w:val="decimal"/>
      <w:lvlText w:val="%4"/>
      <w:lvlJc w:val="left"/>
      <w:pPr>
        <w:ind w:left="3600" w:hanging="360"/>
      </w:pPr>
      <w:rPr>
        <w:rFonts w:hint="default"/>
      </w:r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2484125A"/>
    <w:multiLevelType w:val="hybridMultilevel"/>
    <w:tmpl w:val="6C88FF36"/>
    <w:lvl w:ilvl="0" w:tplc="1E3E8858">
      <w:start w:val="1"/>
      <w:numFmt w:val="decimal"/>
      <w:lvlText w:val="%1."/>
      <w:lvlJc w:val="left"/>
      <w:pPr>
        <w:ind w:left="927" w:hanging="360"/>
      </w:pPr>
      <w:rPr>
        <w:rFonts w:hint="default"/>
      </w:r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5CC2082C">
      <w:start w:val="1"/>
      <w:numFmt w:val="upperLetter"/>
      <w:lvlText w:val="%5."/>
      <w:lvlJc w:val="left"/>
      <w:pPr>
        <w:ind w:left="3807" w:hanging="360"/>
      </w:pPr>
      <w:rPr>
        <w:rFonts w:hint="default"/>
      </w:r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278B4B97"/>
    <w:multiLevelType w:val="multilevel"/>
    <w:tmpl w:val="1409001F"/>
    <w:styleLink w:val="Style2"/>
    <w:lvl w:ilvl="0">
      <w:start w:val="28"/>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731E2F"/>
    <w:multiLevelType w:val="hybridMultilevel"/>
    <w:tmpl w:val="13006376"/>
    <w:lvl w:ilvl="0" w:tplc="2AFC939A">
      <w:start w:val="1"/>
      <w:numFmt w:val="upperLetter"/>
      <w:lvlText w:val="%1."/>
      <w:lvlJc w:val="left"/>
      <w:pPr>
        <w:ind w:left="927" w:hanging="360"/>
      </w:pPr>
      <w:rPr>
        <w:rFonts w:hint="default"/>
        <w:color w:val="auto"/>
      </w:rPr>
    </w:lvl>
    <w:lvl w:ilvl="1" w:tplc="14090019" w:tentative="1">
      <w:start w:val="1"/>
      <w:numFmt w:val="lowerLetter"/>
      <w:lvlText w:val="%2."/>
      <w:lvlJc w:val="left"/>
      <w:pPr>
        <w:ind w:left="1647" w:hanging="360"/>
      </w:p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 w15:restartNumberingAfterBreak="0">
    <w:nsid w:val="48B167FC"/>
    <w:multiLevelType w:val="hybridMultilevel"/>
    <w:tmpl w:val="16A63CB8"/>
    <w:lvl w:ilvl="0" w:tplc="1409000B">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497D0CE2"/>
    <w:multiLevelType w:val="hybridMultilevel"/>
    <w:tmpl w:val="40508900"/>
    <w:lvl w:ilvl="0" w:tplc="14090019">
      <w:start w:val="1"/>
      <w:numFmt w:val="lowerLetter"/>
      <w:lvlText w:val="%1."/>
      <w:lvlJc w:val="left"/>
      <w:pPr>
        <w:ind w:left="1647" w:hanging="360"/>
      </w:pPr>
    </w:lvl>
    <w:lvl w:ilvl="1" w:tplc="14090019">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1" w15:restartNumberingAfterBreak="0">
    <w:nsid w:val="5F7F64F7"/>
    <w:multiLevelType w:val="hybridMultilevel"/>
    <w:tmpl w:val="6096D3B0"/>
    <w:lvl w:ilvl="0" w:tplc="1409000B">
      <w:start w:val="1"/>
      <w:numFmt w:val="bullet"/>
      <w:lvlText w:val=""/>
      <w:lvlJc w:val="left"/>
      <w:pPr>
        <w:ind w:left="2430" w:hanging="360"/>
      </w:pPr>
      <w:rPr>
        <w:rFonts w:ascii="Wingdings" w:hAnsi="Wingdings" w:hint="default"/>
      </w:rPr>
    </w:lvl>
    <w:lvl w:ilvl="1" w:tplc="14090003" w:tentative="1">
      <w:start w:val="1"/>
      <w:numFmt w:val="bullet"/>
      <w:lvlText w:val="o"/>
      <w:lvlJc w:val="left"/>
      <w:pPr>
        <w:ind w:left="3150" w:hanging="360"/>
      </w:pPr>
      <w:rPr>
        <w:rFonts w:ascii="Courier New" w:hAnsi="Courier New" w:cs="Courier New" w:hint="default"/>
      </w:rPr>
    </w:lvl>
    <w:lvl w:ilvl="2" w:tplc="14090005" w:tentative="1">
      <w:start w:val="1"/>
      <w:numFmt w:val="bullet"/>
      <w:lvlText w:val=""/>
      <w:lvlJc w:val="left"/>
      <w:pPr>
        <w:ind w:left="3870" w:hanging="360"/>
      </w:pPr>
      <w:rPr>
        <w:rFonts w:ascii="Wingdings" w:hAnsi="Wingdings" w:hint="default"/>
      </w:rPr>
    </w:lvl>
    <w:lvl w:ilvl="3" w:tplc="14090001" w:tentative="1">
      <w:start w:val="1"/>
      <w:numFmt w:val="bullet"/>
      <w:lvlText w:val=""/>
      <w:lvlJc w:val="left"/>
      <w:pPr>
        <w:ind w:left="4590" w:hanging="360"/>
      </w:pPr>
      <w:rPr>
        <w:rFonts w:ascii="Symbol" w:hAnsi="Symbol" w:hint="default"/>
      </w:rPr>
    </w:lvl>
    <w:lvl w:ilvl="4" w:tplc="14090003" w:tentative="1">
      <w:start w:val="1"/>
      <w:numFmt w:val="bullet"/>
      <w:lvlText w:val="o"/>
      <w:lvlJc w:val="left"/>
      <w:pPr>
        <w:ind w:left="5310" w:hanging="360"/>
      </w:pPr>
      <w:rPr>
        <w:rFonts w:ascii="Courier New" w:hAnsi="Courier New" w:cs="Courier New" w:hint="default"/>
      </w:rPr>
    </w:lvl>
    <w:lvl w:ilvl="5" w:tplc="14090005" w:tentative="1">
      <w:start w:val="1"/>
      <w:numFmt w:val="bullet"/>
      <w:lvlText w:val=""/>
      <w:lvlJc w:val="left"/>
      <w:pPr>
        <w:ind w:left="6030" w:hanging="360"/>
      </w:pPr>
      <w:rPr>
        <w:rFonts w:ascii="Wingdings" w:hAnsi="Wingdings" w:hint="default"/>
      </w:rPr>
    </w:lvl>
    <w:lvl w:ilvl="6" w:tplc="14090001" w:tentative="1">
      <w:start w:val="1"/>
      <w:numFmt w:val="bullet"/>
      <w:lvlText w:val=""/>
      <w:lvlJc w:val="left"/>
      <w:pPr>
        <w:ind w:left="6750" w:hanging="360"/>
      </w:pPr>
      <w:rPr>
        <w:rFonts w:ascii="Symbol" w:hAnsi="Symbol" w:hint="default"/>
      </w:rPr>
    </w:lvl>
    <w:lvl w:ilvl="7" w:tplc="14090003" w:tentative="1">
      <w:start w:val="1"/>
      <w:numFmt w:val="bullet"/>
      <w:lvlText w:val="o"/>
      <w:lvlJc w:val="left"/>
      <w:pPr>
        <w:ind w:left="7470" w:hanging="360"/>
      </w:pPr>
      <w:rPr>
        <w:rFonts w:ascii="Courier New" w:hAnsi="Courier New" w:cs="Courier New" w:hint="default"/>
      </w:rPr>
    </w:lvl>
    <w:lvl w:ilvl="8" w:tplc="14090005" w:tentative="1">
      <w:start w:val="1"/>
      <w:numFmt w:val="bullet"/>
      <w:lvlText w:val=""/>
      <w:lvlJc w:val="left"/>
      <w:pPr>
        <w:ind w:left="8190" w:hanging="360"/>
      </w:pPr>
      <w:rPr>
        <w:rFonts w:ascii="Wingdings" w:hAnsi="Wingdings" w:hint="default"/>
      </w:rPr>
    </w:lvl>
  </w:abstractNum>
  <w:abstractNum w:abstractNumId="12" w15:restartNumberingAfterBreak="0">
    <w:nsid w:val="6447363E"/>
    <w:multiLevelType w:val="hybridMultilevel"/>
    <w:tmpl w:val="52DAE9D6"/>
    <w:lvl w:ilvl="0" w:tplc="3CEC8964">
      <w:start w:val="1"/>
      <w:numFmt w:val="lowerRoman"/>
      <w:lvlText w:val="%1."/>
      <w:lvlJc w:val="left"/>
      <w:pPr>
        <w:ind w:left="2061" w:hanging="360"/>
      </w:pPr>
      <w:rPr>
        <w:rFonts w:hint="default"/>
        <w:b w:val="0"/>
        <w:bCs w:val="0"/>
        <w:i w:val="0"/>
        <w:iCs w:val="0"/>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1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4" w15:restartNumberingAfterBreak="0">
    <w:nsid w:val="6F4574E0"/>
    <w:multiLevelType w:val="multilevel"/>
    <w:tmpl w:val="1646C1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7D0E6B"/>
    <w:multiLevelType w:val="hybridMultilevel"/>
    <w:tmpl w:val="AD8A2A20"/>
    <w:lvl w:ilvl="0" w:tplc="1409000B">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abstractNumId w:val="6"/>
  </w:num>
  <w:num w:numId="2">
    <w:abstractNumId w:val="13"/>
  </w:num>
  <w:num w:numId="3">
    <w:abstractNumId w:val="4"/>
  </w:num>
  <w:num w:numId="4">
    <w:abstractNumId w:val="7"/>
  </w:num>
  <w:num w:numId="5">
    <w:abstractNumId w:val="2"/>
  </w:num>
  <w:num w:numId="6">
    <w:abstractNumId w:val="5"/>
  </w:num>
  <w:num w:numId="7">
    <w:abstractNumId w:val="12"/>
  </w:num>
  <w:num w:numId="8">
    <w:abstractNumId w:val="3"/>
  </w:num>
  <w:num w:numId="9">
    <w:abstractNumId w:val="11"/>
  </w:num>
  <w:num w:numId="10">
    <w:abstractNumId w:val="9"/>
  </w:num>
  <w:num w:numId="11">
    <w:abstractNumId w:val="15"/>
  </w:num>
  <w:num w:numId="12">
    <w:abstractNumId w:val="1"/>
  </w:num>
  <w:num w:numId="13">
    <w:abstractNumId w:val="8"/>
  </w:num>
  <w:num w:numId="14">
    <w:abstractNumId w:val="0"/>
  </w:num>
  <w:num w:numId="15">
    <w:abstractNumId w:val="10"/>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54"/>
    <w:rsid w:val="00002611"/>
    <w:rsid w:val="00003747"/>
    <w:rsid w:val="0001009B"/>
    <w:rsid w:val="000106DE"/>
    <w:rsid w:val="00010D54"/>
    <w:rsid w:val="00012133"/>
    <w:rsid w:val="00015D79"/>
    <w:rsid w:val="000172ED"/>
    <w:rsid w:val="000201BF"/>
    <w:rsid w:val="00021EA7"/>
    <w:rsid w:val="000235D5"/>
    <w:rsid w:val="000265BE"/>
    <w:rsid w:val="0002673C"/>
    <w:rsid w:val="0003073E"/>
    <w:rsid w:val="0003281A"/>
    <w:rsid w:val="0003304D"/>
    <w:rsid w:val="00033492"/>
    <w:rsid w:val="00036CA0"/>
    <w:rsid w:val="000435E8"/>
    <w:rsid w:val="0005037D"/>
    <w:rsid w:val="00051000"/>
    <w:rsid w:val="00051192"/>
    <w:rsid w:val="00051884"/>
    <w:rsid w:val="00054465"/>
    <w:rsid w:val="00066F38"/>
    <w:rsid w:val="0007076C"/>
    <w:rsid w:val="00073B7A"/>
    <w:rsid w:val="000741E1"/>
    <w:rsid w:val="000742D3"/>
    <w:rsid w:val="00076970"/>
    <w:rsid w:val="00082F91"/>
    <w:rsid w:val="000856F2"/>
    <w:rsid w:val="00090CBB"/>
    <w:rsid w:val="000960A3"/>
    <w:rsid w:val="000A0E05"/>
    <w:rsid w:val="000A1578"/>
    <w:rsid w:val="000A182B"/>
    <w:rsid w:val="000A2EAA"/>
    <w:rsid w:val="000A371E"/>
    <w:rsid w:val="000A54F1"/>
    <w:rsid w:val="000B118F"/>
    <w:rsid w:val="000B243E"/>
    <w:rsid w:val="000B68CF"/>
    <w:rsid w:val="000B7E5F"/>
    <w:rsid w:val="000C02B5"/>
    <w:rsid w:val="000C3907"/>
    <w:rsid w:val="000C58A3"/>
    <w:rsid w:val="000C7B18"/>
    <w:rsid w:val="000D0C38"/>
    <w:rsid w:val="000D733C"/>
    <w:rsid w:val="000D78CD"/>
    <w:rsid w:val="000E0090"/>
    <w:rsid w:val="000E06A3"/>
    <w:rsid w:val="000F1074"/>
    <w:rsid w:val="000F1A18"/>
    <w:rsid w:val="000F2994"/>
    <w:rsid w:val="000F56F8"/>
    <w:rsid w:val="001038F6"/>
    <w:rsid w:val="00105498"/>
    <w:rsid w:val="00105F31"/>
    <w:rsid w:val="00111611"/>
    <w:rsid w:val="00113919"/>
    <w:rsid w:val="001146BD"/>
    <w:rsid w:val="00121EE7"/>
    <w:rsid w:val="001229FA"/>
    <w:rsid w:val="001309BA"/>
    <w:rsid w:val="00130ECE"/>
    <w:rsid w:val="00130F40"/>
    <w:rsid w:val="00131F1E"/>
    <w:rsid w:val="00132136"/>
    <w:rsid w:val="0013300F"/>
    <w:rsid w:val="0013317A"/>
    <w:rsid w:val="0013342C"/>
    <w:rsid w:val="001336F9"/>
    <w:rsid w:val="00133E71"/>
    <w:rsid w:val="00135D4F"/>
    <w:rsid w:val="00136B09"/>
    <w:rsid w:val="00137059"/>
    <w:rsid w:val="001376D3"/>
    <w:rsid w:val="001435D6"/>
    <w:rsid w:val="001439B8"/>
    <w:rsid w:val="00154D74"/>
    <w:rsid w:val="00154F11"/>
    <w:rsid w:val="00155263"/>
    <w:rsid w:val="0015700E"/>
    <w:rsid w:val="00162781"/>
    <w:rsid w:val="001630B7"/>
    <w:rsid w:val="001636E4"/>
    <w:rsid w:val="00164A34"/>
    <w:rsid w:val="00165F95"/>
    <w:rsid w:val="001676D5"/>
    <w:rsid w:val="00170702"/>
    <w:rsid w:val="001720B8"/>
    <w:rsid w:val="00172C10"/>
    <w:rsid w:val="00173A4F"/>
    <w:rsid w:val="00174927"/>
    <w:rsid w:val="00182F72"/>
    <w:rsid w:val="0018683D"/>
    <w:rsid w:val="0019079B"/>
    <w:rsid w:val="0019272C"/>
    <w:rsid w:val="001936F8"/>
    <w:rsid w:val="00193A73"/>
    <w:rsid w:val="001A091C"/>
    <w:rsid w:val="001A316B"/>
    <w:rsid w:val="001A33AD"/>
    <w:rsid w:val="001B259E"/>
    <w:rsid w:val="001B2F98"/>
    <w:rsid w:val="001B3588"/>
    <w:rsid w:val="001B4C9E"/>
    <w:rsid w:val="001B5A34"/>
    <w:rsid w:val="001C2920"/>
    <w:rsid w:val="001C443F"/>
    <w:rsid w:val="001C6426"/>
    <w:rsid w:val="001D15F0"/>
    <w:rsid w:val="001D2025"/>
    <w:rsid w:val="001D627F"/>
    <w:rsid w:val="001D68F5"/>
    <w:rsid w:val="001D74F5"/>
    <w:rsid w:val="001D7545"/>
    <w:rsid w:val="001D7581"/>
    <w:rsid w:val="001D7C65"/>
    <w:rsid w:val="001E1CFC"/>
    <w:rsid w:val="001F0BAC"/>
    <w:rsid w:val="001F1454"/>
    <w:rsid w:val="001F3CCE"/>
    <w:rsid w:val="001F4407"/>
    <w:rsid w:val="001F57AE"/>
    <w:rsid w:val="001F667D"/>
    <w:rsid w:val="0020050B"/>
    <w:rsid w:val="002019DA"/>
    <w:rsid w:val="0021043E"/>
    <w:rsid w:val="00211291"/>
    <w:rsid w:val="002125E0"/>
    <w:rsid w:val="00213D4F"/>
    <w:rsid w:val="002149FC"/>
    <w:rsid w:val="00214B62"/>
    <w:rsid w:val="002152DA"/>
    <w:rsid w:val="002216AA"/>
    <w:rsid w:val="002223AA"/>
    <w:rsid w:val="00224239"/>
    <w:rsid w:val="00225044"/>
    <w:rsid w:val="00227CAD"/>
    <w:rsid w:val="00230AD6"/>
    <w:rsid w:val="002341AB"/>
    <w:rsid w:val="00235168"/>
    <w:rsid w:val="00236277"/>
    <w:rsid w:val="002370B1"/>
    <w:rsid w:val="00237498"/>
    <w:rsid w:val="00241406"/>
    <w:rsid w:val="00245866"/>
    <w:rsid w:val="00246517"/>
    <w:rsid w:val="0025095B"/>
    <w:rsid w:val="00251683"/>
    <w:rsid w:val="002528C1"/>
    <w:rsid w:val="00252FA0"/>
    <w:rsid w:val="0025503B"/>
    <w:rsid w:val="00255396"/>
    <w:rsid w:val="00266D9B"/>
    <w:rsid w:val="00266E87"/>
    <w:rsid w:val="00270340"/>
    <w:rsid w:val="002713C5"/>
    <w:rsid w:val="00272AA1"/>
    <w:rsid w:val="00273ED8"/>
    <w:rsid w:val="00280942"/>
    <w:rsid w:val="00281FC0"/>
    <w:rsid w:val="00282B7C"/>
    <w:rsid w:val="00286F70"/>
    <w:rsid w:val="00287ACF"/>
    <w:rsid w:val="00287EAC"/>
    <w:rsid w:val="002919AD"/>
    <w:rsid w:val="00292381"/>
    <w:rsid w:val="002930A4"/>
    <w:rsid w:val="00295958"/>
    <w:rsid w:val="00297BDB"/>
    <w:rsid w:val="002B1927"/>
    <w:rsid w:val="002B2DEE"/>
    <w:rsid w:val="002B326E"/>
    <w:rsid w:val="002B6D39"/>
    <w:rsid w:val="002C5E94"/>
    <w:rsid w:val="002C6BA2"/>
    <w:rsid w:val="002D15F8"/>
    <w:rsid w:val="002D44BD"/>
    <w:rsid w:val="002D4DCB"/>
    <w:rsid w:val="002D6492"/>
    <w:rsid w:val="002E2073"/>
    <w:rsid w:val="002E4B11"/>
    <w:rsid w:val="002E4CA1"/>
    <w:rsid w:val="002E5163"/>
    <w:rsid w:val="002E5BDB"/>
    <w:rsid w:val="002E770E"/>
    <w:rsid w:val="002F09E3"/>
    <w:rsid w:val="002F36EE"/>
    <w:rsid w:val="002F4D74"/>
    <w:rsid w:val="002F662F"/>
    <w:rsid w:val="003015CE"/>
    <w:rsid w:val="00303C7D"/>
    <w:rsid w:val="00303DC8"/>
    <w:rsid w:val="00307C7E"/>
    <w:rsid w:val="00310170"/>
    <w:rsid w:val="0031101C"/>
    <w:rsid w:val="003145E3"/>
    <w:rsid w:val="003148BE"/>
    <w:rsid w:val="0032079A"/>
    <w:rsid w:val="00321C2E"/>
    <w:rsid w:val="00321DA8"/>
    <w:rsid w:val="0032403C"/>
    <w:rsid w:val="0032512F"/>
    <w:rsid w:val="00325BEF"/>
    <w:rsid w:val="00326B26"/>
    <w:rsid w:val="00331256"/>
    <w:rsid w:val="00331CC6"/>
    <w:rsid w:val="00332D6A"/>
    <w:rsid w:val="00333FC4"/>
    <w:rsid w:val="003357BC"/>
    <w:rsid w:val="00335E64"/>
    <w:rsid w:val="003369C4"/>
    <w:rsid w:val="00337BFB"/>
    <w:rsid w:val="003403E1"/>
    <w:rsid w:val="00342850"/>
    <w:rsid w:val="00343824"/>
    <w:rsid w:val="0034499D"/>
    <w:rsid w:val="00350C27"/>
    <w:rsid w:val="00351F0D"/>
    <w:rsid w:val="003547A3"/>
    <w:rsid w:val="0035480C"/>
    <w:rsid w:val="003550FF"/>
    <w:rsid w:val="0035557D"/>
    <w:rsid w:val="003607A9"/>
    <w:rsid w:val="00360CB3"/>
    <w:rsid w:val="00363D87"/>
    <w:rsid w:val="00364752"/>
    <w:rsid w:val="00365B23"/>
    <w:rsid w:val="00365D01"/>
    <w:rsid w:val="00373EE0"/>
    <w:rsid w:val="00376CE1"/>
    <w:rsid w:val="003775DA"/>
    <w:rsid w:val="003779A5"/>
    <w:rsid w:val="00383837"/>
    <w:rsid w:val="00384274"/>
    <w:rsid w:val="00385CC5"/>
    <w:rsid w:val="003919E6"/>
    <w:rsid w:val="00394BF4"/>
    <w:rsid w:val="00394D1B"/>
    <w:rsid w:val="00396313"/>
    <w:rsid w:val="003A3489"/>
    <w:rsid w:val="003A3C5E"/>
    <w:rsid w:val="003A4AEF"/>
    <w:rsid w:val="003B16E2"/>
    <w:rsid w:val="003B670E"/>
    <w:rsid w:val="003C1768"/>
    <w:rsid w:val="003C5E47"/>
    <w:rsid w:val="003C7518"/>
    <w:rsid w:val="003D5D8A"/>
    <w:rsid w:val="003E359F"/>
    <w:rsid w:val="003E5943"/>
    <w:rsid w:val="003E59D9"/>
    <w:rsid w:val="003F2D66"/>
    <w:rsid w:val="003F34B8"/>
    <w:rsid w:val="003F5C22"/>
    <w:rsid w:val="00401173"/>
    <w:rsid w:val="004022A6"/>
    <w:rsid w:val="004049C5"/>
    <w:rsid w:val="004073B9"/>
    <w:rsid w:val="0041181D"/>
    <w:rsid w:val="00417815"/>
    <w:rsid w:val="00417DCE"/>
    <w:rsid w:val="00422051"/>
    <w:rsid w:val="004237F8"/>
    <w:rsid w:val="00423FE7"/>
    <w:rsid w:val="00424705"/>
    <w:rsid w:val="00426578"/>
    <w:rsid w:val="00432B09"/>
    <w:rsid w:val="00436BA1"/>
    <w:rsid w:val="00441521"/>
    <w:rsid w:val="00441778"/>
    <w:rsid w:val="00443717"/>
    <w:rsid w:val="004448DA"/>
    <w:rsid w:val="00450739"/>
    <w:rsid w:val="004519F9"/>
    <w:rsid w:val="00451FB9"/>
    <w:rsid w:val="00452795"/>
    <w:rsid w:val="00453148"/>
    <w:rsid w:val="00453B65"/>
    <w:rsid w:val="004544E3"/>
    <w:rsid w:val="004634F3"/>
    <w:rsid w:val="004709A5"/>
    <w:rsid w:val="00470D3D"/>
    <w:rsid w:val="00472414"/>
    <w:rsid w:val="00475865"/>
    <w:rsid w:val="00485B10"/>
    <w:rsid w:val="004860FD"/>
    <w:rsid w:val="004861FD"/>
    <w:rsid w:val="00486CD5"/>
    <w:rsid w:val="004915D7"/>
    <w:rsid w:val="004930AB"/>
    <w:rsid w:val="00493627"/>
    <w:rsid w:val="004979CB"/>
    <w:rsid w:val="004A1009"/>
    <w:rsid w:val="004A1059"/>
    <w:rsid w:val="004A10A8"/>
    <w:rsid w:val="004A42B3"/>
    <w:rsid w:val="004A464D"/>
    <w:rsid w:val="004A5E74"/>
    <w:rsid w:val="004B032B"/>
    <w:rsid w:val="004B5170"/>
    <w:rsid w:val="004B5890"/>
    <w:rsid w:val="004B608B"/>
    <w:rsid w:val="004C142B"/>
    <w:rsid w:val="004C3655"/>
    <w:rsid w:val="004C6063"/>
    <w:rsid w:val="004C6235"/>
    <w:rsid w:val="004C6279"/>
    <w:rsid w:val="004C6574"/>
    <w:rsid w:val="004C673F"/>
    <w:rsid w:val="004D2234"/>
    <w:rsid w:val="004D4439"/>
    <w:rsid w:val="004D44B7"/>
    <w:rsid w:val="004D6CB3"/>
    <w:rsid w:val="004E01DA"/>
    <w:rsid w:val="004E12C7"/>
    <w:rsid w:val="004E1E59"/>
    <w:rsid w:val="004E4650"/>
    <w:rsid w:val="004E6E49"/>
    <w:rsid w:val="004F28E1"/>
    <w:rsid w:val="004F65A0"/>
    <w:rsid w:val="00500B5F"/>
    <w:rsid w:val="0050103A"/>
    <w:rsid w:val="005021DB"/>
    <w:rsid w:val="00502F73"/>
    <w:rsid w:val="00505C9A"/>
    <w:rsid w:val="00506086"/>
    <w:rsid w:val="0050734B"/>
    <w:rsid w:val="00507371"/>
    <w:rsid w:val="00513112"/>
    <w:rsid w:val="00517371"/>
    <w:rsid w:val="00521774"/>
    <w:rsid w:val="0052361E"/>
    <w:rsid w:val="00524277"/>
    <w:rsid w:val="00524E9B"/>
    <w:rsid w:val="005325C2"/>
    <w:rsid w:val="00532A63"/>
    <w:rsid w:val="005500D6"/>
    <w:rsid w:val="0055010D"/>
    <w:rsid w:val="005564EE"/>
    <w:rsid w:val="005607FC"/>
    <w:rsid w:val="005709AA"/>
    <w:rsid w:val="005729C6"/>
    <w:rsid w:val="00574A69"/>
    <w:rsid w:val="00575DE8"/>
    <w:rsid w:val="00577723"/>
    <w:rsid w:val="0057772F"/>
    <w:rsid w:val="005804D9"/>
    <w:rsid w:val="005839A6"/>
    <w:rsid w:val="00583D72"/>
    <w:rsid w:val="00584CF4"/>
    <w:rsid w:val="0058651E"/>
    <w:rsid w:val="00590088"/>
    <w:rsid w:val="00592B1A"/>
    <w:rsid w:val="005943B3"/>
    <w:rsid w:val="00594C74"/>
    <w:rsid w:val="005956C0"/>
    <w:rsid w:val="005A00C2"/>
    <w:rsid w:val="005A13D3"/>
    <w:rsid w:val="005A3243"/>
    <w:rsid w:val="005A4E4F"/>
    <w:rsid w:val="005B45E1"/>
    <w:rsid w:val="005B4878"/>
    <w:rsid w:val="005B6831"/>
    <w:rsid w:val="005C2D78"/>
    <w:rsid w:val="005C409F"/>
    <w:rsid w:val="005C5D81"/>
    <w:rsid w:val="005D00B3"/>
    <w:rsid w:val="005D1C91"/>
    <w:rsid w:val="005D5F0E"/>
    <w:rsid w:val="005E0226"/>
    <w:rsid w:val="005E0CC2"/>
    <w:rsid w:val="005E10E4"/>
    <w:rsid w:val="005E6C80"/>
    <w:rsid w:val="005E6EF7"/>
    <w:rsid w:val="005E6F1E"/>
    <w:rsid w:val="005F0275"/>
    <w:rsid w:val="005F11F1"/>
    <w:rsid w:val="005F2409"/>
    <w:rsid w:val="00600A3C"/>
    <w:rsid w:val="00601380"/>
    <w:rsid w:val="00602BAD"/>
    <w:rsid w:val="00603EE1"/>
    <w:rsid w:val="00604413"/>
    <w:rsid w:val="006050C6"/>
    <w:rsid w:val="0060688B"/>
    <w:rsid w:val="0061021C"/>
    <w:rsid w:val="00620CEB"/>
    <w:rsid w:val="006219B2"/>
    <w:rsid w:val="00621E7F"/>
    <w:rsid w:val="00623FBB"/>
    <w:rsid w:val="00633424"/>
    <w:rsid w:val="00633841"/>
    <w:rsid w:val="00640742"/>
    <w:rsid w:val="00643E30"/>
    <w:rsid w:val="00655B87"/>
    <w:rsid w:val="00666356"/>
    <w:rsid w:val="006677BF"/>
    <w:rsid w:val="006705DF"/>
    <w:rsid w:val="00671825"/>
    <w:rsid w:val="00677780"/>
    <w:rsid w:val="00677FC6"/>
    <w:rsid w:val="006806F5"/>
    <w:rsid w:val="00684531"/>
    <w:rsid w:val="006849FF"/>
    <w:rsid w:val="0068514F"/>
    <w:rsid w:val="00686434"/>
    <w:rsid w:val="00686FB1"/>
    <w:rsid w:val="006872F8"/>
    <w:rsid w:val="00691A2B"/>
    <w:rsid w:val="00694FA2"/>
    <w:rsid w:val="006970C4"/>
    <w:rsid w:val="00697F73"/>
    <w:rsid w:val="006A2197"/>
    <w:rsid w:val="006A4F31"/>
    <w:rsid w:val="006A6E0F"/>
    <w:rsid w:val="006A720F"/>
    <w:rsid w:val="006B08F7"/>
    <w:rsid w:val="006B0FD5"/>
    <w:rsid w:val="006B13F8"/>
    <w:rsid w:val="006C101C"/>
    <w:rsid w:val="006C1AA9"/>
    <w:rsid w:val="006D5EF2"/>
    <w:rsid w:val="006D74F7"/>
    <w:rsid w:val="006E3BFC"/>
    <w:rsid w:val="006E6F56"/>
    <w:rsid w:val="006F6C69"/>
    <w:rsid w:val="006F7B42"/>
    <w:rsid w:val="006F7EEC"/>
    <w:rsid w:val="0070067D"/>
    <w:rsid w:val="007014E7"/>
    <w:rsid w:val="007038A8"/>
    <w:rsid w:val="00704CD5"/>
    <w:rsid w:val="00710342"/>
    <w:rsid w:val="00710FE1"/>
    <w:rsid w:val="00713B00"/>
    <w:rsid w:val="00716229"/>
    <w:rsid w:val="00717C5C"/>
    <w:rsid w:val="00721B02"/>
    <w:rsid w:val="00722585"/>
    <w:rsid w:val="007229D5"/>
    <w:rsid w:val="007242E0"/>
    <w:rsid w:val="00726ECB"/>
    <w:rsid w:val="00727892"/>
    <w:rsid w:val="00731318"/>
    <w:rsid w:val="00737CA5"/>
    <w:rsid w:val="00747320"/>
    <w:rsid w:val="00752959"/>
    <w:rsid w:val="00753DE1"/>
    <w:rsid w:val="007562C8"/>
    <w:rsid w:val="0075698F"/>
    <w:rsid w:val="00770265"/>
    <w:rsid w:val="00771922"/>
    <w:rsid w:val="00773A85"/>
    <w:rsid w:val="00776BEB"/>
    <w:rsid w:val="00780038"/>
    <w:rsid w:val="00787F0F"/>
    <w:rsid w:val="00791397"/>
    <w:rsid w:val="00792CF5"/>
    <w:rsid w:val="00796CB1"/>
    <w:rsid w:val="007A7C1B"/>
    <w:rsid w:val="007B2CBA"/>
    <w:rsid w:val="007C467C"/>
    <w:rsid w:val="007C46C0"/>
    <w:rsid w:val="007C4CF4"/>
    <w:rsid w:val="007C6F81"/>
    <w:rsid w:val="007D03F9"/>
    <w:rsid w:val="007D40AB"/>
    <w:rsid w:val="007D79AC"/>
    <w:rsid w:val="007E1403"/>
    <w:rsid w:val="007E1E95"/>
    <w:rsid w:val="007E250F"/>
    <w:rsid w:val="007E7678"/>
    <w:rsid w:val="007E781A"/>
    <w:rsid w:val="007F1C78"/>
    <w:rsid w:val="007F218B"/>
    <w:rsid w:val="007F4559"/>
    <w:rsid w:val="007F7F20"/>
    <w:rsid w:val="00800F3E"/>
    <w:rsid w:val="008029F9"/>
    <w:rsid w:val="00807B40"/>
    <w:rsid w:val="008146DE"/>
    <w:rsid w:val="008163F1"/>
    <w:rsid w:val="00816581"/>
    <w:rsid w:val="008220B4"/>
    <w:rsid w:val="00822926"/>
    <w:rsid w:val="00823F64"/>
    <w:rsid w:val="00823F95"/>
    <w:rsid w:val="008267B7"/>
    <w:rsid w:val="0083618B"/>
    <w:rsid w:val="00840796"/>
    <w:rsid w:val="008445E1"/>
    <w:rsid w:val="0084603B"/>
    <w:rsid w:val="00846E0E"/>
    <w:rsid w:val="00850DBF"/>
    <w:rsid w:val="00852BB0"/>
    <w:rsid w:val="00853A27"/>
    <w:rsid w:val="00860543"/>
    <w:rsid w:val="0086230E"/>
    <w:rsid w:val="008624D2"/>
    <w:rsid w:val="00867300"/>
    <w:rsid w:val="008718F4"/>
    <w:rsid w:val="0087415F"/>
    <w:rsid w:val="00875E6A"/>
    <w:rsid w:val="00877169"/>
    <w:rsid w:val="00887554"/>
    <w:rsid w:val="00890583"/>
    <w:rsid w:val="00891014"/>
    <w:rsid w:val="00893869"/>
    <w:rsid w:val="00895426"/>
    <w:rsid w:val="00896106"/>
    <w:rsid w:val="00896492"/>
    <w:rsid w:val="008A26C9"/>
    <w:rsid w:val="008A5E87"/>
    <w:rsid w:val="008A61D1"/>
    <w:rsid w:val="008B0033"/>
    <w:rsid w:val="008B0AF7"/>
    <w:rsid w:val="008B111A"/>
    <w:rsid w:val="008B498E"/>
    <w:rsid w:val="008B5039"/>
    <w:rsid w:val="008C1454"/>
    <w:rsid w:val="008C18AD"/>
    <w:rsid w:val="008C237E"/>
    <w:rsid w:val="008C3132"/>
    <w:rsid w:val="008C3512"/>
    <w:rsid w:val="008C6E7F"/>
    <w:rsid w:val="008C770D"/>
    <w:rsid w:val="008D16F1"/>
    <w:rsid w:val="008D259B"/>
    <w:rsid w:val="008D6318"/>
    <w:rsid w:val="008E2D53"/>
    <w:rsid w:val="008E2FA3"/>
    <w:rsid w:val="008E3DD2"/>
    <w:rsid w:val="008E55C9"/>
    <w:rsid w:val="008E55EA"/>
    <w:rsid w:val="008E7086"/>
    <w:rsid w:val="008E71E6"/>
    <w:rsid w:val="008F18AE"/>
    <w:rsid w:val="008F2C70"/>
    <w:rsid w:val="008F4CB0"/>
    <w:rsid w:val="008F4E37"/>
    <w:rsid w:val="008F595B"/>
    <w:rsid w:val="008F6038"/>
    <w:rsid w:val="008F7A90"/>
    <w:rsid w:val="009024C3"/>
    <w:rsid w:val="00902565"/>
    <w:rsid w:val="009027F4"/>
    <w:rsid w:val="009034D9"/>
    <w:rsid w:val="00906FBE"/>
    <w:rsid w:val="0090796B"/>
    <w:rsid w:val="00911533"/>
    <w:rsid w:val="00911E5A"/>
    <w:rsid w:val="0091411C"/>
    <w:rsid w:val="00915BE5"/>
    <w:rsid w:val="00917019"/>
    <w:rsid w:val="0091772E"/>
    <w:rsid w:val="00917C89"/>
    <w:rsid w:val="00922E32"/>
    <w:rsid w:val="00923F7C"/>
    <w:rsid w:val="009302BB"/>
    <w:rsid w:val="009340FD"/>
    <w:rsid w:val="00935664"/>
    <w:rsid w:val="00940371"/>
    <w:rsid w:val="009410FC"/>
    <w:rsid w:val="00943F49"/>
    <w:rsid w:val="00947BCC"/>
    <w:rsid w:val="00953792"/>
    <w:rsid w:val="00953D7C"/>
    <w:rsid w:val="0095527E"/>
    <w:rsid w:val="00956B08"/>
    <w:rsid w:val="00960DE7"/>
    <w:rsid w:val="00962A3D"/>
    <w:rsid w:val="00962FBE"/>
    <w:rsid w:val="00966E17"/>
    <w:rsid w:val="0097017A"/>
    <w:rsid w:val="0097030A"/>
    <w:rsid w:val="0097160E"/>
    <w:rsid w:val="00971EE4"/>
    <w:rsid w:val="009846CA"/>
    <w:rsid w:val="00984DE5"/>
    <w:rsid w:val="00987D2E"/>
    <w:rsid w:val="00992A13"/>
    <w:rsid w:val="0099419B"/>
    <w:rsid w:val="009953B7"/>
    <w:rsid w:val="00997AB2"/>
    <w:rsid w:val="009A02C6"/>
    <w:rsid w:val="009B1ECF"/>
    <w:rsid w:val="009B2E6C"/>
    <w:rsid w:val="009B35E1"/>
    <w:rsid w:val="009B3C53"/>
    <w:rsid w:val="009B3CE5"/>
    <w:rsid w:val="009C1514"/>
    <w:rsid w:val="009C19FC"/>
    <w:rsid w:val="009D1DB6"/>
    <w:rsid w:val="009D1E8A"/>
    <w:rsid w:val="009D5D9D"/>
    <w:rsid w:val="009E21DE"/>
    <w:rsid w:val="009E22D4"/>
    <w:rsid w:val="009E489C"/>
    <w:rsid w:val="009E59F9"/>
    <w:rsid w:val="009E6DBB"/>
    <w:rsid w:val="009F41CE"/>
    <w:rsid w:val="009F4B3B"/>
    <w:rsid w:val="009F5C1E"/>
    <w:rsid w:val="00A00872"/>
    <w:rsid w:val="00A01681"/>
    <w:rsid w:val="00A01AA6"/>
    <w:rsid w:val="00A06C05"/>
    <w:rsid w:val="00A106C5"/>
    <w:rsid w:val="00A12369"/>
    <w:rsid w:val="00A143C5"/>
    <w:rsid w:val="00A1500F"/>
    <w:rsid w:val="00A15DFD"/>
    <w:rsid w:val="00A22B07"/>
    <w:rsid w:val="00A24F87"/>
    <w:rsid w:val="00A30941"/>
    <w:rsid w:val="00A322A9"/>
    <w:rsid w:val="00A3296A"/>
    <w:rsid w:val="00A330FB"/>
    <w:rsid w:val="00A35CCA"/>
    <w:rsid w:val="00A40CA8"/>
    <w:rsid w:val="00A44E43"/>
    <w:rsid w:val="00A472B9"/>
    <w:rsid w:val="00A478E7"/>
    <w:rsid w:val="00A51AA5"/>
    <w:rsid w:val="00A62E4A"/>
    <w:rsid w:val="00A709A6"/>
    <w:rsid w:val="00A75DB9"/>
    <w:rsid w:val="00A75E28"/>
    <w:rsid w:val="00A77F8D"/>
    <w:rsid w:val="00A80D5C"/>
    <w:rsid w:val="00A86837"/>
    <w:rsid w:val="00A9576A"/>
    <w:rsid w:val="00A9610E"/>
    <w:rsid w:val="00AA2D33"/>
    <w:rsid w:val="00AA43DF"/>
    <w:rsid w:val="00AA4DAB"/>
    <w:rsid w:val="00AA55FE"/>
    <w:rsid w:val="00AA65AB"/>
    <w:rsid w:val="00AB0F09"/>
    <w:rsid w:val="00AB20F3"/>
    <w:rsid w:val="00AB222B"/>
    <w:rsid w:val="00AB2B3F"/>
    <w:rsid w:val="00AC1507"/>
    <w:rsid w:val="00AC2460"/>
    <w:rsid w:val="00AC7A43"/>
    <w:rsid w:val="00AD105F"/>
    <w:rsid w:val="00AD3672"/>
    <w:rsid w:val="00AD5A2C"/>
    <w:rsid w:val="00AD623E"/>
    <w:rsid w:val="00AE091D"/>
    <w:rsid w:val="00AE63D7"/>
    <w:rsid w:val="00AF1418"/>
    <w:rsid w:val="00AF6D50"/>
    <w:rsid w:val="00B0331F"/>
    <w:rsid w:val="00B066E6"/>
    <w:rsid w:val="00B06C1A"/>
    <w:rsid w:val="00B103A0"/>
    <w:rsid w:val="00B10F9D"/>
    <w:rsid w:val="00B138EB"/>
    <w:rsid w:val="00B16A47"/>
    <w:rsid w:val="00B174E1"/>
    <w:rsid w:val="00B174FA"/>
    <w:rsid w:val="00B20455"/>
    <w:rsid w:val="00B22A72"/>
    <w:rsid w:val="00B238FC"/>
    <w:rsid w:val="00B23A1C"/>
    <w:rsid w:val="00B34984"/>
    <w:rsid w:val="00B34C50"/>
    <w:rsid w:val="00B3545B"/>
    <w:rsid w:val="00B376A9"/>
    <w:rsid w:val="00B40402"/>
    <w:rsid w:val="00B415B8"/>
    <w:rsid w:val="00B4472A"/>
    <w:rsid w:val="00B464F0"/>
    <w:rsid w:val="00B469FC"/>
    <w:rsid w:val="00B57308"/>
    <w:rsid w:val="00B6470C"/>
    <w:rsid w:val="00B64D35"/>
    <w:rsid w:val="00B65162"/>
    <w:rsid w:val="00B65D40"/>
    <w:rsid w:val="00B70BAD"/>
    <w:rsid w:val="00B76239"/>
    <w:rsid w:val="00B77940"/>
    <w:rsid w:val="00B8280D"/>
    <w:rsid w:val="00B862E5"/>
    <w:rsid w:val="00B902D9"/>
    <w:rsid w:val="00B9079B"/>
    <w:rsid w:val="00B90F8E"/>
    <w:rsid w:val="00B917A2"/>
    <w:rsid w:val="00B9207A"/>
    <w:rsid w:val="00B92631"/>
    <w:rsid w:val="00B92CCE"/>
    <w:rsid w:val="00B93AA9"/>
    <w:rsid w:val="00B95558"/>
    <w:rsid w:val="00B97F05"/>
    <w:rsid w:val="00BA3816"/>
    <w:rsid w:val="00BA582C"/>
    <w:rsid w:val="00BA7408"/>
    <w:rsid w:val="00BA7439"/>
    <w:rsid w:val="00BB0D8E"/>
    <w:rsid w:val="00BB1064"/>
    <w:rsid w:val="00BB6D44"/>
    <w:rsid w:val="00BC3F6C"/>
    <w:rsid w:val="00BC5B13"/>
    <w:rsid w:val="00BC5E8A"/>
    <w:rsid w:val="00BD3308"/>
    <w:rsid w:val="00BD4CF0"/>
    <w:rsid w:val="00BE0407"/>
    <w:rsid w:val="00BE0B70"/>
    <w:rsid w:val="00BE17A0"/>
    <w:rsid w:val="00BF0A53"/>
    <w:rsid w:val="00BF3194"/>
    <w:rsid w:val="00BF4A4F"/>
    <w:rsid w:val="00C001B0"/>
    <w:rsid w:val="00C00A1E"/>
    <w:rsid w:val="00C055BC"/>
    <w:rsid w:val="00C07ED3"/>
    <w:rsid w:val="00C11A89"/>
    <w:rsid w:val="00C13A88"/>
    <w:rsid w:val="00C13C2E"/>
    <w:rsid w:val="00C20AE1"/>
    <w:rsid w:val="00C24D20"/>
    <w:rsid w:val="00C34ADF"/>
    <w:rsid w:val="00C354BF"/>
    <w:rsid w:val="00C36C05"/>
    <w:rsid w:val="00C37B2C"/>
    <w:rsid w:val="00C43452"/>
    <w:rsid w:val="00C454A6"/>
    <w:rsid w:val="00C4567D"/>
    <w:rsid w:val="00C45D7B"/>
    <w:rsid w:val="00C50394"/>
    <w:rsid w:val="00C5063E"/>
    <w:rsid w:val="00C60E6E"/>
    <w:rsid w:val="00C6292D"/>
    <w:rsid w:val="00C653B3"/>
    <w:rsid w:val="00C65C67"/>
    <w:rsid w:val="00C662DC"/>
    <w:rsid w:val="00C67529"/>
    <w:rsid w:val="00C67D27"/>
    <w:rsid w:val="00C67F3D"/>
    <w:rsid w:val="00C70367"/>
    <w:rsid w:val="00C74310"/>
    <w:rsid w:val="00C80363"/>
    <w:rsid w:val="00C90585"/>
    <w:rsid w:val="00C93149"/>
    <w:rsid w:val="00C94E89"/>
    <w:rsid w:val="00C95146"/>
    <w:rsid w:val="00C95648"/>
    <w:rsid w:val="00C9790E"/>
    <w:rsid w:val="00CA17B3"/>
    <w:rsid w:val="00CA5DFC"/>
    <w:rsid w:val="00CB4656"/>
    <w:rsid w:val="00CC004C"/>
    <w:rsid w:val="00CC01F2"/>
    <w:rsid w:val="00CC1678"/>
    <w:rsid w:val="00CC2FEC"/>
    <w:rsid w:val="00CC4AC2"/>
    <w:rsid w:val="00CC6CDA"/>
    <w:rsid w:val="00CC6FD5"/>
    <w:rsid w:val="00CD1488"/>
    <w:rsid w:val="00CE0659"/>
    <w:rsid w:val="00CE3526"/>
    <w:rsid w:val="00CE5BF4"/>
    <w:rsid w:val="00CE75CA"/>
    <w:rsid w:val="00CF08FF"/>
    <w:rsid w:val="00CF0B20"/>
    <w:rsid w:val="00CF3DFF"/>
    <w:rsid w:val="00D003F2"/>
    <w:rsid w:val="00D0474C"/>
    <w:rsid w:val="00D0698C"/>
    <w:rsid w:val="00D175AA"/>
    <w:rsid w:val="00D21353"/>
    <w:rsid w:val="00D23CD0"/>
    <w:rsid w:val="00D2645E"/>
    <w:rsid w:val="00D33BDF"/>
    <w:rsid w:val="00D33BE7"/>
    <w:rsid w:val="00D33DC4"/>
    <w:rsid w:val="00D40753"/>
    <w:rsid w:val="00D40A99"/>
    <w:rsid w:val="00D45241"/>
    <w:rsid w:val="00D52570"/>
    <w:rsid w:val="00D56D76"/>
    <w:rsid w:val="00D57B1B"/>
    <w:rsid w:val="00D60A0A"/>
    <w:rsid w:val="00D60C62"/>
    <w:rsid w:val="00D62824"/>
    <w:rsid w:val="00D707EB"/>
    <w:rsid w:val="00D73083"/>
    <w:rsid w:val="00D73424"/>
    <w:rsid w:val="00D73B42"/>
    <w:rsid w:val="00D81B00"/>
    <w:rsid w:val="00D85101"/>
    <w:rsid w:val="00D879AC"/>
    <w:rsid w:val="00D91D4B"/>
    <w:rsid w:val="00D95E10"/>
    <w:rsid w:val="00D96413"/>
    <w:rsid w:val="00DA0F42"/>
    <w:rsid w:val="00DA2535"/>
    <w:rsid w:val="00DA2B2E"/>
    <w:rsid w:val="00DA2CC4"/>
    <w:rsid w:val="00DA3199"/>
    <w:rsid w:val="00DA59FF"/>
    <w:rsid w:val="00DA644E"/>
    <w:rsid w:val="00DA7652"/>
    <w:rsid w:val="00DB41B0"/>
    <w:rsid w:val="00DB6C65"/>
    <w:rsid w:val="00DC092D"/>
    <w:rsid w:val="00DC3FCD"/>
    <w:rsid w:val="00DD11BD"/>
    <w:rsid w:val="00DD327E"/>
    <w:rsid w:val="00DD549A"/>
    <w:rsid w:val="00DD6C11"/>
    <w:rsid w:val="00DE1077"/>
    <w:rsid w:val="00DE3733"/>
    <w:rsid w:val="00DE4411"/>
    <w:rsid w:val="00DE6E38"/>
    <w:rsid w:val="00DF0D9B"/>
    <w:rsid w:val="00DF43BE"/>
    <w:rsid w:val="00DF45D2"/>
    <w:rsid w:val="00DF5E88"/>
    <w:rsid w:val="00E01737"/>
    <w:rsid w:val="00E14C1B"/>
    <w:rsid w:val="00E14D5D"/>
    <w:rsid w:val="00E15F39"/>
    <w:rsid w:val="00E22426"/>
    <w:rsid w:val="00E24C65"/>
    <w:rsid w:val="00E25BE1"/>
    <w:rsid w:val="00E3230D"/>
    <w:rsid w:val="00E32340"/>
    <w:rsid w:val="00E34D43"/>
    <w:rsid w:val="00E36EB0"/>
    <w:rsid w:val="00E37F36"/>
    <w:rsid w:val="00E42C88"/>
    <w:rsid w:val="00E439D4"/>
    <w:rsid w:val="00E50CC0"/>
    <w:rsid w:val="00E5759A"/>
    <w:rsid w:val="00E5771E"/>
    <w:rsid w:val="00E57C21"/>
    <w:rsid w:val="00E632B9"/>
    <w:rsid w:val="00E63D76"/>
    <w:rsid w:val="00E73E65"/>
    <w:rsid w:val="00E77813"/>
    <w:rsid w:val="00E81A7E"/>
    <w:rsid w:val="00E82507"/>
    <w:rsid w:val="00E8321F"/>
    <w:rsid w:val="00E838D9"/>
    <w:rsid w:val="00E8439E"/>
    <w:rsid w:val="00E865AA"/>
    <w:rsid w:val="00E9247C"/>
    <w:rsid w:val="00E9355E"/>
    <w:rsid w:val="00E94E1F"/>
    <w:rsid w:val="00EA0560"/>
    <w:rsid w:val="00EA076E"/>
    <w:rsid w:val="00EA3721"/>
    <w:rsid w:val="00EA749E"/>
    <w:rsid w:val="00EB07B1"/>
    <w:rsid w:val="00EB0F76"/>
    <w:rsid w:val="00EB5EF8"/>
    <w:rsid w:val="00EB671C"/>
    <w:rsid w:val="00EB6D95"/>
    <w:rsid w:val="00EC3720"/>
    <w:rsid w:val="00EC53FC"/>
    <w:rsid w:val="00ED1A3C"/>
    <w:rsid w:val="00ED24C7"/>
    <w:rsid w:val="00ED3CA1"/>
    <w:rsid w:val="00EF1FC1"/>
    <w:rsid w:val="00EF3EF4"/>
    <w:rsid w:val="00EF53CE"/>
    <w:rsid w:val="00F04100"/>
    <w:rsid w:val="00F042F4"/>
    <w:rsid w:val="00F10EF3"/>
    <w:rsid w:val="00F13306"/>
    <w:rsid w:val="00F15AB1"/>
    <w:rsid w:val="00F15B8A"/>
    <w:rsid w:val="00F20888"/>
    <w:rsid w:val="00F21F06"/>
    <w:rsid w:val="00F23047"/>
    <w:rsid w:val="00F241FC"/>
    <w:rsid w:val="00F2692E"/>
    <w:rsid w:val="00F30054"/>
    <w:rsid w:val="00F3552A"/>
    <w:rsid w:val="00F42E9B"/>
    <w:rsid w:val="00F42F23"/>
    <w:rsid w:val="00F43966"/>
    <w:rsid w:val="00F46DEF"/>
    <w:rsid w:val="00F47E25"/>
    <w:rsid w:val="00F64CDC"/>
    <w:rsid w:val="00F6569C"/>
    <w:rsid w:val="00F70091"/>
    <w:rsid w:val="00F72453"/>
    <w:rsid w:val="00F72F89"/>
    <w:rsid w:val="00F747F4"/>
    <w:rsid w:val="00F75D12"/>
    <w:rsid w:val="00F81EC9"/>
    <w:rsid w:val="00F820C7"/>
    <w:rsid w:val="00F83A98"/>
    <w:rsid w:val="00F84C97"/>
    <w:rsid w:val="00F908C4"/>
    <w:rsid w:val="00F94B39"/>
    <w:rsid w:val="00F96B21"/>
    <w:rsid w:val="00FA1773"/>
    <w:rsid w:val="00FB0F21"/>
    <w:rsid w:val="00FB157D"/>
    <w:rsid w:val="00FB2BFC"/>
    <w:rsid w:val="00FB2DE0"/>
    <w:rsid w:val="00FB3BC3"/>
    <w:rsid w:val="00FC0125"/>
    <w:rsid w:val="00FC1A91"/>
    <w:rsid w:val="00FC1CDF"/>
    <w:rsid w:val="00FC43E2"/>
    <w:rsid w:val="00FC5929"/>
    <w:rsid w:val="00FC741C"/>
    <w:rsid w:val="00FD1C28"/>
    <w:rsid w:val="00FD2FC0"/>
    <w:rsid w:val="00FD6258"/>
    <w:rsid w:val="00FD6BE3"/>
    <w:rsid w:val="00FE1D9D"/>
    <w:rsid w:val="00FE43E2"/>
    <w:rsid w:val="00FF0098"/>
    <w:rsid w:val="00FF0F87"/>
    <w:rsid w:val="00FF3C79"/>
    <w:rsid w:val="00FF47BD"/>
    <w:rsid w:val="00FF5F27"/>
    <w:rsid w:val="00FF7F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3AF5"/>
  <w15:chartTrackingRefBased/>
  <w15:docId w15:val="{2998C48C-C436-4247-9DE4-FDC58894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409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C409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8B"/>
    <w:pPr>
      <w:ind w:left="720"/>
      <w:contextualSpacing/>
    </w:pPr>
  </w:style>
  <w:style w:type="paragraph" w:styleId="NoSpacing">
    <w:name w:val="No Spacing"/>
    <w:uiPriority w:val="1"/>
    <w:qFormat/>
    <w:rsid w:val="00021EA7"/>
    <w:pPr>
      <w:spacing w:after="0" w:line="240" w:lineRule="auto"/>
    </w:pPr>
  </w:style>
  <w:style w:type="paragraph" w:styleId="Header">
    <w:name w:val="header"/>
    <w:basedOn w:val="Normal"/>
    <w:link w:val="HeaderChar"/>
    <w:uiPriority w:val="99"/>
    <w:unhideWhenUsed/>
    <w:rsid w:val="00377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A5"/>
  </w:style>
  <w:style w:type="paragraph" w:styleId="Footer">
    <w:name w:val="footer"/>
    <w:basedOn w:val="Normal"/>
    <w:link w:val="FooterChar"/>
    <w:uiPriority w:val="99"/>
    <w:unhideWhenUsed/>
    <w:rsid w:val="00377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A5"/>
  </w:style>
  <w:style w:type="character" w:customStyle="1" w:styleId="Heading2Char">
    <w:name w:val="Heading 2 Char"/>
    <w:basedOn w:val="DefaultParagraphFont"/>
    <w:link w:val="Heading2"/>
    <w:uiPriority w:val="9"/>
    <w:rsid w:val="005C409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C409F"/>
    <w:rPr>
      <w:rFonts w:asciiTheme="majorHAnsi" w:eastAsiaTheme="majorEastAsia" w:hAnsiTheme="majorHAnsi" w:cstheme="majorBidi"/>
      <w:color w:val="1F3763" w:themeColor="accent1" w:themeShade="7F"/>
      <w:sz w:val="24"/>
      <w:szCs w:val="24"/>
      <w:lang w:val="en-US"/>
    </w:rPr>
  </w:style>
  <w:style w:type="paragraph" w:styleId="FootnoteText">
    <w:name w:val="footnote text"/>
    <w:basedOn w:val="Normal"/>
    <w:link w:val="FootnoteTextChar"/>
    <w:unhideWhenUsed/>
    <w:rsid w:val="005C409F"/>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C409F"/>
    <w:rPr>
      <w:sz w:val="20"/>
      <w:szCs w:val="20"/>
      <w:lang w:val="en-US"/>
    </w:rPr>
  </w:style>
  <w:style w:type="character" w:styleId="FootnoteReference">
    <w:name w:val="footnote reference"/>
    <w:basedOn w:val="DefaultParagraphFont"/>
    <w:semiHidden/>
    <w:unhideWhenUsed/>
    <w:rsid w:val="005C409F"/>
    <w:rPr>
      <w:vertAlign w:val="superscript"/>
    </w:rPr>
  </w:style>
  <w:style w:type="character" w:customStyle="1" w:styleId="legds2">
    <w:name w:val="legds2"/>
    <w:basedOn w:val="DefaultParagraphFont"/>
    <w:rsid w:val="005C409F"/>
    <w:rPr>
      <w:vanish w:val="0"/>
      <w:webHidden w:val="0"/>
      <w:specVanish w:val="0"/>
    </w:rPr>
  </w:style>
  <w:style w:type="paragraph" w:customStyle="1" w:styleId="legclearfix2">
    <w:name w:val="legclearfix2"/>
    <w:basedOn w:val="Normal"/>
    <w:rsid w:val="005C409F"/>
    <w:pPr>
      <w:shd w:val="clear" w:color="auto" w:fill="FFFFFF"/>
      <w:spacing w:after="120" w:line="360" w:lineRule="atLeast"/>
    </w:pPr>
    <w:rPr>
      <w:rFonts w:ascii="Times New Roman" w:eastAsia="Times New Roman" w:hAnsi="Times New Roman" w:cs="Times New Roman"/>
      <w:color w:val="000000"/>
      <w:sz w:val="19"/>
      <w:szCs w:val="19"/>
      <w:lang w:eastAsia="en-NZ"/>
    </w:rPr>
  </w:style>
  <w:style w:type="paragraph" w:styleId="BalloonText">
    <w:name w:val="Balloon Text"/>
    <w:basedOn w:val="Normal"/>
    <w:link w:val="BalloonTextChar"/>
    <w:uiPriority w:val="99"/>
    <w:semiHidden/>
    <w:unhideWhenUsed/>
    <w:rsid w:val="00BE0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B70"/>
    <w:rPr>
      <w:rFonts w:ascii="Segoe UI" w:hAnsi="Segoe UI" w:cs="Segoe UI"/>
      <w:sz w:val="18"/>
      <w:szCs w:val="18"/>
    </w:rPr>
  </w:style>
  <w:style w:type="character" w:styleId="Hyperlink">
    <w:name w:val="Hyperlink"/>
    <w:basedOn w:val="DefaultParagraphFont"/>
    <w:uiPriority w:val="99"/>
    <w:unhideWhenUsed/>
    <w:rsid w:val="003550FF"/>
    <w:rPr>
      <w:color w:val="0563C1" w:themeColor="hyperlink"/>
      <w:u w:val="single"/>
    </w:rPr>
  </w:style>
  <w:style w:type="character" w:customStyle="1" w:styleId="UnresolvedMention1">
    <w:name w:val="Unresolved Mention1"/>
    <w:basedOn w:val="DefaultParagraphFont"/>
    <w:uiPriority w:val="99"/>
    <w:semiHidden/>
    <w:unhideWhenUsed/>
    <w:rsid w:val="003550FF"/>
    <w:rPr>
      <w:color w:val="605E5C"/>
      <w:shd w:val="clear" w:color="auto" w:fill="E1DFDD"/>
    </w:rPr>
  </w:style>
  <w:style w:type="paragraph" w:customStyle="1" w:styleId="List123">
    <w:name w:val="List 1 2 3"/>
    <w:basedOn w:val="Normal"/>
    <w:rsid w:val="00917019"/>
    <w:pPr>
      <w:keepLines/>
      <w:numPr>
        <w:numId w:val="2"/>
      </w:numPr>
      <w:spacing w:before="80" w:after="80" w:line="240" w:lineRule="auto"/>
    </w:pPr>
    <w:rPr>
      <w:rFonts w:ascii="Calibri" w:hAnsi="Calibri" w:cs="Times New Roman"/>
      <w:sz w:val="24"/>
      <w:szCs w:val="24"/>
    </w:rPr>
  </w:style>
  <w:style w:type="paragraph" w:customStyle="1" w:styleId="List123level2">
    <w:name w:val="List 1 2 3 level 2"/>
    <w:basedOn w:val="Normal"/>
    <w:uiPriority w:val="1"/>
    <w:semiHidden/>
    <w:qFormat/>
    <w:rsid w:val="00917019"/>
    <w:pPr>
      <w:keepLines/>
      <w:numPr>
        <w:ilvl w:val="1"/>
        <w:numId w:val="2"/>
      </w:numPr>
      <w:spacing w:before="80" w:after="80" w:line="240" w:lineRule="auto"/>
    </w:pPr>
    <w:rPr>
      <w:rFonts w:ascii="Calibri" w:hAnsi="Calibri" w:cs="Times New Roman"/>
      <w:sz w:val="24"/>
      <w:szCs w:val="24"/>
    </w:rPr>
  </w:style>
  <w:style w:type="paragraph" w:customStyle="1" w:styleId="List123level3">
    <w:name w:val="List 1 2 3 level 3"/>
    <w:basedOn w:val="Normal"/>
    <w:uiPriority w:val="1"/>
    <w:semiHidden/>
    <w:qFormat/>
    <w:rsid w:val="00917019"/>
    <w:pPr>
      <w:keepLines/>
      <w:numPr>
        <w:ilvl w:val="2"/>
        <w:numId w:val="2"/>
      </w:numPr>
      <w:spacing w:before="80" w:after="80" w:line="240" w:lineRule="auto"/>
    </w:pPr>
    <w:rPr>
      <w:rFonts w:ascii="Calibri" w:hAnsi="Calibri" w:cs="Times New Roman"/>
      <w:sz w:val="24"/>
      <w:szCs w:val="24"/>
    </w:rPr>
  </w:style>
  <w:style w:type="character" w:styleId="Strong">
    <w:name w:val="Strong"/>
    <w:uiPriority w:val="22"/>
    <w:qFormat/>
    <w:rsid w:val="00C34ADF"/>
    <w:rPr>
      <w:b/>
      <w:bCs/>
    </w:rPr>
  </w:style>
  <w:style w:type="numbering" w:customStyle="1" w:styleId="Style1">
    <w:name w:val="Style1"/>
    <w:uiPriority w:val="99"/>
    <w:rsid w:val="001C6426"/>
    <w:pPr>
      <w:numPr>
        <w:numId w:val="3"/>
      </w:numPr>
    </w:pPr>
  </w:style>
  <w:style w:type="numbering" w:customStyle="1" w:styleId="Style2">
    <w:name w:val="Style2"/>
    <w:uiPriority w:val="99"/>
    <w:rsid w:val="001C6426"/>
    <w:pPr>
      <w:numPr>
        <w:numId w:val="4"/>
      </w:numPr>
    </w:pPr>
  </w:style>
  <w:style w:type="paragraph" w:styleId="NormalWeb">
    <w:name w:val="Normal (Web)"/>
    <w:basedOn w:val="Normal"/>
    <w:uiPriority w:val="99"/>
    <w:semiHidden/>
    <w:unhideWhenUsed/>
    <w:rsid w:val="000A182B"/>
    <w:pPr>
      <w:spacing w:after="150"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6A4F31"/>
    <w:rPr>
      <w:sz w:val="16"/>
      <w:szCs w:val="16"/>
    </w:rPr>
  </w:style>
  <w:style w:type="paragraph" w:styleId="CommentText">
    <w:name w:val="annotation text"/>
    <w:basedOn w:val="Normal"/>
    <w:link w:val="CommentTextChar"/>
    <w:uiPriority w:val="99"/>
    <w:semiHidden/>
    <w:unhideWhenUsed/>
    <w:rsid w:val="006A4F31"/>
    <w:pPr>
      <w:spacing w:line="240" w:lineRule="auto"/>
    </w:pPr>
    <w:rPr>
      <w:sz w:val="20"/>
      <w:szCs w:val="20"/>
    </w:rPr>
  </w:style>
  <w:style w:type="character" w:customStyle="1" w:styleId="CommentTextChar">
    <w:name w:val="Comment Text Char"/>
    <w:basedOn w:val="DefaultParagraphFont"/>
    <w:link w:val="CommentText"/>
    <w:uiPriority w:val="99"/>
    <w:semiHidden/>
    <w:rsid w:val="006A4F31"/>
    <w:rPr>
      <w:sz w:val="20"/>
      <w:szCs w:val="20"/>
    </w:rPr>
  </w:style>
  <w:style w:type="paragraph" w:styleId="CommentSubject">
    <w:name w:val="annotation subject"/>
    <w:basedOn w:val="CommentText"/>
    <w:next w:val="CommentText"/>
    <w:link w:val="CommentSubjectChar"/>
    <w:uiPriority w:val="99"/>
    <w:semiHidden/>
    <w:unhideWhenUsed/>
    <w:rsid w:val="006A4F31"/>
    <w:rPr>
      <w:b/>
      <w:bCs/>
    </w:rPr>
  </w:style>
  <w:style w:type="character" w:customStyle="1" w:styleId="CommentSubjectChar">
    <w:name w:val="Comment Subject Char"/>
    <w:basedOn w:val="CommentTextChar"/>
    <w:link w:val="CommentSubject"/>
    <w:uiPriority w:val="99"/>
    <w:semiHidden/>
    <w:rsid w:val="006A4F31"/>
    <w:rPr>
      <w:b/>
      <w:bCs/>
      <w:sz w:val="20"/>
      <w:szCs w:val="20"/>
    </w:rPr>
  </w:style>
  <w:style w:type="paragraph" w:customStyle="1" w:styleId="Default">
    <w:name w:val="Default"/>
    <w:rsid w:val="004C6235"/>
    <w:pPr>
      <w:autoSpaceDE w:val="0"/>
      <w:autoSpaceDN w:val="0"/>
      <w:adjustRightInd w:val="0"/>
      <w:spacing w:after="0" w:line="240" w:lineRule="auto"/>
    </w:pPr>
    <w:rPr>
      <w:rFonts w:ascii="Minion Pro" w:hAnsi="Minion Pro" w:cs="Minion Pro"/>
      <w:color w:val="000000"/>
      <w:sz w:val="24"/>
      <w:szCs w:val="24"/>
    </w:rPr>
  </w:style>
  <w:style w:type="paragraph" w:customStyle="1" w:styleId="Pa26">
    <w:name w:val="Pa26"/>
    <w:basedOn w:val="Default"/>
    <w:next w:val="Default"/>
    <w:uiPriority w:val="99"/>
    <w:rsid w:val="004C6235"/>
    <w:pPr>
      <w:spacing w:line="201" w:lineRule="atLeast"/>
    </w:pPr>
    <w:rPr>
      <w:rFonts w:cstheme="minorBidi"/>
      <w:color w:val="auto"/>
    </w:rPr>
  </w:style>
  <w:style w:type="character" w:customStyle="1" w:styleId="A14">
    <w:name w:val="A14"/>
    <w:uiPriority w:val="99"/>
    <w:rsid w:val="004C6235"/>
    <w:rPr>
      <w:rFonts w:ascii="Minion Pro Capt" w:hAnsi="Minion Pro Capt" w:cs="Minion Pro Capt"/>
      <w:color w:val="000000"/>
      <w:sz w:val="12"/>
      <w:szCs w:val="12"/>
    </w:rPr>
  </w:style>
  <w:style w:type="paragraph" w:customStyle="1" w:styleId="Pa42">
    <w:name w:val="Pa42"/>
    <w:basedOn w:val="Default"/>
    <w:next w:val="Default"/>
    <w:uiPriority w:val="99"/>
    <w:rsid w:val="002B2DEE"/>
    <w:pPr>
      <w:spacing w:line="161" w:lineRule="atLeast"/>
    </w:pPr>
    <w:rPr>
      <w:rFonts w:ascii="Minion Pro Capt" w:hAnsi="Minion Pro Capt" w:cstheme="minorBidi"/>
      <w:color w:val="auto"/>
    </w:rPr>
  </w:style>
  <w:style w:type="paragraph" w:customStyle="1" w:styleId="Pa22">
    <w:name w:val="Pa22"/>
    <w:basedOn w:val="Default"/>
    <w:next w:val="Default"/>
    <w:uiPriority w:val="99"/>
    <w:rsid w:val="00287AC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0994">
      <w:bodyDiv w:val="1"/>
      <w:marLeft w:val="0"/>
      <w:marRight w:val="0"/>
      <w:marTop w:val="0"/>
      <w:marBottom w:val="0"/>
      <w:divBdr>
        <w:top w:val="none" w:sz="0" w:space="0" w:color="auto"/>
        <w:left w:val="none" w:sz="0" w:space="0" w:color="auto"/>
        <w:bottom w:val="none" w:sz="0" w:space="0" w:color="auto"/>
        <w:right w:val="none" w:sz="0" w:space="0" w:color="auto"/>
      </w:divBdr>
      <w:divsChild>
        <w:div w:id="699277478">
          <w:marLeft w:val="0"/>
          <w:marRight w:val="0"/>
          <w:marTop w:val="0"/>
          <w:marBottom w:val="0"/>
          <w:divBdr>
            <w:top w:val="none" w:sz="0" w:space="0" w:color="auto"/>
            <w:left w:val="none" w:sz="0" w:space="0" w:color="auto"/>
            <w:bottom w:val="none" w:sz="0" w:space="0" w:color="auto"/>
            <w:right w:val="none" w:sz="0" w:space="0" w:color="auto"/>
          </w:divBdr>
          <w:divsChild>
            <w:div w:id="1684089176">
              <w:marLeft w:val="0"/>
              <w:marRight w:val="0"/>
              <w:marTop w:val="0"/>
              <w:marBottom w:val="0"/>
              <w:divBdr>
                <w:top w:val="none" w:sz="0" w:space="0" w:color="auto"/>
                <w:left w:val="none" w:sz="0" w:space="0" w:color="auto"/>
                <w:bottom w:val="none" w:sz="0" w:space="0" w:color="auto"/>
                <w:right w:val="none" w:sz="0" w:space="0" w:color="auto"/>
              </w:divBdr>
              <w:divsChild>
                <w:div w:id="295795540">
                  <w:marLeft w:val="0"/>
                  <w:marRight w:val="0"/>
                  <w:marTop w:val="0"/>
                  <w:marBottom w:val="0"/>
                  <w:divBdr>
                    <w:top w:val="none" w:sz="0" w:space="0" w:color="auto"/>
                    <w:left w:val="none" w:sz="0" w:space="0" w:color="auto"/>
                    <w:bottom w:val="none" w:sz="0" w:space="0" w:color="auto"/>
                    <w:right w:val="none" w:sz="0" w:space="0" w:color="auto"/>
                  </w:divBdr>
                  <w:divsChild>
                    <w:div w:id="1887446226">
                      <w:marLeft w:val="0"/>
                      <w:marRight w:val="0"/>
                      <w:marTop w:val="0"/>
                      <w:marBottom w:val="0"/>
                      <w:divBdr>
                        <w:top w:val="none" w:sz="0" w:space="0" w:color="auto"/>
                        <w:left w:val="none" w:sz="0" w:space="0" w:color="auto"/>
                        <w:bottom w:val="none" w:sz="0" w:space="0" w:color="auto"/>
                        <w:right w:val="none" w:sz="0" w:space="0" w:color="auto"/>
                      </w:divBdr>
                      <w:divsChild>
                        <w:div w:id="319774299">
                          <w:marLeft w:val="0"/>
                          <w:marRight w:val="0"/>
                          <w:marTop w:val="0"/>
                          <w:marBottom w:val="0"/>
                          <w:divBdr>
                            <w:top w:val="none" w:sz="0" w:space="0" w:color="auto"/>
                            <w:left w:val="none" w:sz="0" w:space="0" w:color="auto"/>
                            <w:bottom w:val="none" w:sz="0" w:space="0" w:color="auto"/>
                            <w:right w:val="none" w:sz="0" w:space="0" w:color="auto"/>
                          </w:divBdr>
                          <w:divsChild>
                            <w:div w:id="1452089437">
                              <w:marLeft w:val="-225"/>
                              <w:marRight w:val="-225"/>
                              <w:marTop w:val="0"/>
                              <w:marBottom w:val="0"/>
                              <w:divBdr>
                                <w:top w:val="none" w:sz="0" w:space="0" w:color="auto"/>
                                <w:left w:val="none" w:sz="0" w:space="0" w:color="auto"/>
                                <w:bottom w:val="none" w:sz="0" w:space="0" w:color="auto"/>
                                <w:right w:val="none" w:sz="0" w:space="0" w:color="auto"/>
                              </w:divBdr>
                              <w:divsChild>
                                <w:div w:id="894657141">
                                  <w:marLeft w:val="0"/>
                                  <w:marRight w:val="0"/>
                                  <w:marTop w:val="0"/>
                                  <w:marBottom w:val="0"/>
                                  <w:divBdr>
                                    <w:top w:val="none" w:sz="0" w:space="0" w:color="auto"/>
                                    <w:left w:val="none" w:sz="0" w:space="0" w:color="auto"/>
                                    <w:bottom w:val="none" w:sz="0" w:space="0" w:color="auto"/>
                                    <w:right w:val="none" w:sz="0" w:space="0" w:color="auto"/>
                                  </w:divBdr>
                                  <w:divsChild>
                                    <w:div w:id="1294405878">
                                      <w:marLeft w:val="0"/>
                                      <w:marRight w:val="0"/>
                                      <w:marTop w:val="0"/>
                                      <w:marBottom w:val="0"/>
                                      <w:divBdr>
                                        <w:top w:val="none" w:sz="0" w:space="0" w:color="auto"/>
                                        <w:left w:val="none" w:sz="0" w:space="0" w:color="auto"/>
                                        <w:bottom w:val="none" w:sz="0" w:space="0" w:color="auto"/>
                                        <w:right w:val="none" w:sz="0" w:space="0" w:color="auto"/>
                                      </w:divBdr>
                                      <w:divsChild>
                                        <w:div w:id="45875956">
                                          <w:marLeft w:val="0"/>
                                          <w:marRight w:val="0"/>
                                          <w:marTop w:val="0"/>
                                          <w:marBottom w:val="0"/>
                                          <w:divBdr>
                                            <w:top w:val="none" w:sz="0" w:space="0" w:color="auto"/>
                                            <w:left w:val="none" w:sz="0" w:space="0" w:color="auto"/>
                                            <w:bottom w:val="none" w:sz="0" w:space="0" w:color="auto"/>
                                            <w:right w:val="none" w:sz="0" w:space="0" w:color="auto"/>
                                          </w:divBdr>
                                          <w:divsChild>
                                            <w:div w:id="1069108323">
                                              <w:marLeft w:val="0"/>
                                              <w:marRight w:val="0"/>
                                              <w:marTop w:val="0"/>
                                              <w:marBottom w:val="0"/>
                                              <w:divBdr>
                                                <w:top w:val="none" w:sz="0" w:space="0" w:color="auto"/>
                                                <w:left w:val="none" w:sz="0" w:space="0" w:color="auto"/>
                                                <w:bottom w:val="none" w:sz="0" w:space="0" w:color="auto"/>
                                                <w:right w:val="none" w:sz="0" w:space="0" w:color="auto"/>
                                              </w:divBdr>
                                              <w:divsChild>
                                                <w:div w:id="2145656485">
                                                  <w:marLeft w:val="0"/>
                                                  <w:marRight w:val="0"/>
                                                  <w:marTop w:val="0"/>
                                                  <w:marBottom w:val="0"/>
                                                  <w:divBdr>
                                                    <w:top w:val="none" w:sz="0" w:space="0" w:color="auto"/>
                                                    <w:left w:val="none" w:sz="0" w:space="0" w:color="auto"/>
                                                    <w:bottom w:val="none" w:sz="0" w:space="0" w:color="auto"/>
                                                    <w:right w:val="none" w:sz="0" w:space="0" w:color="auto"/>
                                                  </w:divBdr>
                                                  <w:divsChild>
                                                    <w:div w:id="1203402080">
                                                      <w:marLeft w:val="0"/>
                                                      <w:marRight w:val="0"/>
                                                      <w:marTop w:val="0"/>
                                                      <w:marBottom w:val="300"/>
                                                      <w:divBdr>
                                                        <w:top w:val="none" w:sz="0" w:space="0" w:color="auto"/>
                                                        <w:left w:val="none" w:sz="0" w:space="0" w:color="auto"/>
                                                        <w:bottom w:val="none" w:sz="0" w:space="0" w:color="auto"/>
                                                        <w:right w:val="none" w:sz="0" w:space="0" w:color="auto"/>
                                                      </w:divBdr>
                                                      <w:divsChild>
                                                        <w:div w:id="1806308962">
                                                          <w:marLeft w:val="0"/>
                                                          <w:marRight w:val="0"/>
                                                          <w:marTop w:val="0"/>
                                                          <w:marBottom w:val="0"/>
                                                          <w:divBdr>
                                                            <w:top w:val="none" w:sz="0" w:space="0" w:color="auto"/>
                                                            <w:left w:val="none" w:sz="0" w:space="0" w:color="auto"/>
                                                            <w:bottom w:val="none" w:sz="0" w:space="0" w:color="auto"/>
                                                            <w:right w:val="none" w:sz="0" w:space="0" w:color="auto"/>
                                                          </w:divBdr>
                                                          <w:divsChild>
                                                            <w:div w:id="7561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2733">
      <w:bodyDiv w:val="1"/>
      <w:marLeft w:val="0"/>
      <w:marRight w:val="0"/>
      <w:marTop w:val="0"/>
      <w:marBottom w:val="0"/>
      <w:divBdr>
        <w:top w:val="none" w:sz="0" w:space="0" w:color="auto"/>
        <w:left w:val="none" w:sz="0" w:space="0" w:color="auto"/>
        <w:bottom w:val="none" w:sz="0" w:space="0" w:color="auto"/>
        <w:right w:val="none" w:sz="0" w:space="0" w:color="auto"/>
      </w:divBdr>
      <w:divsChild>
        <w:div w:id="885261783">
          <w:marLeft w:val="0"/>
          <w:marRight w:val="0"/>
          <w:marTop w:val="0"/>
          <w:marBottom w:val="0"/>
          <w:divBdr>
            <w:top w:val="none" w:sz="0" w:space="0" w:color="auto"/>
            <w:left w:val="none" w:sz="0" w:space="0" w:color="auto"/>
            <w:bottom w:val="none" w:sz="0" w:space="0" w:color="auto"/>
            <w:right w:val="none" w:sz="0" w:space="0" w:color="auto"/>
          </w:divBdr>
          <w:divsChild>
            <w:div w:id="941954861">
              <w:marLeft w:val="0"/>
              <w:marRight w:val="0"/>
              <w:marTop w:val="0"/>
              <w:marBottom w:val="0"/>
              <w:divBdr>
                <w:top w:val="none" w:sz="0" w:space="0" w:color="auto"/>
                <w:left w:val="none" w:sz="0" w:space="0" w:color="auto"/>
                <w:bottom w:val="none" w:sz="0" w:space="0" w:color="auto"/>
                <w:right w:val="none" w:sz="0" w:space="0" w:color="auto"/>
              </w:divBdr>
              <w:divsChild>
                <w:div w:id="467355498">
                  <w:marLeft w:val="0"/>
                  <w:marRight w:val="0"/>
                  <w:marTop w:val="0"/>
                  <w:marBottom w:val="0"/>
                  <w:divBdr>
                    <w:top w:val="none" w:sz="0" w:space="0" w:color="auto"/>
                    <w:left w:val="none" w:sz="0" w:space="0" w:color="auto"/>
                    <w:bottom w:val="none" w:sz="0" w:space="0" w:color="auto"/>
                    <w:right w:val="none" w:sz="0" w:space="0" w:color="auto"/>
                  </w:divBdr>
                  <w:divsChild>
                    <w:div w:id="1732339256">
                      <w:marLeft w:val="0"/>
                      <w:marRight w:val="0"/>
                      <w:marTop w:val="0"/>
                      <w:marBottom w:val="0"/>
                      <w:divBdr>
                        <w:top w:val="none" w:sz="0" w:space="0" w:color="auto"/>
                        <w:left w:val="none" w:sz="0" w:space="0" w:color="auto"/>
                        <w:bottom w:val="none" w:sz="0" w:space="0" w:color="auto"/>
                        <w:right w:val="none" w:sz="0" w:space="0" w:color="auto"/>
                      </w:divBdr>
                      <w:divsChild>
                        <w:div w:id="1426269286">
                          <w:marLeft w:val="0"/>
                          <w:marRight w:val="0"/>
                          <w:marTop w:val="0"/>
                          <w:marBottom w:val="0"/>
                          <w:divBdr>
                            <w:top w:val="none" w:sz="0" w:space="0" w:color="auto"/>
                            <w:left w:val="none" w:sz="0" w:space="0" w:color="auto"/>
                            <w:bottom w:val="none" w:sz="0" w:space="0" w:color="auto"/>
                            <w:right w:val="none" w:sz="0" w:space="0" w:color="auto"/>
                          </w:divBdr>
                          <w:divsChild>
                            <w:div w:id="291788738">
                              <w:marLeft w:val="-225"/>
                              <w:marRight w:val="-225"/>
                              <w:marTop w:val="0"/>
                              <w:marBottom w:val="0"/>
                              <w:divBdr>
                                <w:top w:val="none" w:sz="0" w:space="0" w:color="auto"/>
                                <w:left w:val="none" w:sz="0" w:space="0" w:color="auto"/>
                                <w:bottom w:val="none" w:sz="0" w:space="0" w:color="auto"/>
                                <w:right w:val="none" w:sz="0" w:space="0" w:color="auto"/>
                              </w:divBdr>
                              <w:divsChild>
                                <w:div w:id="657226788">
                                  <w:marLeft w:val="0"/>
                                  <w:marRight w:val="0"/>
                                  <w:marTop w:val="0"/>
                                  <w:marBottom w:val="0"/>
                                  <w:divBdr>
                                    <w:top w:val="none" w:sz="0" w:space="0" w:color="auto"/>
                                    <w:left w:val="none" w:sz="0" w:space="0" w:color="auto"/>
                                    <w:bottom w:val="none" w:sz="0" w:space="0" w:color="auto"/>
                                    <w:right w:val="none" w:sz="0" w:space="0" w:color="auto"/>
                                  </w:divBdr>
                                  <w:divsChild>
                                    <w:div w:id="1636180028">
                                      <w:marLeft w:val="0"/>
                                      <w:marRight w:val="0"/>
                                      <w:marTop w:val="0"/>
                                      <w:marBottom w:val="0"/>
                                      <w:divBdr>
                                        <w:top w:val="none" w:sz="0" w:space="0" w:color="auto"/>
                                        <w:left w:val="none" w:sz="0" w:space="0" w:color="auto"/>
                                        <w:bottom w:val="none" w:sz="0" w:space="0" w:color="auto"/>
                                        <w:right w:val="none" w:sz="0" w:space="0" w:color="auto"/>
                                      </w:divBdr>
                                      <w:divsChild>
                                        <w:div w:id="1814638364">
                                          <w:marLeft w:val="0"/>
                                          <w:marRight w:val="0"/>
                                          <w:marTop w:val="0"/>
                                          <w:marBottom w:val="0"/>
                                          <w:divBdr>
                                            <w:top w:val="none" w:sz="0" w:space="0" w:color="auto"/>
                                            <w:left w:val="none" w:sz="0" w:space="0" w:color="auto"/>
                                            <w:bottom w:val="none" w:sz="0" w:space="0" w:color="auto"/>
                                            <w:right w:val="none" w:sz="0" w:space="0" w:color="auto"/>
                                          </w:divBdr>
                                          <w:divsChild>
                                            <w:div w:id="284698810">
                                              <w:marLeft w:val="0"/>
                                              <w:marRight w:val="0"/>
                                              <w:marTop w:val="0"/>
                                              <w:marBottom w:val="0"/>
                                              <w:divBdr>
                                                <w:top w:val="none" w:sz="0" w:space="0" w:color="auto"/>
                                                <w:left w:val="none" w:sz="0" w:space="0" w:color="auto"/>
                                                <w:bottom w:val="none" w:sz="0" w:space="0" w:color="auto"/>
                                                <w:right w:val="none" w:sz="0" w:space="0" w:color="auto"/>
                                              </w:divBdr>
                                              <w:divsChild>
                                                <w:div w:id="1265571351">
                                                  <w:marLeft w:val="0"/>
                                                  <w:marRight w:val="0"/>
                                                  <w:marTop w:val="0"/>
                                                  <w:marBottom w:val="0"/>
                                                  <w:divBdr>
                                                    <w:top w:val="none" w:sz="0" w:space="0" w:color="auto"/>
                                                    <w:left w:val="none" w:sz="0" w:space="0" w:color="auto"/>
                                                    <w:bottom w:val="none" w:sz="0" w:space="0" w:color="auto"/>
                                                    <w:right w:val="none" w:sz="0" w:space="0" w:color="auto"/>
                                                  </w:divBdr>
                                                  <w:divsChild>
                                                    <w:div w:id="103960613">
                                                      <w:marLeft w:val="0"/>
                                                      <w:marRight w:val="0"/>
                                                      <w:marTop w:val="0"/>
                                                      <w:marBottom w:val="300"/>
                                                      <w:divBdr>
                                                        <w:top w:val="none" w:sz="0" w:space="0" w:color="auto"/>
                                                        <w:left w:val="none" w:sz="0" w:space="0" w:color="auto"/>
                                                        <w:bottom w:val="none" w:sz="0" w:space="0" w:color="auto"/>
                                                        <w:right w:val="none" w:sz="0" w:space="0" w:color="auto"/>
                                                      </w:divBdr>
                                                      <w:divsChild>
                                                        <w:div w:id="240717348">
                                                          <w:marLeft w:val="0"/>
                                                          <w:marRight w:val="0"/>
                                                          <w:marTop w:val="0"/>
                                                          <w:marBottom w:val="0"/>
                                                          <w:divBdr>
                                                            <w:top w:val="none" w:sz="0" w:space="0" w:color="auto"/>
                                                            <w:left w:val="none" w:sz="0" w:space="0" w:color="auto"/>
                                                            <w:bottom w:val="none" w:sz="0" w:space="0" w:color="auto"/>
                                                            <w:right w:val="none" w:sz="0" w:space="0" w:color="auto"/>
                                                          </w:divBdr>
                                                          <w:divsChild>
                                                            <w:div w:id="2138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493146">
      <w:bodyDiv w:val="1"/>
      <w:marLeft w:val="0"/>
      <w:marRight w:val="0"/>
      <w:marTop w:val="0"/>
      <w:marBottom w:val="0"/>
      <w:divBdr>
        <w:top w:val="none" w:sz="0" w:space="0" w:color="auto"/>
        <w:left w:val="none" w:sz="0" w:space="0" w:color="auto"/>
        <w:bottom w:val="none" w:sz="0" w:space="0" w:color="auto"/>
        <w:right w:val="none" w:sz="0" w:space="0" w:color="auto"/>
      </w:divBdr>
    </w:div>
    <w:div w:id="606697504">
      <w:bodyDiv w:val="1"/>
      <w:marLeft w:val="0"/>
      <w:marRight w:val="0"/>
      <w:marTop w:val="0"/>
      <w:marBottom w:val="0"/>
      <w:divBdr>
        <w:top w:val="none" w:sz="0" w:space="0" w:color="auto"/>
        <w:left w:val="none" w:sz="0" w:space="0" w:color="auto"/>
        <w:bottom w:val="none" w:sz="0" w:space="0" w:color="auto"/>
        <w:right w:val="none" w:sz="0" w:space="0" w:color="auto"/>
      </w:divBdr>
    </w:div>
    <w:div w:id="794248718">
      <w:bodyDiv w:val="1"/>
      <w:marLeft w:val="0"/>
      <w:marRight w:val="0"/>
      <w:marTop w:val="0"/>
      <w:marBottom w:val="0"/>
      <w:divBdr>
        <w:top w:val="none" w:sz="0" w:space="0" w:color="auto"/>
        <w:left w:val="none" w:sz="0" w:space="0" w:color="auto"/>
        <w:bottom w:val="none" w:sz="0" w:space="0" w:color="auto"/>
        <w:right w:val="none" w:sz="0" w:space="0" w:color="auto"/>
      </w:divBdr>
    </w:div>
    <w:div w:id="1048458954">
      <w:bodyDiv w:val="1"/>
      <w:marLeft w:val="0"/>
      <w:marRight w:val="0"/>
      <w:marTop w:val="0"/>
      <w:marBottom w:val="0"/>
      <w:divBdr>
        <w:top w:val="none" w:sz="0" w:space="0" w:color="auto"/>
        <w:left w:val="none" w:sz="0" w:space="0" w:color="auto"/>
        <w:bottom w:val="none" w:sz="0" w:space="0" w:color="auto"/>
        <w:right w:val="none" w:sz="0" w:space="0" w:color="auto"/>
      </w:divBdr>
      <w:divsChild>
        <w:div w:id="1195078435">
          <w:marLeft w:val="0"/>
          <w:marRight w:val="0"/>
          <w:marTop w:val="0"/>
          <w:marBottom w:val="0"/>
          <w:divBdr>
            <w:top w:val="none" w:sz="0" w:space="0" w:color="auto"/>
            <w:left w:val="none" w:sz="0" w:space="0" w:color="auto"/>
            <w:bottom w:val="none" w:sz="0" w:space="0" w:color="auto"/>
            <w:right w:val="none" w:sz="0" w:space="0" w:color="auto"/>
          </w:divBdr>
        </w:div>
      </w:divsChild>
    </w:div>
    <w:div w:id="1210342731">
      <w:bodyDiv w:val="1"/>
      <w:marLeft w:val="0"/>
      <w:marRight w:val="0"/>
      <w:marTop w:val="0"/>
      <w:marBottom w:val="0"/>
      <w:divBdr>
        <w:top w:val="none" w:sz="0" w:space="0" w:color="auto"/>
        <w:left w:val="none" w:sz="0" w:space="0" w:color="auto"/>
        <w:bottom w:val="none" w:sz="0" w:space="0" w:color="auto"/>
        <w:right w:val="none" w:sz="0" w:space="0" w:color="auto"/>
      </w:divBdr>
    </w:div>
    <w:div w:id="21419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2" ma:contentTypeDescription="Create a new document." ma:contentTypeScope="" ma:versionID="e6da1875b6a2489cb8f7e357e8fa3dfd">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5b4570c0018edc0f02fbc4d7acfc028c"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074E-3AF4-4232-8206-1D828DF0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56BF9-14CD-4F12-8236-E1CFE26B71E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35bf68-3af0-40a9-aecb-4b07af5a9f0a"/>
    <ds:schemaRef ds:uri="http://purl.org/dc/terms/"/>
    <ds:schemaRef ds:uri="http://schemas.openxmlformats.org/package/2006/metadata/core-properties"/>
    <ds:schemaRef ds:uri="c1bbcd95-0181-462d-9c52-e702bfb7079d"/>
    <ds:schemaRef ds:uri="http://www.w3.org/XML/1998/namespace"/>
    <ds:schemaRef ds:uri="http://purl.org/dc/dcmitype/"/>
  </ds:schemaRefs>
</ds:datastoreItem>
</file>

<file path=customXml/itemProps3.xml><?xml version="1.0" encoding="utf-8"?>
<ds:datastoreItem xmlns:ds="http://schemas.openxmlformats.org/officeDocument/2006/customXml" ds:itemID="{43771D86-DEA0-4804-AD9C-24326AC3E676}">
  <ds:schemaRefs>
    <ds:schemaRef ds:uri="http://schemas.microsoft.com/sharepoint/v3/contenttype/forms"/>
  </ds:schemaRefs>
</ds:datastoreItem>
</file>

<file path=customXml/itemProps4.xml><?xml version="1.0" encoding="utf-8"?>
<ds:datastoreItem xmlns:ds="http://schemas.openxmlformats.org/officeDocument/2006/customXml" ds:itemID="{E52016AA-5F6C-45E0-B9AC-28082B07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3777</Words>
  <Characters>21529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Tony Wallace</cp:lastModifiedBy>
  <cp:revision>2</cp:revision>
  <dcterms:created xsi:type="dcterms:W3CDTF">2020-03-10T01:56:00Z</dcterms:created>
  <dcterms:modified xsi:type="dcterms:W3CDTF">2020-03-10T01:56:00Z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TaxKeyword">
    <vt:lpwstr/>
  </property>
  <property fmtid="{D5CDD505-2E9C-101B-9397-08002B2CF9AE}" pid="4" name="C3Topic">
    <vt:lpwstr/>
  </property>
  <property fmtid="{D5CDD505-2E9C-101B-9397-08002B2CF9AE}" pid="5" name="DIASecurityClassification">
    <vt:lpwstr>1;#UNCLASSIFIED|875d92a8-67e2-4a32-9472-8fe99549e1eb</vt:lpwstr>
  </property>
  <property fmtid="{D5CDD505-2E9C-101B-9397-08002B2CF9AE}" pid="6" name="_dlc_DocIdItemGuid">
    <vt:lpwstr>ed06e738-9e61-4a11-8e2b-44accb4747d9</vt:lpwstr>
  </property>
</Properties>
</file>