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8414"/>
      </w:tblGrid>
      <w:tr w:rsidR="00D618DC" w:rsidRPr="0021051A" w14:paraId="1FCA5D66" w14:textId="77777777" w:rsidTr="00F85966">
        <w:trPr>
          <w:trHeight w:val="560"/>
        </w:trPr>
        <w:tc>
          <w:tcPr>
            <w:tcW w:w="8414" w:type="dxa"/>
          </w:tcPr>
          <w:p w14:paraId="263D7BFD" w14:textId="4C9E188E" w:rsidR="00D618DC" w:rsidRPr="0021051A" w:rsidRDefault="00D618DC" w:rsidP="0057690E">
            <w:pPr>
              <w:tabs>
                <w:tab w:val="left" w:pos="2268"/>
                <w:tab w:val="left" w:pos="5103"/>
              </w:tabs>
              <w:spacing w:before="120" w:after="240" w:line="240" w:lineRule="auto"/>
              <w:rPr>
                <w:rFonts w:asciiTheme="minorHAnsi" w:hAnsiTheme="minorHAnsi" w:cstheme="minorHAnsi"/>
                <w:b/>
              </w:rPr>
            </w:pPr>
            <w:r w:rsidRPr="0021051A">
              <w:rPr>
                <w:rFonts w:asciiTheme="minorHAnsi" w:hAnsiTheme="minorHAnsi" w:cstheme="minorHAnsi"/>
                <w:noProof/>
                <w:color w:val="000000"/>
                <w:bdr w:val="none" w:sz="0" w:space="0" w:color="auto" w:frame="1"/>
              </w:rPr>
              <w:drawing>
                <wp:anchor distT="0" distB="0" distL="114300" distR="114300" simplePos="0" relativeHeight="251659264" behindDoc="0" locked="0" layoutInCell="1" allowOverlap="1" wp14:anchorId="6820E663" wp14:editId="51335CE6">
                  <wp:simplePos x="0" y="0"/>
                  <wp:positionH relativeFrom="margin">
                    <wp:align>center</wp:align>
                  </wp:positionH>
                  <wp:positionV relativeFrom="paragraph">
                    <wp:posOffset>0</wp:posOffset>
                  </wp:positionV>
                  <wp:extent cx="3552825" cy="762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762000"/>
                          </a:xfrm>
                          <a:prstGeom prst="rect">
                            <a:avLst/>
                          </a:prstGeom>
                          <a:noFill/>
                          <a:ln>
                            <a:noFill/>
                          </a:ln>
                        </pic:spPr>
                      </pic:pic>
                    </a:graphicData>
                  </a:graphic>
                </wp:anchor>
              </w:drawing>
            </w:r>
          </w:p>
        </w:tc>
      </w:tr>
      <w:tr w:rsidR="00ED0B4D" w:rsidRPr="0021051A" w14:paraId="5FB77948" w14:textId="77777777" w:rsidTr="00F85966">
        <w:trPr>
          <w:trHeight w:val="552"/>
        </w:trPr>
        <w:tc>
          <w:tcPr>
            <w:tcW w:w="8414" w:type="dxa"/>
          </w:tcPr>
          <w:p w14:paraId="5B5C82C9" w14:textId="1540AADB" w:rsidR="00ED0B4D" w:rsidRPr="0021051A" w:rsidRDefault="00ED0B4D" w:rsidP="0057690E">
            <w:pPr>
              <w:tabs>
                <w:tab w:val="left" w:pos="2268"/>
                <w:tab w:val="left" w:pos="5103"/>
              </w:tabs>
              <w:spacing w:before="120" w:after="240" w:line="240" w:lineRule="auto"/>
              <w:rPr>
                <w:rFonts w:asciiTheme="minorHAnsi" w:hAnsiTheme="minorHAnsi" w:cstheme="minorHAnsi"/>
                <w:b/>
              </w:rPr>
            </w:pPr>
            <w:r w:rsidRPr="0021051A">
              <w:rPr>
                <w:rFonts w:asciiTheme="minorHAnsi" w:hAnsiTheme="minorHAnsi" w:cstheme="minorHAnsi"/>
                <w:b/>
              </w:rPr>
              <w:tab/>
            </w:r>
          </w:p>
          <w:p w14:paraId="07122F91" w14:textId="77777777" w:rsidR="00ED0B4D" w:rsidRPr="0021051A" w:rsidRDefault="00ED0B4D" w:rsidP="0057690E">
            <w:pPr>
              <w:tabs>
                <w:tab w:val="left" w:pos="2268"/>
                <w:tab w:val="left" w:pos="5103"/>
              </w:tabs>
              <w:spacing w:before="120" w:after="240" w:line="240" w:lineRule="auto"/>
              <w:rPr>
                <w:rFonts w:asciiTheme="minorHAnsi" w:hAnsiTheme="minorHAnsi" w:cstheme="minorHAnsi"/>
                <w:b/>
              </w:rPr>
            </w:pPr>
            <w:r w:rsidRPr="0021051A">
              <w:rPr>
                <w:rFonts w:asciiTheme="minorHAnsi" w:hAnsiTheme="minorHAnsi" w:cstheme="minorHAnsi"/>
                <w:b/>
              </w:rPr>
              <w:tab/>
            </w:r>
          </w:p>
        </w:tc>
      </w:tr>
      <w:tr w:rsidR="00ED0B4D" w:rsidRPr="0021051A" w14:paraId="3AA7B916" w14:textId="77777777" w:rsidTr="00F85966">
        <w:trPr>
          <w:trHeight w:val="561"/>
        </w:trPr>
        <w:tc>
          <w:tcPr>
            <w:tcW w:w="8414" w:type="dxa"/>
          </w:tcPr>
          <w:p w14:paraId="42831ACB" w14:textId="3A7FC3D7" w:rsidR="00ED0B4D" w:rsidRPr="0021051A" w:rsidRDefault="00ED0B4D" w:rsidP="0057690E">
            <w:pPr>
              <w:tabs>
                <w:tab w:val="left" w:pos="2268"/>
                <w:tab w:val="left" w:pos="5103"/>
              </w:tabs>
              <w:spacing w:before="120" w:after="240" w:line="240" w:lineRule="auto"/>
              <w:rPr>
                <w:rFonts w:asciiTheme="minorHAnsi" w:hAnsiTheme="minorHAnsi" w:cstheme="minorHAnsi"/>
                <w:b/>
              </w:rPr>
            </w:pPr>
          </w:p>
        </w:tc>
      </w:tr>
      <w:tr w:rsidR="00ED0B4D" w:rsidRPr="0021051A" w14:paraId="3A77B576" w14:textId="77777777" w:rsidTr="00F85966">
        <w:tc>
          <w:tcPr>
            <w:tcW w:w="8414" w:type="dxa"/>
          </w:tcPr>
          <w:p w14:paraId="4F744494" w14:textId="77777777" w:rsidR="00ED0B4D" w:rsidRPr="0021051A" w:rsidRDefault="00ED0B4D" w:rsidP="0057690E">
            <w:pPr>
              <w:tabs>
                <w:tab w:val="left" w:pos="2268"/>
                <w:tab w:val="left" w:pos="5103"/>
              </w:tabs>
              <w:spacing w:before="120" w:after="240" w:line="240" w:lineRule="auto"/>
              <w:rPr>
                <w:rFonts w:asciiTheme="minorHAnsi" w:hAnsiTheme="minorHAnsi" w:cstheme="minorHAnsi"/>
                <w:b/>
                <w:sz w:val="23"/>
                <w:szCs w:val="24"/>
              </w:rPr>
            </w:pPr>
            <w:r w:rsidRPr="0021051A">
              <w:rPr>
                <w:rFonts w:asciiTheme="minorHAnsi" w:hAnsiTheme="minorHAnsi" w:cstheme="minorHAnsi"/>
                <w:b/>
                <w:sz w:val="23"/>
                <w:szCs w:val="24"/>
              </w:rPr>
              <w:tab/>
            </w:r>
            <w:r w:rsidRPr="0021051A">
              <w:rPr>
                <w:rFonts w:asciiTheme="minorHAnsi" w:hAnsiTheme="minorHAnsi" w:cstheme="minorHAnsi"/>
                <w:b/>
                <w:sz w:val="23"/>
                <w:szCs w:val="24"/>
              </w:rPr>
              <w:tab/>
            </w:r>
          </w:p>
        </w:tc>
      </w:tr>
    </w:tbl>
    <w:p w14:paraId="07ECAD1C" w14:textId="4F273020" w:rsidR="002A30E8" w:rsidRPr="0021051A" w:rsidRDefault="00D618DC" w:rsidP="0057690E">
      <w:pPr>
        <w:pStyle w:val="Style1"/>
        <w:spacing w:before="120" w:after="240"/>
        <w:rPr>
          <w:rFonts w:asciiTheme="minorHAnsi" w:hAnsiTheme="minorHAnsi" w:cstheme="minorHAnsi"/>
          <w:sz w:val="22"/>
        </w:rPr>
      </w:pPr>
      <w:r w:rsidRPr="0021051A">
        <w:rPr>
          <w:rFonts w:asciiTheme="minorHAnsi" w:hAnsiTheme="minorHAnsi" w:cstheme="minorHAnsi"/>
          <w:sz w:val="22"/>
        </w:rPr>
        <w:t xml:space="preserve">MINUTE </w:t>
      </w:r>
      <w:r w:rsidR="002A30E8" w:rsidRPr="00CC51BC">
        <w:rPr>
          <w:rFonts w:asciiTheme="minorHAnsi" w:hAnsiTheme="minorHAnsi" w:cstheme="minorHAnsi"/>
          <w:sz w:val="22"/>
        </w:rPr>
        <w:t>5</w:t>
      </w:r>
      <w:r w:rsidRPr="0021051A">
        <w:rPr>
          <w:rFonts w:asciiTheme="minorHAnsi" w:hAnsiTheme="minorHAnsi" w:cstheme="minorHAnsi"/>
          <w:sz w:val="22"/>
        </w:rPr>
        <w:t xml:space="preserve"> – </w:t>
      </w:r>
      <w:r w:rsidR="003B638A">
        <w:rPr>
          <w:rFonts w:asciiTheme="minorHAnsi" w:hAnsiTheme="minorHAnsi" w:cstheme="minorHAnsi"/>
          <w:sz w:val="22"/>
        </w:rPr>
        <w:t xml:space="preserve">PUBLIC </w:t>
      </w:r>
      <w:r w:rsidR="002A30E8" w:rsidRPr="0021051A">
        <w:rPr>
          <w:rFonts w:asciiTheme="minorHAnsi" w:hAnsiTheme="minorHAnsi" w:cstheme="minorHAnsi"/>
          <w:sz w:val="22"/>
        </w:rPr>
        <w:t xml:space="preserve">HEARING INTO </w:t>
      </w:r>
      <w:r w:rsidR="008545CE">
        <w:rPr>
          <w:rFonts w:asciiTheme="minorHAnsi" w:hAnsiTheme="minorHAnsi" w:cstheme="minorHAnsi"/>
          <w:sz w:val="22"/>
        </w:rPr>
        <w:t xml:space="preserve">THE </w:t>
      </w:r>
      <w:r w:rsidR="002A30E8" w:rsidRPr="0021051A">
        <w:rPr>
          <w:rFonts w:asciiTheme="minorHAnsi" w:hAnsiTheme="minorHAnsi" w:cstheme="minorHAnsi"/>
          <w:sz w:val="22"/>
        </w:rPr>
        <w:t xml:space="preserve">STATE RESPONSE TO CIVIL REDRESS </w:t>
      </w:r>
    </w:p>
    <w:p w14:paraId="5B644D00" w14:textId="2C4AA85D" w:rsidR="00ED0B4D" w:rsidRPr="0021051A" w:rsidRDefault="002A30E8" w:rsidP="0057690E">
      <w:pPr>
        <w:pStyle w:val="Style1"/>
        <w:spacing w:before="120" w:after="240"/>
        <w:rPr>
          <w:rFonts w:asciiTheme="minorHAnsi" w:hAnsiTheme="minorHAnsi" w:cstheme="minorHAnsi"/>
          <w:sz w:val="22"/>
        </w:rPr>
      </w:pPr>
      <w:r w:rsidRPr="0021051A">
        <w:rPr>
          <w:rFonts w:asciiTheme="minorHAnsi" w:hAnsiTheme="minorHAnsi" w:cstheme="minorHAnsi"/>
          <w:sz w:val="22"/>
        </w:rPr>
        <w:t>AND CIVIL LITIGATION CLAIMS</w:t>
      </w:r>
    </w:p>
    <w:p w14:paraId="60E92A39" w14:textId="77777777" w:rsidR="00D618DC" w:rsidRPr="0021051A" w:rsidRDefault="00D618DC" w:rsidP="0057690E">
      <w:pPr>
        <w:pStyle w:val="Style1"/>
        <w:spacing w:before="120" w:after="240"/>
        <w:rPr>
          <w:rFonts w:asciiTheme="minorHAnsi" w:hAnsiTheme="minorHAnsi" w:cstheme="minorHAnsi"/>
          <w:sz w:val="22"/>
        </w:rPr>
      </w:pPr>
    </w:p>
    <w:p w14:paraId="28560137" w14:textId="0A3CD7AB" w:rsidR="0032270F" w:rsidRPr="0021051A" w:rsidRDefault="00C30EB0" w:rsidP="0057690E">
      <w:pPr>
        <w:pStyle w:val="Style1"/>
        <w:spacing w:before="120" w:after="240"/>
        <w:rPr>
          <w:rFonts w:asciiTheme="minorHAnsi" w:hAnsiTheme="minorHAnsi" w:cstheme="minorHAnsi"/>
          <w:sz w:val="22"/>
        </w:rPr>
      </w:pPr>
      <w:r w:rsidRPr="0021051A">
        <w:rPr>
          <w:rFonts w:asciiTheme="minorHAnsi" w:hAnsiTheme="minorHAnsi" w:cstheme="minorHAnsi"/>
          <w:sz w:val="22"/>
        </w:rPr>
        <w:t xml:space="preserve"> </w:t>
      </w:r>
      <w:r w:rsidR="00CE7BA1">
        <w:rPr>
          <w:rFonts w:asciiTheme="minorHAnsi" w:hAnsiTheme="minorHAnsi" w:cstheme="minorHAnsi"/>
          <w:sz w:val="22"/>
        </w:rPr>
        <w:t>30</w:t>
      </w:r>
      <w:r w:rsidR="002A30E8" w:rsidRPr="0021051A">
        <w:rPr>
          <w:rFonts w:asciiTheme="minorHAnsi" w:hAnsiTheme="minorHAnsi" w:cstheme="minorHAnsi"/>
          <w:sz w:val="22"/>
        </w:rPr>
        <w:t xml:space="preserve"> January 2020</w:t>
      </w:r>
    </w:p>
    <w:p w14:paraId="31EAD8FC" w14:textId="77777777" w:rsidR="00ED0B4D" w:rsidRPr="0021051A" w:rsidRDefault="00ED0B4D" w:rsidP="0057690E">
      <w:pPr>
        <w:spacing w:before="120" w:after="240" w:line="240" w:lineRule="auto"/>
        <w:rPr>
          <w:rFonts w:asciiTheme="minorHAnsi" w:hAnsiTheme="minorHAnsi" w:cstheme="minorHAnsi"/>
          <w:sz w:val="23"/>
          <w:szCs w:val="24"/>
          <w:lang w:eastAsia="ar-SA"/>
        </w:rPr>
      </w:pPr>
    </w:p>
    <w:p w14:paraId="22817D6A" w14:textId="68D79B2B" w:rsidR="00006610" w:rsidRDefault="00D618DC"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The Royal Commission</w:t>
      </w:r>
      <w:r w:rsidR="00EF082B">
        <w:rPr>
          <w:rFonts w:asciiTheme="minorHAnsi" w:hAnsiTheme="minorHAnsi" w:cstheme="minorHAnsi"/>
          <w:szCs w:val="24"/>
          <w:lang w:eastAsia="ar-SA"/>
        </w:rPr>
        <w:t xml:space="preserve"> of Inquiry </w:t>
      </w:r>
      <w:r w:rsidR="0056791F">
        <w:rPr>
          <w:rFonts w:asciiTheme="minorHAnsi" w:hAnsiTheme="minorHAnsi" w:cstheme="minorHAnsi"/>
          <w:szCs w:val="24"/>
          <w:lang w:eastAsia="ar-SA"/>
        </w:rPr>
        <w:t xml:space="preserve">(“the Inquiry”) </w:t>
      </w:r>
      <w:r w:rsidR="00EF082B">
        <w:rPr>
          <w:rFonts w:asciiTheme="minorHAnsi" w:hAnsiTheme="minorHAnsi" w:cstheme="minorHAnsi"/>
          <w:szCs w:val="24"/>
          <w:lang w:eastAsia="ar-SA"/>
        </w:rPr>
        <w:t xml:space="preserve">is investigating the response of </w:t>
      </w:r>
      <w:r w:rsidR="00006610">
        <w:rPr>
          <w:rFonts w:asciiTheme="minorHAnsi" w:hAnsiTheme="minorHAnsi" w:cstheme="minorHAnsi"/>
          <w:szCs w:val="24"/>
          <w:lang w:eastAsia="ar-SA"/>
        </w:rPr>
        <w:t xml:space="preserve">the State and of Faith-based institutions to </w:t>
      </w:r>
      <w:r w:rsidR="00C13DD3">
        <w:rPr>
          <w:rFonts w:asciiTheme="minorHAnsi" w:hAnsiTheme="minorHAnsi" w:cstheme="minorHAnsi"/>
          <w:szCs w:val="24"/>
          <w:lang w:eastAsia="ar-SA"/>
        </w:rPr>
        <w:t xml:space="preserve">claims by </w:t>
      </w:r>
      <w:r w:rsidR="0081013F">
        <w:rPr>
          <w:rFonts w:asciiTheme="minorHAnsi" w:hAnsiTheme="minorHAnsi" w:cstheme="minorHAnsi"/>
          <w:szCs w:val="24"/>
          <w:lang w:eastAsia="ar-SA"/>
        </w:rPr>
        <w:t>survivors</w:t>
      </w:r>
      <w:r w:rsidR="00C13DD3">
        <w:rPr>
          <w:rFonts w:asciiTheme="minorHAnsi" w:hAnsiTheme="minorHAnsi" w:cstheme="minorHAnsi"/>
          <w:szCs w:val="24"/>
          <w:lang w:eastAsia="ar-SA"/>
        </w:rPr>
        <w:t xml:space="preserve"> of abuse </w:t>
      </w:r>
      <w:r w:rsidR="00385363">
        <w:rPr>
          <w:rFonts w:asciiTheme="minorHAnsi" w:hAnsiTheme="minorHAnsi" w:cstheme="minorHAnsi"/>
          <w:szCs w:val="24"/>
          <w:lang w:eastAsia="ar-SA"/>
        </w:rPr>
        <w:t xml:space="preserve">for redress. </w:t>
      </w:r>
      <w:r w:rsidR="007C7AA2">
        <w:rPr>
          <w:rFonts w:asciiTheme="minorHAnsi" w:hAnsiTheme="minorHAnsi" w:cstheme="minorHAnsi"/>
          <w:szCs w:val="24"/>
          <w:lang w:eastAsia="ar-SA"/>
        </w:rPr>
        <w:t>The Redress Investigation will have several p</w:t>
      </w:r>
      <w:r w:rsidR="00385363">
        <w:rPr>
          <w:rFonts w:asciiTheme="minorHAnsi" w:hAnsiTheme="minorHAnsi" w:cstheme="minorHAnsi"/>
          <w:szCs w:val="24"/>
          <w:lang w:eastAsia="ar-SA"/>
        </w:rPr>
        <w:t xml:space="preserve">ublic hearings </w:t>
      </w:r>
      <w:r w:rsidR="0056791F">
        <w:rPr>
          <w:rFonts w:asciiTheme="minorHAnsi" w:hAnsiTheme="minorHAnsi" w:cstheme="minorHAnsi"/>
          <w:szCs w:val="24"/>
          <w:lang w:eastAsia="ar-SA"/>
        </w:rPr>
        <w:t xml:space="preserve">throughout the duration of </w:t>
      </w:r>
      <w:r w:rsidR="00CF5CD8">
        <w:rPr>
          <w:rFonts w:asciiTheme="minorHAnsi" w:hAnsiTheme="minorHAnsi" w:cstheme="minorHAnsi"/>
          <w:szCs w:val="24"/>
          <w:lang w:eastAsia="ar-SA"/>
        </w:rPr>
        <w:t>this I</w:t>
      </w:r>
      <w:r w:rsidR="0056791F">
        <w:rPr>
          <w:rFonts w:asciiTheme="minorHAnsi" w:hAnsiTheme="minorHAnsi" w:cstheme="minorHAnsi"/>
          <w:szCs w:val="24"/>
          <w:lang w:eastAsia="ar-SA"/>
        </w:rPr>
        <w:t>nquiry</w:t>
      </w:r>
      <w:r w:rsidR="007C7AA2">
        <w:rPr>
          <w:rFonts w:asciiTheme="minorHAnsi" w:hAnsiTheme="minorHAnsi" w:cstheme="minorHAnsi"/>
          <w:szCs w:val="24"/>
          <w:lang w:eastAsia="ar-SA"/>
        </w:rPr>
        <w:t>.</w:t>
      </w:r>
      <w:r w:rsidR="0056791F">
        <w:rPr>
          <w:rFonts w:asciiTheme="minorHAnsi" w:hAnsiTheme="minorHAnsi" w:cstheme="minorHAnsi"/>
          <w:szCs w:val="24"/>
          <w:lang w:eastAsia="ar-SA"/>
        </w:rPr>
        <w:t xml:space="preserve"> </w:t>
      </w:r>
    </w:p>
    <w:p w14:paraId="64EE6484" w14:textId="68FA076C" w:rsidR="00D618DC" w:rsidRPr="0021051A" w:rsidRDefault="007C7AA2"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The first Redress public</w:t>
      </w:r>
      <w:r w:rsidR="00D618DC" w:rsidRPr="0021051A">
        <w:rPr>
          <w:rFonts w:asciiTheme="minorHAnsi" w:hAnsiTheme="minorHAnsi" w:cstheme="minorHAnsi"/>
          <w:szCs w:val="24"/>
          <w:lang w:eastAsia="ar-SA"/>
        </w:rPr>
        <w:t xml:space="preserve"> hearing </w:t>
      </w:r>
      <w:r w:rsidR="00CB1E99" w:rsidRPr="0021051A">
        <w:rPr>
          <w:rFonts w:asciiTheme="minorHAnsi" w:hAnsiTheme="minorHAnsi" w:cstheme="minorHAnsi"/>
          <w:szCs w:val="24"/>
          <w:lang w:eastAsia="ar-SA"/>
        </w:rPr>
        <w:t xml:space="preserve">into </w:t>
      </w:r>
      <w:r w:rsidR="002A30E8" w:rsidRPr="0021051A">
        <w:rPr>
          <w:rFonts w:asciiTheme="minorHAnsi" w:hAnsiTheme="minorHAnsi" w:cstheme="minorHAnsi"/>
          <w:szCs w:val="24"/>
          <w:lang w:eastAsia="ar-SA"/>
        </w:rPr>
        <w:t>the Crown</w:t>
      </w:r>
      <w:r w:rsidR="00A3295B">
        <w:rPr>
          <w:rFonts w:asciiTheme="minorHAnsi" w:hAnsiTheme="minorHAnsi" w:cstheme="minorHAnsi"/>
          <w:szCs w:val="24"/>
          <w:lang w:eastAsia="ar-SA"/>
        </w:rPr>
        <w:t>’s response</w:t>
      </w:r>
      <w:r w:rsidR="002A30E8" w:rsidRPr="0021051A">
        <w:rPr>
          <w:rFonts w:asciiTheme="minorHAnsi" w:hAnsiTheme="minorHAnsi" w:cstheme="minorHAnsi"/>
          <w:szCs w:val="24"/>
          <w:lang w:eastAsia="ar-SA"/>
        </w:rPr>
        <w:t xml:space="preserve"> to civil claims of abuse in State care will </w:t>
      </w:r>
      <w:r w:rsidR="00D618DC" w:rsidRPr="0021051A">
        <w:rPr>
          <w:rFonts w:asciiTheme="minorHAnsi" w:hAnsiTheme="minorHAnsi" w:cstheme="minorHAnsi"/>
          <w:szCs w:val="24"/>
          <w:lang w:eastAsia="ar-SA"/>
        </w:rPr>
        <w:t>commence at 10</w:t>
      </w:r>
      <w:r w:rsidR="00CB1E99" w:rsidRPr="0021051A">
        <w:rPr>
          <w:rFonts w:asciiTheme="minorHAnsi" w:hAnsiTheme="minorHAnsi" w:cstheme="minorHAnsi"/>
          <w:szCs w:val="24"/>
          <w:lang w:eastAsia="ar-SA"/>
        </w:rPr>
        <w:t>:00</w:t>
      </w:r>
      <w:r w:rsidR="00D618DC" w:rsidRPr="0021051A">
        <w:rPr>
          <w:rFonts w:asciiTheme="minorHAnsi" w:hAnsiTheme="minorHAnsi" w:cstheme="minorHAnsi"/>
          <w:szCs w:val="24"/>
          <w:lang w:eastAsia="ar-SA"/>
        </w:rPr>
        <w:t xml:space="preserve">am on </w:t>
      </w:r>
      <w:r w:rsidR="002A30E8" w:rsidRPr="0021051A">
        <w:rPr>
          <w:rFonts w:asciiTheme="minorHAnsi" w:hAnsiTheme="minorHAnsi" w:cstheme="minorHAnsi"/>
          <w:szCs w:val="24"/>
          <w:lang w:eastAsia="ar-SA"/>
        </w:rPr>
        <w:t xml:space="preserve">Monday 23 March 2020 </w:t>
      </w:r>
      <w:r w:rsidR="000E462D" w:rsidRPr="0021051A">
        <w:rPr>
          <w:rFonts w:asciiTheme="minorHAnsi" w:hAnsiTheme="minorHAnsi" w:cstheme="minorHAnsi"/>
          <w:szCs w:val="24"/>
          <w:lang w:eastAsia="ar-SA"/>
        </w:rPr>
        <w:t>at:</w:t>
      </w:r>
    </w:p>
    <w:p w14:paraId="0411230B" w14:textId="5CD2A62D" w:rsidR="00D618DC" w:rsidRPr="0021051A" w:rsidRDefault="00CB1E99" w:rsidP="0057690E">
      <w:pPr>
        <w:pStyle w:val="ListParagraph"/>
        <w:spacing w:after="0" w:line="240" w:lineRule="auto"/>
        <w:ind w:left="1440"/>
        <w:jc w:val="both"/>
        <w:rPr>
          <w:rFonts w:asciiTheme="minorHAnsi" w:hAnsiTheme="minorHAnsi" w:cstheme="minorHAnsi"/>
          <w:szCs w:val="24"/>
          <w:lang w:eastAsia="ar-SA"/>
        </w:rPr>
      </w:pPr>
      <w:r w:rsidRPr="0021051A">
        <w:rPr>
          <w:rFonts w:asciiTheme="minorHAnsi" w:hAnsiTheme="minorHAnsi" w:cstheme="minorHAnsi"/>
          <w:szCs w:val="24"/>
          <w:lang w:eastAsia="ar-SA"/>
        </w:rPr>
        <w:t xml:space="preserve">The Environment Court </w:t>
      </w:r>
    </w:p>
    <w:p w14:paraId="183DE152" w14:textId="3D018A79" w:rsidR="00CB1E99" w:rsidRPr="0021051A" w:rsidRDefault="00CB1E99" w:rsidP="0057690E">
      <w:pPr>
        <w:pStyle w:val="ListParagraph"/>
        <w:spacing w:after="0" w:line="240" w:lineRule="auto"/>
        <w:ind w:left="1440"/>
        <w:jc w:val="both"/>
        <w:rPr>
          <w:rFonts w:asciiTheme="minorHAnsi" w:hAnsiTheme="minorHAnsi" w:cstheme="minorHAnsi"/>
          <w:szCs w:val="24"/>
          <w:lang w:eastAsia="ar-SA"/>
        </w:rPr>
      </w:pPr>
      <w:r w:rsidRPr="0021051A">
        <w:rPr>
          <w:rFonts w:asciiTheme="minorHAnsi" w:hAnsiTheme="minorHAnsi" w:cstheme="minorHAnsi"/>
          <w:szCs w:val="24"/>
          <w:lang w:eastAsia="ar-SA"/>
        </w:rPr>
        <w:t>District Court Building</w:t>
      </w:r>
    </w:p>
    <w:p w14:paraId="278F45EA" w14:textId="07130E9D" w:rsidR="00CB1E99" w:rsidRPr="0021051A" w:rsidRDefault="00CB1E99" w:rsidP="0057690E">
      <w:pPr>
        <w:pStyle w:val="ListParagraph"/>
        <w:spacing w:after="0" w:line="240" w:lineRule="auto"/>
        <w:ind w:left="1440"/>
        <w:jc w:val="both"/>
        <w:rPr>
          <w:rFonts w:asciiTheme="minorHAnsi" w:hAnsiTheme="minorHAnsi" w:cstheme="minorHAnsi"/>
          <w:szCs w:val="24"/>
          <w:lang w:eastAsia="ar-SA"/>
        </w:rPr>
      </w:pPr>
      <w:r w:rsidRPr="0021051A">
        <w:rPr>
          <w:rFonts w:asciiTheme="minorHAnsi" w:hAnsiTheme="minorHAnsi" w:cstheme="minorHAnsi"/>
          <w:szCs w:val="24"/>
          <w:lang w:eastAsia="ar-SA"/>
        </w:rPr>
        <w:t>Level 5, 49 Ballance Street</w:t>
      </w:r>
    </w:p>
    <w:p w14:paraId="4D3101C1" w14:textId="56343EFA" w:rsidR="00CB1E99" w:rsidRDefault="00CB1E99" w:rsidP="0057690E">
      <w:pPr>
        <w:pStyle w:val="ListParagraph"/>
        <w:spacing w:after="0" w:line="240" w:lineRule="auto"/>
        <w:ind w:left="1440"/>
        <w:jc w:val="both"/>
        <w:rPr>
          <w:rFonts w:asciiTheme="minorHAnsi" w:hAnsiTheme="minorHAnsi" w:cstheme="minorHAnsi"/>
          <w:szCs w:val="24"/>
          <w:lang w:eastAsia="ar-SA"/>
        </w:rPr>
      </w:pPr>
      <w:r w:rsidRPr="0021051A">
        <w:rPr>
          <w:rFonts w:asciiTheme="minorHAnsi" w:hAnsiTheme="minorHAnsi" w:cstheme="minorHAnsi"/>
          <w:szCs w:val="24"/>
          <w:lang w:eastAsia="ar-SA"/>
        </w:rPr>
        <w:t>Wellington 6011</w:t>
      </w:r>
    </w:p>
    <w:p w14:paraId="2D60F2C2" w14:textId="77777777" w:rsidR="00A3295B" w:rsidRPr="0021051A" w:rsidRDefault="00A3295B" w:rsidP="0057690E">
      <w:pPr>
        <w:pStyle w:val="ListParagraph"/>
        <w:spacing w:after="0" w:line="240" w:lineRule="auto"/>
        <w:ind w:left="1440"/>
        <w:jc w:val="both"/>
        <w:rPr>
          <w:rFonts w:asciiTheme="minorHAnsi" w:hAnsiTheme="minorHAnsi" w:cstheme="minorHAnsi"/>
          <w:szCs w:val="24"/>
          <w:lang w:eastAsia="ar-SA"/>
        </w:rPr>
      </w:pPr>
    </w:p>
    <w:p w14:paraId="7E2D4CB3" w14:textId="5AFBB617" w:rsidR="00DE612D" w:rsidRPr="0021051A" w:rsidRDefault="00DE612D"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 xml:space="preserve">The </w:t>
      </w:r>
      <w:r w:rsidR="003C356A">
        <w:rPr>
          <w:rFonts w:asciiTheme="minorHAnsi" w:hAnsiTheme="minorHAnsi" w:cstheme="minorHAnsi"/>
          <w:szCs w:val="24"/>
          <w:lang w:eastAsia="ar-SA"/>
        </w:rPr>
        <w:t xml:space="preserve">public </w:t>
      </w:r>
      <w:r w:rsidRPr="0021051A">
        <w:rPr>
          <w:rFonts w:asciiTheme="minorHAnsi" w:hAnsiTheme="minorHAnsi" w:cstheme="minorHAnsi"/>
          <w:szCs w:val="24"/>
          <w:lang w:eastAsia="ar-SA"/>
        </w:rPr>
        <w:t xml:space="preserve">hearing is scheduled to continue until Friday </w:t>
      </w:r>
      <w:r w:rsidR="00CF6FE5" w:rsidRPr="0021051A">
        <w:rPr>
          <w:rFonts w:asciiTheme="minorHAnsi" w:hAnsiTheme="minorHAnsi" w:cstheme="minorHAnsi"/>
          <w:szCs w:val="24"/>
          <w:lang w:eastAsia="ar-SA"/>
        </w:rPr>
        <w:t xml:space="preserve">3 April, </w:t>
      </w:r>
      <w:r w:rsidRPr="0021051A">
        <w:rPr>
          <w:rFonts w:asciiTheme="minorHAnsi" w:hAnsiTheme="minorHAnsi" w:cstheme="minorHAnsi"/>
          <w:szCs w:val="24"/>
          <w:lang w:eastAsia="ar-SA"/>
        </w:rPr>
        <w:t xml:space="preserve">with reserve days </w:t>
      </w:r>
      <w:r w:rsidR="00CF6FE5" w:rsidRPr="0021051A">
        <w:rPr>
          <w:rFonts w:asciiTheme="minorHAnsi" w:hAnsiTheme="minorHAnsi" w:cstheme="minorHAnsi"/>
          <w:szCs w:val="24"/>
          <w:lang w:eastAsia="ar-SA"/>
        </w:rPr>
        <w:t xml:space="preserve">on </w:t>
      </w:r>
      <w:r w:rsidRPr="0021051A">
        <w:rPr>
          <w:rFonts w:asciiTheme="minorHAnsi" w:hAnsiTheme="minorHAnsi" w:cstheme="minorHAnsi"/>
          <w:szCs w:val="24"/>
          <w:lang w:eastAsia="ar-SA"/>
        </w:rPr>
        <w:t xml:space="preserve">Monday </w:t>
      </w:r>
      <w:r w:rsidR="00CF6FE5" w:rsidRPr="0021051A">
        <w:rPr>
          <w:rFonts w:asciiTheme="minorHAnsi" w:hAnsiTheme="minorHAnsi" w:cstheme="minorHAnsi"/>
          <w:szCs w:val="24"/>
          <w:lang w:eastAsia="ar-SA"/>
        </w:rPr>
        <w:t>6 and Tuesday 7 April</w:t>
      </w:r>
      <w:r w:rsidR="0054441E" w:rsidRPr="0021051A">
        <w:rPr>
          <w:rFonts w:asciiTheme="minorHAnsi" w:hAnsiTheme="minorHAnsi" w:cstheme="minorHAnsi"/>
          <w:szCs w:val="24"/>
          <w:lang w:eastAsia="ar-SA"/>
        </w:rPr>
        <w:t xml:space="preserve"> 2020</w:t>
      </w:r>
      <w:r w:rsidR="0046198D">
        <w:rPr>
          <w:rFonts w:asciiTheme="minorHAnsi" w:hAnsiTheme="minorHAnsi" w:cstheme="minorHAnsi"/>
          <w:szCs w:val="24"/>
          <w:lang w:eastAsia="ar-SA"/>
        </w:rPr>
        <w:t>, if required.</w:t>
      </w:r>
    </w:p>
    <w:p w14:paraId="15544DC5" w14:textId="6BBAA127" w:rsidR="00A560F0" w:rsidRPr="0021051A" w:rsidRDefault="009579EF"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Members of the public are welcome to attend the hearing</w:t>
      </w:r>
      <w:r w:rsidR="006B262E" w:rsidRPr="0021051A">
        <w:rPr>
          <w:rFonts w:asciiTheme="minorHAnsi" w:hAnsiTheme="minorHAnsi" w:cstheme="minorHAnsi"/>
          <w:szCs w:val="24"/>
          <w:lang w:eastAsia="ar-SA"/>
        </w:rPr>
        <w:t xml:space="preserve"> and </w:t>
      </w:r>
      <w:r>
        <w:rPr>
          <w:rFonts w:asciiTheme="minorHAnsi" w:hAnsiTheme="minorHAnsi" w:cstheme="minorHAnsi"/>
          <w:szCs w:val="24"/>
          <w:lang w:eastAsia="ar-SA"/>
        </w:rPr>
        <w:t xml:space="preserve">it will be </w:t>
      </w:r>
      <w:r w:rsidR="006B262E" w:rsidRPr="0021051A">
        <w:rPr>
          <w:rFonts w:asciiTheme="minorHAnsi" w:hAnsiTheme="minorHAnsi" w:cstheme="minorHAnsi"/>
          <w:szCs w:val="24"/>
          <w:lang w:eastAsia="ar-SA"/>
        </w:rPr>
        <w:t xml:space="preserve">live streamed on the Inquiry’s website: </w:t>
      </w:r>
      <w:hyperlink r:id="rId12" w:history="1">
        <w:r w:rsidR="006B262E" w:rsidRPr="0021051A">
          <w:rPr>
            <w:rStyle w:val="Hyperlink"/>
            <w:rFonts w:asciiTheme="minorHAnsi" w:hAnsiTheme="minorHAnsi" w:cstheme="minorHAnsi"/>
            <w:szCs w:val="24"/>
            <w:lang w:eastAsia="ar-SA"/>
          </w:rPr>
          <w:t>www.abuseincare.org.nz</w:t>
        </w:r>
      </w:hyperlink>
      <w:r w:rsidR="00A560F0" w:rsidRPr="0021051A">
        <w:rPr>
          <w:rFonts w:asciiTheme="minorHAnsi" w:hAnsiTheme="minorHAnsi" w:cstheme="minorHAnsi"/>
          <w:szCs w:val="24"/>
          <w:lang w:eastAsia="ar-SA"/>
        </w:rPr>
        <w:t xml:space="preserve">.  </w:t>
      </w:r>
    </w:p>
    <w:p w14:paraId="56C6111A" w14:textId="6A216AAC" w:rsidR="00112A38" w:rsidRPr="0021051A" w:rsidRDefault="00112A38" w:rsidP="0057690E">
      <w:pPr>
        <w:pStyle w:val="ListParagraph"/>
        <w:spacing w:before="120" w:after="240" w:line="240" w:lineRule="auto"/>
        <w:ind w:left="0"/>
        <w:jc w:val="both"/>
        <w:rPr>
          <w:rFonts w:asciiTheme="minorHAnsi" w:hAnsiTheme="minorHAnsi" w:cstheme="minorHAnsi"/>
          <w:b/>
          <w:bCs/>
          <w:i/>
          <w:iCs/>
          <w:szCs w:val="24"/>
          <w:lang w:eastAsia="ar-SA"/>
        </w:rPr>
      </w:pPr>
      <w:r w:rsidRPr="0021051A">
        <w:rPr>
          <w:rFonts w:asciiTheme="minorHAnsi" w:hAnsiTheme="minorHAnsi" w:cstheme="minorHAnsi"/>
          <w:b/>
          <w:bCs/>
          <w:i/>
          <w:iCs/>
          <w:szCs w:val="24"/>
          <w:lang w:eastAsia="ar-SA"/>
        </w:rPr>
        <w:t>Evidence</w:t>
      </w:r>
    </w:p>
    <w:p w14:paraId="2FF08450" w14:textId="364C65F0" w:rsidR="00D618DC" w:rsidRDefault="007C0288"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A</w:t>
      </w:r>
      <w:r w:rsidRPr="0021051A">
        <w:rPr>
          <w:rFonts w:asciiTheme="minorHAnsi" w:hAnsiTheme="minorHAnsi" w:cstheme="minorHAnsi"/>
          <w:szCs w:val="24"/>
          <w:lang w:eastAsia="ar-SA"/>
        </w:rPr>
        <w:t xml:space="preserve"> </w:t>
      </w:r>
      <w:r w:rsidR="00D618DC" w:rsidRPr="0021051A">
        <w:rPr>
          <w:rFonts w:asciiTheme="minorHAnsi" w:hAnsiTheme="minorHAnsi" w:cstheme="minorHAnsi"/>
          <w:szCs w:val="24"/>
          <w:lang w:eastAsia="ar-SA"/>
        </w:rPr>
        <w:t>provisional list of witnesses is attached to this Minute.</w:t>
      </w:r>
      <w:r w:rsidR="00FC3A7C" w:rsidRPr="0021051A">
        <w:rPr>
          <w:rFonts w:asciiTheme="minorHAnsi" w:hAnsiTheme="minorHAnsi" w:cstheme="minorHAnsi"/>
          <w:szCs w:val="24"/>
          <w:lang w:eastAsia="ar-SA"/>
        </w:rPr>
        <w:t xml:space="preserve"> It is subject to change, does not indicate the order of witnesses at the hearing itself</w:t>
      </w:r>
      <w:r w:rsidR="007C7AA2">
        <w:rPr>
          <w:rFonts w:asciiTheme="minorHAnsi" w:hAnsiTheme="minorHAnsi" w:cstheme="minorHAnsi"/>
          <w:szCs w:val="24"/>
          <w:lang w:eastAsia="ar-SA"/>
        </w:rPr>
        <w:t xml:space="preserve">, and does not yet include the names of survivor witnesses. </w:t>
      </w:r>
    </w:p>
    <w:p w14:paraId="5799C355" w14:textId="3CDE2A8B" w:rsidR="001C55BB" w:rsidRPr="00752C2D" w:rsidRDefault="00253E84" w:rsidP="00752C2D">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752C2D">
        <w:rPr>
          <w:rFonts w:asciiTheme="minorHAnsi" w:hAnsiTheme="minorHAnsi" w:cstheme="minorHAnsi"/>
          <w:szCs w:val="24"/>
          <w:lang w:eastAsia="ar-SA"/>
        </w:rPr>
        <w:t>Witness statements</w:t>
      </w:r>
      <w:r w:rsidR="00F4325C">
        <w:rPr>
          <w:rFonts w:asciiTheme="minorHAnsi" w:hAnsiTheme="minorHAnsi" w:cstheme="minorHAnsi"/>
          <w:szCs w:val="24"/>
          <w:lang w:eastAsia="ar-SA"/>
        </w:rPr>
        <w:t xml:space="preserve">, and supporting documents, </w:t>
      </w:r>
      <w:r w:rsidRPr="00752C2D">
        <w:rPr>
          <w:rFonts w:asciiTheme="minorHAnsi" w:hAnsiTheme="minorHAnsi" w:cstheme="minorHAnsi"/>
          <w:szCs w:val="24"/>
          <w:lang w:eastAsia="ar-SA"/>
        </w:rPr>
        <w:t xml:space="preserve">will be </w:t>
      </w:r>
      <w:r w:rsidR="00C50B3A" w:rsidRPr="00752C2D">
        <w:rPr>
          <w:rFonts w:asciiTheme="minorHAnsi" w:hAnsiTheme="minorHAnsi" w:cstheme="minorHAnsi"/>
          <w:szCs w:val="24"/>
          <w:lang w:eastAsia="ar-SA"/>
        </w:rPr>
        <w:t xml:space="preserve">provided to </w:t>
      </w:r>
      <w:r w:rsidRPr="00752C2D">
        <w:rPr>
          <w:rFonts w:asciiTheme="minorHAnsi" w:hAnsiTheme="minorHAnsi" w:cstheme="minorHAnsi"/>
          <w:szCs w:val="24"/>
          <w:lang w:eastAsia="ar-SA"/>
        </w:rPr>
        <w:t xml:space="preserve">core participants </w:t>
      </w:r>
      <w:r w:rsidR="00A25D1B">
        <w:rPr>
          <w:rFonts w:asciiTheme="minorHAnsi" w:hAnsiTheme="minorHAnsi" w:cstheme="minorHAnsi"/>
          <w:szCs w:val="24"/>
          <w:lang w:eastAsia="ar-SA"/>
        </w:rPr>
        <w:t xml:space="preserve">and those </w:t>
      </w:r>
      <w:r w:rsidR="0051377B" w:rsidRPr="00752C2D">
        <w:rPr>
          <w:rFonts w:asciiTheme="minorHAnsi" w:hAnsiTheme="minorHAnsi" w:cstheme="minorHAnsi"/>
          <w:szCs w:val="24"/>
          <w:lang w:eastAsia="ar-SA"/>
        </w:rPr>
        <w:t xml:space="preserve">with leave to appear </w:t>
      </w:r>
      <w:r w:rsidRPr="00752C2D">
        <w:rPr>
          <w:rFonts w:asciiTheme="minorHAnsi" w:hAnsiTheme="minorHAnsi" w:cstheme="minorHAnsi"/>
          <w:szCs w:val="24"/>
          <w:lang w:eastAsia="ar-SA"/>
        </w:rPr>
        <w:t>as directed by the Inquiry.</w:t>
      </w:r>
      <w:r w:rsidR="00C50B3A" w:rsidRPr="00752C2D">
        <w:rPr>
          <w:rFonts w:asciiTheme="minorHAnsi" w:hAnsiTheme="minorHAnsi" w:cstheme="minorHAnsi"/>
          <w:szCs w:val="24"/>
          <w:lang w:eastAsia="ar-SA"/>
        </w:rPr>
        <w:t xml:space="preserve"> </w:t>
      </w:r>
      <w:r w:rsidR="00752C2D" w:rsidRPr="00752C2D">
        <w:rPr>
          <w:rFonts w:asciiTheme="minorHAnsi" w:hAnsiTheme="minorHAnsi" w:cstheme="minorHAnsi"/>
          <w:szCs w:val="24"/>
          <w:lang w:eastAsia="ar-SA"/>
        </w:rPr>
        <w:t xml:space="preserve"> </w:t>
      </w:r>
    </w:p>
    <w:p w14:paraId="09F9B6C9" w14:textId="409F71D1" w:rsidR="00A07F5D" w:rsidRPr="00F4325C" w:rsidRDefault="00F849BF" w:rsidP="00F4325C">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F849BF">
        <w:rPr>
          <w:rFonts w:asciiTheme="minorHAnsi" w:hAnsiTheme="minorHAnsi" w:cstheme="minorHAnsi"/>
          <w:szCs w:val="24"/>
          <w:lang w:val="en-US" w:eastAsia="ar-SA"/>
        </w:rPr>
        <w:lastRenderedPageBreak/>
        <w:t xml:space="preserve">Any person who obtains access to documents </w:t>
      </w:r>
      <w:r w:rsidR="005E32AC">
        <w:rPr>
          <w:rFonts w:asciiTheme="minorHAnsi" w:hAnsiTheme="minorHAnsi" w:cstheme="minorHAnsi"/>
          <w:szCs w:val="24"/>
          <w:lang w:val="en-US" w:eastAsia="ar-SA"/>
        </w:rPr>
        <w:t xml:space="preserve">in advance of </w:t>
      </w:r>
      <w:r w:rsidR="00004B6F">
        <w:rPr>
          <w:rFonts w:asciiTheme="minorHAnsi" w:hAnsiTheme="minorHAnsi" w:cstheme="minorHAnsi"/>
          <w:szCs w:val="24"/>
          <w:lang w:val="en-US" w:eastAsia="ar-SA"/>
        </w:rPr>
        <w:t>the hearing</w:t>
      </w:r>
      <w:r w:rsidRPr="00F849BF">
        <w:rPr>
          <w:rFonts w:asciiTheme="minorHAnsi" w:hAnsiTheme="minorHAnsi" w:cstheme="minorHAnsi"/>
          <w:szCs w:val="24"/>
          <w:lang w:val="en-US" w:eastAsia="ar-SA"/>
        </w:rPr>
        <w:t xml:space="preserve">, other than </w:t>
      </w:r>
      <w:r w:rsidR="00AB120D" w:rsidRPr="00F849BF">
        <w:rPr>
          <w:rFonts w:asciiTheme="minorHAnsi" w:hAnsiTheme="minorHAnsi" w:cstheme="minorHAnsi"/>
          <w:szCs w:val="24"/>
          <w:lang w:val="en-US" w:eastAsia="ar-SA"/>
        </w:rPr>
        <w:t>publicly available</w:t>
      </w:r>
      <w:r w:rsidRPr="00F849BF">
        <w:rPr>
          <w:rFonts w:asciiTheme="minorHAnsi" w:hAnsiTheme="minorHAnsi" w:cstheme="minorHAnsi"/>
          <w:szCs w:val="24"/>
          <w:lang w:val="en-US" w:eastAsia="ar-SA"/>
        </w:rPr>
        <w:t xml:space="preserve"> information, is subject to an implied undertaking that the information obtained is received in confidence, and that the information will be used only for the purpose of the person's participation in the Inquiry</w:t>
      </w:r>
      <w:r>
        <w:rPr>
          <w:rFonts w:asciiTheme="minorHAnsi" w:hAnsiTheme="minorHAnsi" w:cstheme="minorHAnsi"/>
          <w:szCs w:val="24"/>
          <w:lang w:val="en-US" w:eastAsia="ar-SA"/>
        </w:rPr>
        <w:t xml:space="preserve">.  </w:t>
      </w:r>
    </w:p>
    <w:p w14:paraId="5B06C971" w14:textId="5A54807F" w:rsidR="00F4325C" w:rsidRPr="00F4325C" w:rsidRDefault="00F4325C" w:rsidP="00F4325C">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val="en-US" w:eastAsia="ar-SA"/>
        </w:rPr>
        <w:t>Witness statements</w:t>
      </w:r>
      <w:r w:rsidR="00462F46">
        <w:rPr>
          <w:rFonts w:asciiTheme="minorHAnsi" w:hAnsiTheme="minorHAnsi" w:cstheme="minorHAnsi"/>
          <w:szCs w:val="24"/>
          <w:lang w:val="en-US" w:eastAsia="ar-SA"/>
        </w:rPr>
        <w:t xml:space="preserve"> and supporting documents may be made public at the hearing following the evidence of each witness, subject to any </w:t>
      </w:r>
      <w:r w:rsidR="002F4035">
        <w:rPr>
          <w:rFonts w:asciiTheme="minorHAnsi" w:hAnsiTheme="minorHAnsi" w:cstheme="minorHAnsi"/>
          <w:szCs w:val="24"/>
          <w:lang w:val="en-US" w:eastAsia="ar-SA"/>
        </w:rPr>
        <w:t xml:space="preserve">directions of the Inquiry and/or </w:t>
      </w:r>
      <w:r w:rsidR="00CF5CD8">
        <w:rPr>
          <w:rFonts w:asciiTheme="minorHAnsi" w:hAnsiTheme="minorHAnsi" w:cstheme="minorHAnsi"/>
          <w:szCs w:val="24"/>
          <w:lang w:val="en-US" w:eastAsia="ar-SA"/>
        </w:rPr>
        <w:t xml:space="preserve">orders made under </w:t>
      </w:r>
      <w:r w:rsidR="002F4035">
        <w:rPr>
          <w:rFonts w:asciiTheme="minorHAnsi" w:hAnsiTheme="minorHAnsi" w:cstheme="minorHAnsi"/>
          <w:szCs w:val="24"/>
          <w:lang w:val="en-US" w:eastAsia="ar-SA"/>
        </w:rPr>
        <w:t xml:space="preserve">s 15 </w:t>
      </w:r>
      <w:r w:rsidR="00CF5CD8">
        <w:rPr>
          <w:rFonts w:asciiTheme="minorHAnsi" w:hAnsiTheme="minorHAnsi" w:cstheme="minorHAnsi"/>
          <w:szCs w:val="24"/>
          <w:lang w:val="en-US" w:eastAsia="ar-SA"/>
        </w:rPr>
        <w:t>of the Inquiries Act 2013 (“the Act”)</w:t>
      </w:r>
      <w:r w:rsidR="002F4035">
        <w:rPr>
          <w:rFonts w:asciiTheme="minorHAnsi" w:hAnsiTheme="minorHAnsi" w:cstheme="minorHAnsi"/>
          <w:szCs w:val="24"/>
          <w:lang w:val="en-US" w:eastAsia="ar-SA"/>
        </w:rPr>
        <w:t>.</w:t>
      </w:r>
      <w:r w:rsidR="0060488A">
        <w:rPr>
          <w:rFonts w:asciiTheme="minorHAnsi" w:hAnsiTheme="minorHAnsi" w:cstheme="minorHAnsi"/>
          <w:szCs w:val="24"/>
          <w:lang w:val="en-US" w:eastAsia="ar-SA"/>
        </w:rPr>
        <w:t xml:space="preserve"> </w:t>
      </w:r>
      <w:r w:rsidR="0060488A">
        <w:rPr>
          <w:rFonts w:asciiTheme="minorHAnsi" w:hAnsiTheme="minorHAnsi" w:cstheme="minorHAnsi"/>
          <w:szCs w:val="24"/>
          <w:lang w:eastAsia="ar-SA"/>
        </w:rPr>
        <w:t xml:space="preserve">Applications for orders under s 15 of the Act should </w:t>
      </w:r>
      <w:r w:rsidR="0060488A" w:rsidRPr="0021051A">
        <w:rPr>
          <w:rFonts w:asciiTheme="minorHAnsi" w:hAnsiTheme="minorHAnsi" w:cstheme="minorHAnsi"/>
          <w:szCs w:val="24"/>
          <w:lang w:eastAsia="ar-SA"/>
        </w:rPr>
        <w:t xml:space="preserve">be made in </w:t>
      </w:r>
      <w:r w:rsidR="0060488A">
        <w:rPr>
          <w:rFonts w:asciiTheme="minorHAnsi" w:hAnsiTheme="minorHAnsi" w:cstheme="minorHAnsi"/>
          <w:szCs w:val="24"/>
          <w:lang w:eastAsia="ar-SA"/>
        </w:rPr>
        <w:t xml:space="preserve">advance of the hearing, as set out </w:t>
      </w:r>
      <w:r w:rsidR="009172E3">
        <w:rPr>
          <w:rFonts w:asciiTheme="minorHAnsi" w:hAnsiTheme="minorHAnsi" w:cstheme="minorHAnsi"/>
          <w:szCs w:val="24"/>
          <w:lang w:eastAsia="ar-SA"/>
        </w:rPr>
        <w:t>in paragraph [</w:t>
      </w:r>
      <w:r w:rsidR="001D7B88" w:rsidRPr="009172E3">
        <w:rPr>
          <w:rFonts w:asciiTheme="minorHAnsi" w:hAnsiTheme="minorHAnsi" w:cstheme="minorHAnsi"/>
          <w:szCs w:val="24"/>
          <w:lang w:eastAsia="ar-SA"/>
        </w:rPr>
        <w:t>16</w:t>
      </w:r>
      <w:r w:rsidR="0060488A" w:rsidRPr="009172E3">
        <w:rPr>
          <w:rFonts w:asciiTheme="minorHAnsi" w:hAnsiTheme="minorHAnsi" w:cstheme="minorHAnsi"/>
          <w:szCs w:val="24"/>
          <w:lang w:eastAsia="ar-SA"/>
        </w:rPr>
        <w:t>]</w:t>
      </w:r>
      <w:r w:rsidR="0060488A">
        <w:rPr>
          <w:rFonts w:asciiTheme="minorHAnsi" w:hAnsiTheme="minorHAnsi" w:cstheme="minorHAnsi"/>
          <w:szCs w:val="24"/>
          <w:lang w:eastAsia="ar-SA"/>
        </w:rPr>
        <w:t xml:space="preserve"> below. </w:t>
      </w:r>
      <w:r w:rsidR="0060488A" w:rsidRPr="0021051A">
        <w:rPr>
          <w:rFonts w:asciiTheme="minorHAnsi" w:hAnsiTheme="minorHAnsi" w:cstheme="minorHAnsi"/>
          <w:szCs w:val="24"/>
          <w:lang w:eastAsia="ar-SA"/>
        </w:rPr>
        <w:t xml:space="preserve"> </w:t>
      </w:r>
    </w:p>
    <w:p w14:paraId="0202DBC6" w14:textId="3FDE2C54" w:rsidR="008D26D1" w:rsidRPr="0021051A" w:rsidRDefault="002A675C"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 xml:space="preserve">The Crown Agencies have produced documents </w:t>
      </w:r>
      <w:r w:rsidR="000330F5">
        <w:rPr>
          <w:rFonts w:asciiTheme="minorHAnsi" w:hAnsiTheme="minorHAnsi" w:cstheme="minorHAnsi"/>
          <w:szCs w:val="24"/>
          <w:lang w:eastAsia="ar-SA"/>
        </w:rPr>
        <w:t>under notices</w:t>
      </w:r>
      <w:r w:rsidR="00984464">
        <w:rPr>
          <w:rFonts w:asciiTheme="minorHAnsi" w:hAnsiTheme="minorHAnsi" w:cstheme="minorHAnsi"/>
          <w:szCs w:val="24"/>
          <w:lang w:eastAsia="ar-SA"/>
        </w:rPr>
        <w:t xml:space="preserve"> </w:t>
      </w:r>
      <w:r w:rsidR="000330F5">
        <w:rPr>
          <w:rFonts w:asciiTheme="minorHAnsi" w:hAnsiTheme="minorHAnsi" w:cstheme="minorHAnsi"/>
          <w:szCs w:val="24"/>
          <w:lang w:eastAsia="ar-SA"/>
        </w:rPr>
        <w:t xml:space="preserve">issued </w:t>
      </w:r>
      <w:r w:rsidR="00D61270">
        <w:rPr>
          <w:rFonts w:asciiTheme="minorHAnsi" w:hAnsiTheme="minorHAnsi" w:cstheme="minorHAnsi"/>
          <w:szCs w:val="24"/>
          <w:lang w:eastAsia="ar-SA"/>
        </w:rPr>
        <w:t xml:space="preserve">by the Inquiry </w:t>
      </w:r>
      <w:r w:rsidR="000330F5">
        <w:rPr>
          <w:rFonts w:asciiTheme="minorHAnsi" w:hAnsiTheme="minorHAnsi" w:cstheme="minorHAnsi"/>
          <w:szCs w:val="24"/>
          <w:lang w:eastAsia="ar-SA"/>
        </w:rPr>
        <w:t>under s</w:t>
      </w:r>
      <w:r w:rsidR="002F4035">
        <w:rPr>
          <w:rFonts w:asciiTheme="minorHAnsi" w:hAnsiTheme="minorHAnsi" w:cstheme="minorHAnsi"/>
          <w:szCs w:val="24"/>
          <w:lang w:eastAsia="ar-SA"/>
        </w:rPr>
        <w:t> </w:t>
      </w:r>
      <w:r w:rsidR="000330F5">
        <w:rPr>
          <w:rFonts w:asciiTheme="minorHAnsi" w:hAnsiTheme="minorHAnsi" w:cstheme="minorHAnsi"/>
          <w:szCs w:val="24"/>
          <w:lang w:eastAsia="ar-SA"/>
        </w:rPr>
        <w:t xml:space="preserve">20 of the Act. </w:t>
      </w:r>
      <w:r w:rsidR="00426ADC">
        <w:rPr>
          <w:rFonts w:asciiTheme="minorHAnsi" w:hAnsiTheme="minorHAnsi" w:cstheme="minorHAnsi"/>
          <w:szCs w:val="24"/>
          <w:lang w:eastAsia="ar-SA"/>
        </w:rPr>
        <w:t>Those documents are subject to</w:t>
      </w:r>
      <w:r w:rsidR="00984464">
        <w:rPr>
          <w:rFonts w:asciiTheme="minorHAnsi" w:hAnsiTheme="minorHAnsi" w:cstheme="minorHAnsi"/>
          <w:szCs w:val="24"/>
          <w:lang w:eastAsia="ar-SA"/>
        </w:rPr>
        <w:t xml:space="preserve"> interim orders </w:t>
      </w:r>
      <w:r w:rsidR="00C72CAC">
        <w:rPr>
          <w:rFonts w:asciiTheme="minorHAnsi" w:hAnsiTheme="minorHAnsi" w:cstheme="minorHAnsi"/>
          <w:szCs w:val="24"/>
          <w:lang w:eastAsia="ar-SA"/>
        </w:rPr>
        <w:t>under s</w:t>
      </w:r>
      <w:r w:rsidR="00426ADC">
        <w:rPr>
          <w:rFonts w:asciiTheme="minorHAnsi" w:hAnsiTheme="minorHAnsi" w:cstheme="minorHAnsi"/>
          <w:szCs w:val="24"/>
          <w:lang w:eastAsia="ar-SA"/>
        </w:rPr>
        <w:t> </w:t>
      </w:r>
      <w:r w:rsidR="00C72CAC">
        <w:rPr>
          <w:rFonts w:asciiTheme="minorHAnsi" w:hAnsiTheme="minorHAnsi" w:cstheme="minorHAnsi"/>
          <w:szCs w:val="24"/>
          <w:lang w:eastAsia="ar-SA"/>
        </w:rPr>
        <w:t xml:space="preserve">15(1)(b) of the Act </w:t>
      </w:r>
      <w:r w:rsidR="004A636D" w:rsidRPr="0021051A">
        <w:rPr>
          <w:rFonts w:asciiTheme="minorHAnsi" w:hAnsiTheme="minorHAnsi" w:cstheme="minorHAnsi"/>
          <w:szCs w:val="24"/>
          <w:lang w:eastAsia="ar-SA"/>
        </w:rPr>
        <w:t xml:space="preserve">restricting public access to </w:t>
      </w:r>
      <w:r w:rsidR="00426ADC">
        <w:rPr>
          <w:rFonts w:asciiTheme="minorHAnsi" w:hAnsiTheme="minorHAnsi" w:cstheme="minorHAnsi"/>
          <w:szCs w:val="24"/>
          <w:lang w:eastAsia="ar-SA"/>
        </w:rPr>
        <w:t xml:space="preserve">the </w:t>
      </w:r>
      <w:r w:rsidR="004A636D" w:rsidRPr="0021051A">
        <w:rPr>
          <w:rFonts w:asciiTheme="minorHAnsi" w:hAnsiTheme="minorHAnsi" w:cstheme="minorHAnsi"/>
          <w:szCs w:val="24"/>
          <w:lang w:eastAsia="ar-SA"/>
        </w:rPr>
        <w:t>documents unless authorised by the Inquiry.</w:t>
      </w:r>
    </w:p>
    <w:p w14:paraId="3829E5C6" w14:textId="3C1F8AE7" w:rsidR="002C68A5" w:rsidRDefault="002C68A5"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 xml:space="preserve">In addition to evidence filed by witnesses, the Inquiry will produce a bundle of documents </w:t>
      </w:r>
      <w:r w:rsidR="00FB7A92">
        <w:rPr>
          <w:rFonts w:asciiTheme="minorHAnsi" w:hAnsiTheme="minorHAnsi" w:cstheme="minorHAnsi"/>
          <w:szCs w:val="24"/>
          <w:lang w:eastAsia="ar-SA"/>
        </w:rPr>
        <w:t xml:space="preserve">for the hearing, </w:t>
      </w:r>
      <w:r w:rsidRPr="0021051A">
        <w:rPr>
          <w:rFonts w:asciiTheme="minorHAnsi" w:hAnsiTheme="minorHAnsi" w:cstheme="minorHAnsi"/>
          <w:szCs w:val="24"/>
          <w:lang w:eastAsia="ar-SA"/>
        </w:rPr>
        <w:t xml:space="preserve">which may also </w:t>
      </w:r>
      <w:r w:rsidR="001D7B88">
        <w:rPr>
          <w:rFonts w:asciiTheme="minorHAnsi" w:hAnsiTheme="minorHAnsi" w:cstheme="minorHAnsi"/>
          <w:szCs w:val="24"/>
          <w:lang w:eastAsia="ar-SA"/>
        </w:rPr>
        <w:t>be subject to</w:t>
      </w:r>
      <w:r w:rsidRPr="0021051A">
        <w:rPr>
          <w:rFonts w:asciiTheme="minorHAnsi" w:hAnsiTheme="minorHAnsi" w:cstheme="minorHAnsi"/>
          <w:szCs w:val="24"/>
          <w:lang w:eastAsia="ar-SA"/>
        </w:rPr>
        <w:t xml:space="preserve"> </w:t>
      </w:r>
      <w:r w:rsidR="005B0128">
        <w:rPr>
          <w:rFonts w:asciiTheme="minorHAnsi" w:hAnsiTheme="minorHAnsi" w:cstheme="minorHAnsi"/>
          <w:szCs w:val="24"/>
          <w:lang w:eastAsia="ar-SA"/>
        </w:rPr>
        <w:t xml:space="preserve">directions of the Inquiry and/or </w:t>
      </w:r>
      <w:r w:rsidRPr="0021051A">
        <w:rPr>
          <w:rFonts w:asciiTheme="minorHAnsi" w:hAnsiTheme="minorHAnsi" w:cstheme="minorHAnsi"/>
          <w:szCs w:val="24"/>
          <w:lang w:eastAsia="ar-SA"/>
        </w:rPr>
        <w:t>s</w:t>
      </w:r>
      <w:r w:rsidR="00AD0B75">
        <w:rPr>
          <w:rFonts w:asciiTheme="minorHAnsi" w:hAnsiTheme="minorHAnsi" w:cstheme="minorHAnsi"/>
          <w:szCs w:val="24"/>
          <w:lang w:eastAsia="ar-SA"/>
        </w:rPr>
        <w:t xml:space="preserve"> </w:t>
      </w:r>
      <w:r w:rsidRPr="0021051A">
        <w:rPr>
          <w:rFonts w:asciiTheme="minorHAnsi" w:hAnsiTheme="minorHAnsi" w:cstheme="minorHAnsi"/>
          <w:szCs w:val="24"/>
          <w:lang w:eastAsia="ar-SA"/>
        </w:rPr>
        <w:t>15 orders</w:t>
      </w:r>
      <w:r w:rsidR="008545CE">
        <w:rPr>
          <w:rFonts w:asciiTheme="minorHAnsi" w:hAnsiTheme="minorHAnsi" w:cstheme="minorHAnsi"/>
          <w:szCs w:val="24"/>
          <w:lang w:eastAsia="ar-SA"/>
        </w:rPr>
        <w:t>.</w:t>
      </w:r>
    </w:p>
    <w:p w14:paraId="61679246" w14:textId="4B7F54C7" w:rsidR="008B345E" w:rsidRPr="00822E24" w:rsidRDefault="008B345E" w:rsidP="00822E24">
      <w:pPr>
        <w:spacing w:before="120" w:after="240" w:line="240" w:lineRule="auto"/>
        <w:jc w:val="both"/>
        <w:rPr>
          <w:rFonts w:asciiTheme="minorHAnsi" w:hAnsiTheme="minorHAnsi" w:cstheme="minorHAnsi"/>
          <w:b/>
          <w:bCs/>
          <w:i/>
          <w:iCs/>
          <w:szCs w:val="24"/>
          <w:lang w:eastAsia="ar-SA"/>
        </w:rPr>
      </w:pPr>
      <w:r w:rsidRPr="00822E24">
        <w:rPr>
          <w:rFonts w:asciiTheme="minorHAnsi" w:hAnsiTheme="minorHAnsi" w:cstheme="minorHAnsi"/>
          <w:b/>
          <w:bCs/>
          <w:i/>
          <w:iCs/>
          <w:szCs w:val="24"/>
          <w:lang w:eastAsia="ar-SA"/>
        </w:rPr>
        <w:t>Core participants</w:t>
      </w:r>
    </w:p>
    <w:p w14:paraId="293E5D5D" w14:textId="69101571" w:rsidR="008B345E" w:rsidRPr="00822E24" w:rsidRDefault="008B345E" w:rsidP="008B345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 xml:space="preserve">Individuals or groups who seek core participant status for this phase of the </w:t>
      </w:r>
      <w:r w:rsidR="006B6C4E">
        <w:rPr>
          <w:rFonts w:asciiTheme="minorHAnsi" w:hAnsiTheme="minorHAnsi" w:cstheme="minorHAnsi"/>
          <w:szCs w:val="24"/>
          <w:lang w:eastAsia="ar-SA"/>
        </w:rPr>
        <w:t>R</w:t>
      </w:r>
      <w:r>
        <w:rPr>
          <w:rFonts w:asciiTheme="minorHAnsi" w:hAnsiTheme="minorHAnsi" w:cstheme="minorHAnsi"/>
          <w:szCs w:val="24"/>
          <w:lang w:eastAsia="ar-SA"/>
        </w:rPr>
        <w:t>edress investigation should apply as soon as possible but no later than Wednesday 19 February 2020 in accordance with para</w:t>
      </w:r>
      <w:r w:rsidR="006B6C4E">
        <w:rPr>
          <w:rFonts w:asciiTheme="minorHAnsi" w:hAnsiTheme="minorHAnsi" w:cstheme="minorHAnsi"/>
          <w:szCs w:val="24"/>
          <w:lang w:eastAsia="ar-SA"/>
        </w:rPr>
        <w:t>graph</w:t>
      </w:r>
      <w:r>
        <w:rPr>
          <w:rFonts w:asciiTheme="minorHAnsi" w:hAnsiTheme="minorHAnsi" w:cstheme="minorHAnsi"/>
          <w:szCs w:val="24"/>
          <w:lang w:eastAsia="ar-SA"/>
        </w:rPr>
        <w:t xml:space="preserve"> [16] below. Applications should be made in accordance with the process in the Inquiry’s </w:t>
      </w:r>
      <w:hyperlink r:id="rId13" w:history="1">
        <w:r w:rsidRPr="0043541B">
          <w:rPr>
            <w:rStyle w:val="Hyperlink"/>
            <w:rFonts w:asciiTheme="minorHAnsi" w:hAnsiTheme="minorHAnsi" w:cstheme="minorHAnsi"/>
            <w:szCs w:val="24"/>
            <w:lang w:eastAsia="ar-SA"/>
          </w:rPr>
          <w:t>Practice N</w:t>
        </w:r>
        <w:r w:rsidRPr="0043541B">
          <w:rPr>
            <w:rStyle w:val="Hyperlink"/>
            <w:rFonts w:asciiTheme="minorHAnsi" w:hAnsiTheme="minorHAnsi" w:cstheme="minorHAnsi"/>
            <w:szCs w:val="24"/>
            <w:lang w:eastAsia="ar-SA"/>
          </w:rPr>
          <w:t>o</w:t>
        </w:r>
        <w:r w:rsidRPr="0043541B">
          <w:rPr>
            <w:rStyle w:val="Hyperlink"/>
            <w:rFonts w:asciiTheme="minorHAnsi" w:hAnsiTheme="minorHAnsi" w:cstheme="minorHAnsi"/>
            <w:szCs w:val="24"/>
            <w:lang w:eastAsia="ar-SA"/>
          </w:rPr>
          <w:t xml:space="preserve">te 2 </w:t>
        </w:r>
        <w:r w:rsidR="006B6C4E" w:rsidRPr="0043541B">
          <w:rPr>
            <w:rStyle w:val="Hyperlink"/>
            <w:rFonts w:asciiTheme="minorHAnsi" w:hAnsiTheme="minorHAnsi" w:cstheme="minorHAnsi"/>
            <w:szCs w:val="24"/>
            <w:lang w:eastAsia="ar-SA"/>
          </w:rPr>
          <w:t>on core participants</w:t>
        </w:r>
      </w:hyperlink>
      <w:r w:rsidR="006B6C4E">
        <w:rPr>
          <w:rFonts w:asciiTheme="minorHAnsi" w:hAnsiTheme="minorHAnsi" w:cstheme="minorHAnsi"/>
          <w:szCs w:val="24"/>
          <w:lang w:eastAsia="ar-SA"/>
        </w:rPr>
        <w:t xml:space="preserve"> </w:t>
      </w:r>
      <w:r>
        <w:rPr>
          <w:rFonts w:asciiTheme="minorHAnsi" w:hAnsiTheme="minorHAnsi" w:cstheme="minorHAnsi"/>
          <w:szCs w:val="24"/>
          <w:lang w:eastAsia="ar-SA"/>
        </w:rPr>
        <w:t xml:space="preserve">issued on </w:t>
      </w:r>
      <w:r w:rsidR="0043541B">
        <w:rPr>
          <w:rFonts w:asciiTheme="minorHAnsi" w:hAnsiTheme="minorHAnsi" w:cstheme="minorHAnsi"/>
          <w:szCs w:val="24"/>
          <w:lang w:eastAsia="ar-SA"/>
        </w:rPr>
        <w:t>30 January 2020</w:t>
      </w:r>
      <w:r>
        <w:rPr>
          <w:rFonts w:asciiTheme="minorHAnsi" w:hAnsiTheme="minorHAnsi" w:cstheme="minorHAnsi"/>
          <w:szCs w:val="24"/>
          <w:lang w:eastAsia="ar-SA"/>
        </w:rPr>
        <w:t xml:space="preserve">. </w:t>
      </w:r>
    </w:p>
    <w:p w14:paraId="6EC38412" w14:textId="6A83EB53" w:rsidR="00781358" w:rsidRPr="0021051A" w:rsidRDefault="0060488A" w:rsidP="0057690E">
      <w:pPr>
        <w:pStyle w:val="ListParagraph"/>
        <w:spacing w:before="120" w:after="240" w:line="240" w:lineRule="auto"/>
        <w:ind w:left="0"/>
        <w:jc w:val="both"/>
        <w:rPr>
          <w:rFonts w:asciiTheme="minorHAnsi" w:hAnsiTheme="minorHAnsi" w:cstheme="minorHAnsi"/>
          <w:b/>
          <w:bCs/>
          <w:i/>
          <w:iCs/>
          <w:szCs w:val="24"/>
          <w:lang w:eastAsia="ar-SA"/>
        </w:rPr>
      </w:pPr>
      <w:r>
        <w:rPr>
          <w:rFonts w:asciiTheme="minorHAnsi" w:hAnsiTheme="minorHAnsi" w:cstheme="minorHAnsi"/>
          <w:b/>
          <w:bCs/>
          <w:i/>
          <w:iCs/>
          <w:szCs w:val="24"/>
          <w:lang w:eastAsia="ar-SA"/>
        </w:rPr>
        <w:t>Leave to appear</w:t>
      </w:r>
    </w:p>
    <w:p w14:paraId="160EFC54" w14:textId="00202AAD" w:rsidR="008545CE" w:rsidRDefault="008B345E"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 xml:space="preserve">Individuals or groups </w:t>
      </w:r>
      <w:r w:rsidR="008545CE">
        <w:rPr>
          <w:rFonts w:asciiTheme="minorHAnsi" w:hAnsiTheme="minorHAnsi" w:cstheme="minorHAnsi"/>
          <w:szCs w:val="24"/>
          <w:lang w:eastAsia="ar-SA"/>
        </w:rPr>
        <w:t xml:space="preserve">who </w:t>
      </w:r>
      <w:r>
        <w:rPr>
          <w:rFonts w:asciiTheme="minorHAnsi" w:hAnsiTheme="minorHAnsi" w:cstheme="minorHAnsi"/>
          <w:szCs w:val="24"/>
          <w:lang w:eastAsia="ar-SA"/>
        </w:rPr>
        <w:t>wish</w:t>
      </w:r>
      <w:bookmarkStart w:id="0" w:name="_GoBack"/>
      <w:bookmarkEnd w:id="0"/>
      <w:r>
        <w:rPr>
          <w:rFonts w:asciiTheme="minorHAnsi" w:hAnsiTheme="minorHAnsi" w:cstheme="minorHAnsi"/>
          <w:szCs w:val="24"/>
          <w:lang w:eastAsia="ar-SA"/>
        </w:rPr>
        <w:t xml:space="preserve"> to be represented at the </w:t>
      </w:r>
      <w:r w:rsidR="006B6C4E">
        <w:rPr>
          <w:rFonts w:asciiTheme="minorHAnsi" w:hAnsiTheme="minorHAnsi" w:cstheme="minorHAnsi"/>
          <w:szCs w:val="24"/>
          <w:lang w:eastAsia="ar-SA"/>
        </w:rPr>
        <w:t>R</w:t>
      </w:r>
      <w:r>
        <w:rPr>
          <w:rFonts w:asciiTheme="minorHAnsi" w:hAnsiTheme="minorHAnsi" w:cstheme="minorHAnsi"/>
          <w:szCs w:val="24"/>
          <w:lang w:eastAsia="ar-SA"/>
        </w:rPr>
        <w:t xml:space="preserve">edress hearing and question witnesses </w:t>
      </w:r>
      <w:r w:rsidR="00DA5C7E">
        <w:rPr>
          <w:rFonts w:asciiTheme="minorHAnsi" w:hAnsiTheme="minorHAnsi" w:cstheme="minorHAnsi"/>
          <w:szCs w:val="24"/>
          <w:lang w:eastAsia="ar-SA"/>
        </w:rPr>
        <w:t>should apply for leave to appear</w:t>
      </w:r>
      <w:r w:rsidR="008970D1">
        <w:rPr>
          <w:rFonts w:asciiTheme="minorHAnsi" w:hAnsiTheme="minorHAnsi" w:cstheme="minorHAnsi"/>
          <w:szCs w:val="24"/>
          <w:lang w:eastAsia="ar-SA"/>
        </w:rPr>
        <w:t xml:space="preserve">. </w:t>
      </w:r>
      <w:r>
        <w:rPr>
          <w:rFonts w:asciiTheme="minorHAnsi" w:hAnsiTheme="minorHAnsi" w:cstheme="minorHAnsi"/>
          <w:szCs w:val="24"/>
          <w:lang w:eastAsia="ar-SA"/>
        </w:rPr>
        <w:t>Applications should be made in writing by 19 February 2020</w:t>
      </w:r>
      <w:r w:rsidR="006B6C4E">
        <w:rPr>
          <w:rFonts w:asciiTheme="minorHAnsi" w:hAnsiTheme="minorHAnsi" w:cstheme="minorHAnsi"/>
          <w:szCs w:val="24"/>
          <w:lang w:eastAsia="ar-SA"/>
        </w:rPr>
        <w:t xml:space="preserve"> in accordance with paragraph</w:t>
      </w:r>
      <w:r>
        <w:rPr>
          <w:rFonts w:asciiTheme="minorHAnsi" w:hAnsiTheme="minorHAnsi" w:cstheme="minorHAnsi"/>
          <w:szCs w:val="24"/>
          <w:lang w:eastAsia="ar-SA"/>
        </w:rPr>
        <w:t xml:space="preserve"> [16] below.</w:t>
      </w:r>
    </w:p>
    <w:p w14:paraId="70934161" w14:textId="710E2952" w:rsidR="009B2164" w:rsidRPr="0021051A" w:rsidRDefault="009B2164"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 xml:space="preserve">The focus of this </w:t>
      </w:r>
      <w:r w:rsidR="006B6C4E">
        <w:rPr>
          <w:rFonts w:asciiTheme="minorHAnsi" w:hAnsiTheme="minorHAnsi" w:cstheme="minorHAnsi"/>
          <w:szCs w:val="24"/>
          <w:lang w:eastAsia="ar-SA"/>
        </w:rPr>
        <w:t>R</w:t>
      </w:r>
      <w:r w:rsidRPr="0021051A">
        <w:rPr>
          <w:rFonts w:asciiTheme="minorHAnsi" w:hAnsiTheme="minorHAnsi" w:cstheme="minorHAnsi"/>
          <w:szCs w:val="24"/>
          <w:lang w:eastAsia="ar-SA"/>
        </w:rPr>
        <w:t>edress hearing is the State.</w:t>
      </w:r>
      <w:r w:rsidR="00011B35" w:rsidRPr="0021051A">
        <w:rPr>
          <w:rFonts w:asciiTheme="minorHAnsi" w:hAnsiTheme="minorHAnsi" w:cstheme="minorHAnsi"/>
          <w:szCs w:val="24"/>
          <w:lang w:eastAsia="ar-SA"/>
        </w:rPr>
        <w:t xml:space="preserve"> Faith-based institutions are not expected to, but may </w:t>
      </w:r>
      <w:r w:rsidR="008B345E">
        <w:rPr>
          <w:rFonts w:asciiTheme="minorHAnsi" w:hAnsiTheme="minorHAnsi" w:cstheme="minorHAnsi"/>
          <w:szCs w:val="24"/>
          <w:lang w:eastAsia="ar-SA"/>
        </w:rPr>
        <w:t>if they wish</w:t>
      </w:r>
      <w:r w:rsidR="006B6C4E">
        <w:rPr>
          <w:rFonts w:asciiTheme="minorHAnsi" w:hAnsiTheme="minorHAnsi" w:cstheme="minorHAnsi"/>
          <w:szCs w:val="24"/>
          <w:lang w:eastAsia="ar-SA"/>
        </w:rPr>
        <w:t>,</w:t>
      </w:r>
      <w:r w:rsidR="00011B35" w:rsidRPr="0021051A">
        <w:rPr>
          <w:rFonts w:asciiTheme="minorHAnsi" w:hAnsiTheme="minorHAnsi" w:cstheme="minorHAnsi"/>
          <w:szCs w:val="24"/>
          <w:lang w:eastAsia="ar-SA"/>
        </w:rPr>
        <w:t xml:space="preserve"> </w:t>
      </w:r>
      <w:r w:rsidR="004468BD">
        <w:rPr>
          <w:rFonts w:asciiTheme="minorHAnsi" w:hAnsiTheme="minorHAnsi" w:cstheme="minorHAnsi"/>
          <w:szCs w:val="24"/>
          <w:lang w:eastAsia="ar-SA"/>
        </w:rPr>
        <w:t xml:space="preserve">seek leave to appear at </w:t>
      </w:r>
      <w:r w:rsidR="00011B35" w:rsidRPr="0021051A">
        <w:rPr>
          <w:rFonts w:asciiTheme="minorHAnsi" w:hAnsiTheme="minorHAnsi" w:cstheme="minorHAnsi"/>
          <w:szCs w:val="24"/>
          <w:lang w:eastAsia="ar-SA"/>
        </w:rPr>
        <w:t>this hearing.</w:t>
      </w:r>
      <w:r w:rsidR="00B2560E" w:rsidRPr="0021051A">
        <w:rPr>
          <w:rFonts w:asciiTheme="minorHAnsi" w:hAnsiTheme="minorHAnsi" w:cstheme="minorHAnsi"/>
          <w:szCs w:val="24"/>
          <w:lang w:eastAsia="ar-SA"/>
        </w:rPr>
        <w:t xml:space="preserve">  </w:t>
      </w:r>
    </w:p>
    <w:p w14:paraId="254CD454" w14:textId="662E7D3B" w:rsidR="00900B3A" w:rsidRPr="0021051A" w:rsidRDefault="00AF50C8" w:rsidP="00E550CA">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The questioning of witnesses at the hearing will be by leave</w:t>
      </w:r>
      <w:r w:rsidR="00EC360D">
        <w:rPr>
          <w:rFonts w:asciiTheme="minorHAnsi" w:hAnsiTheme="minorHAnsi" w:cstheme="minorHAnsi"/>
          <w:szCs w:val="24"/>
          <w:lang w:eastAsia="ar-SA"/>
        </w:rPr>
        <w:t xml:space="preserve"> </w:t>
      </w:r>
      <w:r>
        <w:rPr>
          <w:rFonts w:asciiTheme="minorHAnsi" w:hAnsiTheme="minorHAnsi" w:cstheme="minorHAnsi"/>
          <w:szCs w:val="24"/>
          <w:lang w:eastAsia="ar-SA"/>
        </w:rPr>
        <w:t xml:space="preserve">of the Inquiry.  </w:t>
      </w:r>
      <w:r w:rsidR="00EC360D">
        <w:rPr>
          <w:rFonts w:asciiTheme="minorHAnsi" w:hAnsiTheme="minorHAnsi" w:cstheme="minorHAnsi"/>
          <w:szCs w:val="24"/>
          <w:lang w:eastAsia="ar-SA"/>
        </w:rPr>
        <w:t xml:space="preserve">Any </w:t>
      </w:r>
      <w:r w:rsidR="006B6C4E">
        <w:rPr>
          <w:rFonts w:asciiTheme="minorHAnsi" w:hAnsiTheme="minorHAnsi" w:cstheme="minorHAnsi"/>
          <w:szCs w:val="24"/>
          <w:lang w:eastAsia="ar-SA"/>
        </w:rPr>
        <w:t>person</w:t>
      </w:r>
      <w:r w:rsidR="00EC360D">
        <w:rPr>
          <w:rFonts w:asciiTheme="minorHAnsi" w:hAnsiTheme="minorHAnsi" w:cstheme="minorHAnsi"/>
          <w:szCs w:val="24"/>
          <w:lang w:eastAsia="ar-SA"/>
        </w:rPr>
        <w:t xml:space="preserve"> seeking leave to question a witness </w:t>
      </w:r>
      <w:r w:rsidR="00E550CA">
        <w:rPr>
          <w:rFonts w:asciiTheme="minorHAnsi" w:hAnsiTheme="minorHAnsi" w:cstheme="minorHAnsi"/>
          <w:szCs w:val="24"/>
          <w:lang w:eastAsia="ar-SA"/>
        </w:rPr>
        <w:t xml:space="preserve">must identify </w:t>
      </w:r>
      <w:r w:rsidR="00900B3A" w:rsidRPr="0021051A">
        <w:rPr>
          <w:rFonts w:asciiTheme="minorHAnsi" w:hAnsiTheme="minorHAnsi" w:cstheme="minorHAnsi"/>
          <w:szCs w:val="24"/>
          <w:lang w:eastAsia="ar-SA"/>
        </w:rPr>
        <w:t xml:space="preserve">the proposed areas of questioning. This </w:t>
      </w:r>
      <w:r w:rsidR="00722283">
        <w:rPr>
          <w:rFonts w:asciiTheme="minorHAnsi" w:hAnsiTheme="minorHAnsi" w:cstheme="minorHAnsi"/>
          <w:szCs w:val="24"/>
          <w:lang w:eastAsia="ar-SA"/>
        </w:rPr>
        <w:t>should</w:t>
      </w:r>
      <w:r w:rsidR="006B6C4E">
        <w:rPr>
          <w:rFonts w:asciiTheme="minorHAnsi" w:hAnsiTheme="minorHAnsi" w:cstheme="minorHAnsi"/>
          <w:szCs w:val="24"/>
          <w:lang w:eastAsia="ar-SA"/>
        </w:rPr>
        <w:t>,</w:t>
      </w:r>
      <w:r w:rsidR="00722283">
        <w:rPr>
          <w:rFonts w:asciiTheme="minorHAnsi" w:hAnsiTheme="minorHAnsi" w:cstheme="minorHAnsi"/>
          <w:szCs w:val="24"/>
          <w:lang w:eastAsia="ar-SA"/>
        </w:rPr>
        <w:t xml:space="preserve"> if possible</w:t>
      </w:r>
      <w:r w:rsidR="006B6C4E">
        <w:rPr>
          <w:rFonts w:asciiTheme="minorHAnsi" w:hAnsiTheme="minorHAnsi" w:cstheme="minorHAnsi"/>
          <w:szCs w:val="24"/>
          <w:lang w:eastAsia="ar-SA"/>
        </w:rPr>
        <w:t>,</w:t>
      </w:r>
      <w:r w:rsidR="00722283">
        <w:rPr>
          <w:rFonts w:asciiTheme="minorHAnsi" w:hAnsiTheme="minorHAnsi" w:cstheme="minorHAnsi"/>
          <w:szCs w:val="24"/>
          <w:lang w:eastAsia="ar-SA"/>
        </w:rPr>
        <w:t xml:space="preserve"> </w:t>
      </w:r>
      <w:r w:rsidR="00900B3A" w:rsidRPr="0021051A">
        <w:rPr>
          <w:rFonts w:asciiTheme="minorHAnsi" w:hAnsiTheme="minorHAnsi" w:cstheme="minorHAnsi"/>
          <w:szCs w:val="24"/>
          <w:lang w:eastAsia="ar-SA"/>
        </w:rPr>
        <w:t>be provided in advance of the hearing in writing</w:t>
      </w:r>
      <w:r w:rsidR="00722283">
        <w:rPr>
          <w:rFonts w:asciiTheme="minorHAnsi" w:hAnsiTheme="minorHAnsi" w:cstheme="minorHAnsi"/>
          <w:szCs w:val="24"/>
          <w:lang w:eastAsia="ar-SA"/>
        </w:rPr>
        <w:t>.</w:t>
      </w:r>
      <w:r w:rsidR="00900B3A" w:rsidRPr="0021051A">
        <w:rPr>
          <w:rFonts w:asciiTheme="minorHAnsi" w:hAnsiTheme="minorHAnsi" w:cstheme="minorHAnsi"/>
          <w:szCs w:val="24"/>
          <w:lang w:eastAsia="ar-SA"/>
        </w:rPr>
        <w:t xml:space="preserve"> </w:t>
      </w:r>
      <w:r w:rsidR="00722283">
        <w:rPr>
          <w:rFonts w:asciiTheme="minorHAnsi" w:hAnsiTheme="minorHAnsi" w:cstheme="minorHAnsi"/>
          <w:szCs w:val="24"/>
          <w:lang w:eastAsia="ar-SA"/>
        </w:rPr>
        <w:t xml:space="preserve">The Inquiry </w:t>
      </w:r>
      <w:r w:rsidR="00F8646F">
        <w:rPr>
          <w:rFonts w:asciiTheme="minorHAnsi" w:hAnsiTheme="minorHAnsi" w:cstheme="minorHAnsi"/>
          <w:szCs w:val="24"/>
          <w:lang w:eastAsia="ar-SA"/>
        </w:rPr>
        <w:t xml:space="preserve">will also receive </w:t>
      </w:r>
      <w:r w:rsidR="00900B3A" w:rsidRPr="0021051A">
        <w:rPr>
          <w:rFonts w:asciiTheme="minorHAnsi" w:hAnsiTheme="minorHAnsi" w:cstheme="minorHAnsi"/>
          <w:szCs w:val="24"/>
          <w:lang w:eastAsia="ar-SA"/>
        </w:rPr>
        <w:t>oral</w:t>
      </w:r>
      <w:r w:rsidR="00F8646F">
        <w:rPr>
          <w:rFonts w:asciiTheme="minorHAnsi" w:hAnsiTheme="minorHAnsi" w:cstheme="minorHAnsi"/>
          <w:szCs w:val="24"/>
          <w:lang w:eastAsia="ar-SA"/>
        </w:rPr>
        <w:t xml:space="preserve"> applications </w:t>
      </w:r>
      <w:r w:rsidR="00900B3A" w:rsidRPr="0021051A">
        <w:rPr>
          <w:rFonts w:asciiTheme="minorHAnsi" w:hAnsiTheme="minorHAnsi" w:cstheme="minorHAnsi"/>
          <w:szCs w:val="24"/>
          <w:lang w:eastAsia="ar-SA"/>
        </w:rPr>
        <w:t xml:space="preserve">at the conclusion of the evidence-in-chief of each witness. </w:t>
      </w:r>
      <w:r w:rsidR="009D2D72">
        <w:rPr>
          <w:rFonts w:asciiTheme="minorHAnsi" w:hAnsiTheme="minorHAnsi" w:cstheme="minorHAnsi"/>
          <w:szCs w:val="24"/>
          <w:lang w:eastAsia="ar-SA"/>
        </w:rPr>
        <w:t>The Inquiry may limit the areas of questioning in its discretion</w:t>
      </w:r>
      <w:r w:rsidR="00A16AAF">
        <w:rPr>
          <w:rFonts w:asciiTheme="minorHAnsi" w:hAnsiTheme="minorHAnsi" w:cstheme="minorHAnsi"/>
          <w:szCs w:val="24"/>
          <w:lang w:eastAsia="ar-SA"/>
        </w:rPr>
        <w:t>, and may direct that questions</w:t>
      </w:r>
      <w:r w:rsidR="00130560">
        <w:rPr>
          <w:rFonts w:asciiTheme="minorHAnsi" w:hAnsiTheme="minorHAnsi" w:cstheme="minorHAnsi"/>
          <w:szCs w:val="24"/>
          <w:lang w:eastAsia="ar-SA"/>
        </w:rPr>
        <w:t xml:space="preserve"> are asked by Counsel Assisting</w:t>
      </w:r>
      <w:r w:rsidR="009D2D72">
        <w:rPr>
          <w:rFonts w:asciiTheme="minorHAnsi" w:hAnsiTheme="minorHAnsi" w:cstheme="minorHAnsi"/>
          <w:szCs w:val="24"/>
          <w:lang w:eastAsia="ar-SA"/>
        </w:rPr>
        <w:t>.</w:t>
      </w:r>
    </w:p>
    <w:p w14:paraId="0F7A5018" w14:textId="2D2B1B5C" w:rsidR="00900B3A" w:rsidRDefault="00900B3A"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 xml:space="preserve">In relation to survivor witnesses, the Inquiry will need to be persuaded that any proposed questioning is appropriate and can be carried out without causing unnecessary distress. In such a case, the Inquiry may direct that proposed topics are dealt with by Counsel Assisting rather than by counsel for a party. </w:t>
      </w:r>
    </w:p>
    <w:p w14:paraId="69C55F4D" w14:textId="5FC89903" w:rsidR="00C87F03" w:rsidRPr="00B71ED3" w:rsidRDefault="00C87F03" w:rsidP="00554F6C">
      <w:pPr>
        <w:keepNext/>
        <w:spacing w:before="120" w:after="240" w:line="240" w:lineRule="auto"/>
        <w:jc w:val="both"/>
        <w:rPr>
          <w:rFonts w:asciiTheme="minorHAnsi" w:hAnsiTheme="minorHAnsi" w:cstheme="minorHAnsi"/>
          <w:b/>
          <w:bCs/>
          <w:i/>
          <w:iCs/>
          <w:szCs w:val="24"/>
          <w:lang w:eastAsia="ar-SA"/>
        </w:rPr>
      </w:pPr>
      <w:r>
        <w:rPr>
          <w:rFonts w:asciiTheme="minorHAnsi" w:hAnsiTheme="minorHAnsi" w:cstheme="minorHAnsi"/>
          <w:b/>
          <w:bCs/>
          <w:i/>
          <w:iCs/>
          <w:szCs w:val="24"/>
          <w:lang w:eastAsia="ar-SA"/>
        </w:rPr>
        <w:t>Applications</w:t>
      </w:r>
    </w:p>
    <w:p w14:paraId="62D1FEDC" w14:textId="20872DC2" w:rsidR="00C87F03" w:rsidRPr="0021051A" w:rsidRDefault="00C87F03"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Applications for s 15 orders, core participant status, leave to appear at the public hearing</w:t>
      </w:r>
      <w:r w:rsidR="00D42C73">
        <w:rPr>
          <w:rFonts w:asciiTheme="minorHAnsi" w:hAnsiTheme="minorHAnsi" w:cstheme="minorHAnsi"/>
          <w:szCs w:val="24"/>
          <w:lang w:eastAsia="ar-SA"/>
        </w:rPr>
        <w:t>, leave to question witnesses</w:t>
      </w:r>
      <w:r>
        <w:rPr>
          <w:rFonts w:asciiTheme="minorHAnsi" w:hAnsiTheme="minorHAnsi" w:cstheme="minorHAnsi"/>
          <w:szCs w:val="24"/>
          <w:lang w:eastAsia="ar-SA"/>
        </w:rPr>
        <w:t xml:space="preserve"> and any other application should be made in writing</w:t>
      </w:r>
      <w:r w:rsidR="00FD3F0D">
        <w:rPr>
          <w:rFonts w:asciiTheme="minorHAnsi" w:hAnsiTheme="minorHAnsi" w:cstheme="minorHAnsi"/>
          <w:szCs w:val="24"/>
          <w:lang w:eastAsia="ar-SA"/>
        </w:rPr>
        <w:t>,</w:t>
      </w:r>
      <w:r>
        <w:rPr>
          <w:rFonts w:asciiTheme="minorHAnsi" w:hAnsiTheme="minorHAnsi" w:cstheme="minorHAnsi"/>
          <w:szCs w:val="24"/>
          <w:lang w:eastAsia="ar-SA"/>
        </w:rPr>
        <w:t xml:space="preserve"> with reasons</w:t>
      </w:r>
      <w:r w:rsidR="00FD3F0D">
        <w:rPr>
          <w:rFonts w:asciiTheme="minorHAnsi" w:hAnsiTheme="minorHAnsi" w:cstheme="minorHAnsi"/>
          <w:szCs w:val="24"/>
          <w:lang w:eastAsia="ar-SA"/>
        </w:rPr>
        <w:t>,</w:t>
      </w:r>
      <w:r>
        <w:rPr>
          <w:rFonts w:asciiTheme="minorHAnsi" w:hAnsiTheme="minorHAnsi" w:cstheme="minorHAnsi"/>
          <w:szCs w:val="24"/>
          <w:lang w:eastAsia="ar-SA"/>
        </w:rPr>
        <w:t xml:space="preserve"> and emailed to:</w:t>
      </w:r>
      <w:r w:rsidR="008B345E">
        <w:rPr>
          <w:rFonts w:asciiTheme="minorHAnsi" w:hAnsiTheme="minorHAnsi" w:cstheme="minorHAnsi"/>
          <w:szCs w:val="24"/>
          <w:lang w:eastAsia="ar-SA"/>
        </w:rPr>
        <w:t xml:space="preserve"> </w:t>
      </w:r>
      <w:hyperlink r:id="rId14" w:history="1">
        <w:r w:rsidR="008B345E" w:rsidRPr="008B345E">
          <w:rPr>
            <w:rStyle w:val="Hyperlink"/>
            <w:rFonts w:asciiTheme="minorHAnsi" w:hAnsiTheme="minorHAnsi" w:cstheme="minorHAnsi"/>
            <w:szCs w:val="24"/>
            <w:lang w:eastAsia="ar-SA"/>
          </w:rPr>
          <w:t>solicitorass</w:t>
        </w:r>
        <w:r w:rsidR="008B345E" w:rsidRPr="003B2F1D">
          <w:rPr>
            <w:rStyle w:val="Hyperlink"/>
            <w:rFonts w:asciiTheme="minorHAnsi" w:hAnsiTheme="minorHAnsi" w:cstheme="minorHAnsi"/>
            <w:szCs w:val="24"/>
            <w:lang w:eastAsia="ar-SA"/>
          </w:rPr>
          <w:t>isting@abuseincare.org.nz</w:t>
        </w:r>
      </w:hyperlink>
      <w:r>
        <w:rPr>
          <w:rFonts w:asciiTheme="minorHAnsi" w:hAnsiTheme="minorHAnsi" w:cstheme="minorHAnsi"/>
          <w:szCs w:val="24"/>
          <w:lang w:eastAsia="ar-SA"/>
        </w:rPr>
        <w:t xml:space="preserve"> </w:t>
      </w:r>
      <w:r w:rsidR="00FD3F0D">
        <w:rPr>
          <w:rFonts w:asciiTheme="minorHAnsi" w:hAnsiTheme="minorHAnsi" w:cstheme="minorHAnsi"/>
        </w:rPr>
        <w:t xml:space="preserve">by no later than 4pm on Wednesday 19 February 2020. </w:t>
      </w:r>
      <w:r w:rsidR="00B71ED3">
        <w:rPr>
          <w:rFonts w:asciiTheme="minorHAnsi" w:hAnsiTheme="minorHAnsi" w:cstheme="minorHAnsi"/>
        </w:rPr>
        <w:t xml:space="preserve"> </w:t>
      </w:r>
    </w:p>
    <w:p w14:paraId="01F841F1" w14:textId="399C1439" w:rsidR="001C5D68" w:rsidRPr="0021051A" w:rsidRDefault="001C5D68" w:rsidP="0057690E">
      <w:pPr>
        <w:pStyle w:val="ListParagraph"/>
        <w:spacing w:before="120" w:after="240" w:line="240" w:lineRule="auto"/>
        <w:ind w:left="0"/>
        <w:jc w:val="both"/>
        <w:rPr>
          <w:rFonts w:asciiTheme="minorHAnsi" w:hAnsiTheme="minorHAnsi" w:cstheme="minorHAnsi"/>
          <w:b/>
          <w:bCs/>
          <w:i/>
          <w:iCs/>
          <w:szCs w:val="24"/>
          <w:lang w:eastAsia="ar-SA"/>
        </w:rPr>
      </w:pPr>
      <w:r w:rsidRPr="0021051A">
        <w:rPr>
          <w:rFonts w:asciiTheme="minorHAnsi" w:hAnsiTheme="minorHAnsi" w:cstheme="minorHAnsi"/>
          <w:b/>
          <w:bCs/>
          <w:i/>
          <w:iCs/>
          <w:szCs w:val="24"/>
          <w:lang w:eastAsia="ar-SA"/>
        </w:rPr>
        <w:lastRenderedPageBreak/>
        <w:t>Procedural hearing</w:t>
      </w:r>
      <w:r w:rsidR="00526262" w:rsidRPr="0021051A">
        <w:rPr>
          <w:rFonts w:asciiTheme="minorHAnsi" w:hAnsiTheme="minorHAnsi" w:cstheme="minorHAnsi"/>
          <w:b/>
          <w:bCs/>
          <w:i/>
          <w:iCs/>
          <w:szCs w:val="24"/>
          <w:lang w:eastAsia="ar-SA"/>
        </w:rPr>
        <w:t xml:space="preserve"> and decisions on applications</w:t>
      </w:r>
    </w:p>
    <w:p w14:paraId="1D5DCA0C" w14:textId="74EC5706" w:rsidR="001C5D68" w:rsidRPr="0021051A" w:rsidRDefault="002C40CE"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Pr>
          <w:rFonts w:asciiTheme="minorHAnsi" w:hAnsiTheme="minorHAnsi" w:cstheme="minorHAnsi"/>
          <w:szCs w:val="24"/>
          <w:lang w:eastAsia="ar-SA"/>
        </w:rPr>
        <w:t xml:space="preserve">An </w:t>
      </w:r>
      <w:r w:rsidR="001E2A90">
        <w:rPr>
          <w:rFonts w:asciiTheme="minorHAnsi" w:hAnsiTheme="minorHAnsi" w:cstheme="minorHAnsi"/>
          <w:szCs w:val="24"/>
          <w:lang w:eastAsia="ar-SA"/>
        </w:rPr>
        <w:t>“</w:t>
      </w:r>
      <w:r>
        <w:rPr>
          <w:rFonts w:asciiTheme="minorHAnsi" w:hAnsiTheme="minorHAnsi" w:cstheme="minorHAnsi"/>
          <w:szCs w:val="24"/>
          <w:lang w:eastAsia="ar-SA"/>
        </w:rPr>
        <w:t>in chambers</w:t>
      </w:r>
      <w:r w:rsidR="001E2A90">
        <w:rPr>
          <w:rFonts w:asciiTheme="minorHAnsi" w:hAnsiTheme="minorHAnsi" w:cstheme="minorHAnsi"/>
          <w:szCs w:val="24"/>
          <w:lang w:eastAsia="ar-SA"/>
        </w:rPr>
        <w:t>”</w:t>
      </w:r>
      <w:r>
        <w:rPr>
          <w:rFonts w:asciiTheme="minorHAnsi" w:hAnsiTheme="minorHAnsi" w:cstheme="minorHAnsi"/>
          <w:szCs w:val="24"/>
          <w:lang w:eastAsia="ar-SA"/>
        </w:rPr>
        <w:t xml:space="preserve"> </w:t>
      </w:r>
      <w:r w:rsidR="001E2A90">
        <w:rPr>
          <w:rFonts w:asciiTheme="minorHAnsi" w:hAnsiTheme="minorHAnsi" w:cstheme="minorHAnsi"/>
          <w:szCs w:val="24"/>
          <w:lang w:eastAsia="ar-SA"/>
        </w:rPr>
        <w:t xml:space="preserve">Procedural Hearing will be held </w:t>
      </w:r>
      <w:r w:rsidR="00AF4E40" w:rsidRPr="0021051A">
        <w:rPr>
          <w:rFonts w:asciiTheme="minorHAnsi" w:hAnsiTheme="minorHAnsi" w:cstheme="minorHAnsi"/>
          <w:szCs w:val="24"/>
          <w:lang w:eastAsia="ar-SA"/>
        </w:rPr>
        <w:t>at the Environment Court in Wellington, starting at 10:00am on Tuesday 25 February 2020.</w:t>
      </w:r>
      <w:r w:rsidR="008B5FE1">
        <w:rPr>
          <w:rFonts w:asciiTheme="minorHAnsi" w:hAnsiTheme="minorHAnsi" w:cstheme="minorHAnsi"/>
          <w:szCs w:val="24"/>
          <w:lang w:eastAsia="ar-SA"/>
        </w:rPr>
        <w:t xml:space="preserve"> This hearing is for counsel for core participants and applicants for orders mentioned in</w:t>
      </w:r>
      <w:r w:rsidR="006B6C4E">
        <w:rPr>
          <w:rFonts w:asciiTheme="minorHAnsi" w:hAnsiTheme="minorHAnsi" w:cstheme="minorHAnsi"/>
          <w:szCs w:val="24"/>
          <w:lang w:eastAsia="ar-SA"/>
        </w:rPr>
        <w:t xml:space="preserve"> paragraph</w:t>
      </w:r>
      <w:r w:rsidR="008B5FE1">
        <w:rPr>
          <w:rFonts w:asciiTheme="minorHAnsi" w:hAnsiTheme="minorHAnsi" w:cstheme="minorHAnsi"/>
          <w:szCs w:val="24"/>
          <w:lang w:eastAsia="ar-SA"/>
        </w:rPr>
        <w:t xml:space="preserve"> [</w:t>
      </w:r>
      <w:r w:rsidR="00A25D1B">
        <w:rPr>
          <w:rFonts w:asciiTheme="minorHAnsi" w:hAnsiTheme="minorHAnsi" w:cstheme="minorHAnsi"/>
          <w:szCs w:val="24"/>
          <w:lang w:eastAsia="ar-SA"/>
        </w:rPr>
        <w:t>16</w:t>
      </w:r>
      <w:r w:rsidR="008B5FE1">
        <w:rPr>
          <w:rFonts w:asciiTheme="minorHAnsi" w:hAnsiTheme="minorHAnsi" w:cstheme="minorHAnsi"/>
          <w:szCs w:val="24"/>
          <w:lang w:eastAsia="ar-SA"/>
        </w:rPr>
        <w:t>] above to appear</w:t>
      </w:r>
      <w:proofErr w:type="gramStart"/>
      <w:r w:rsidR="00427EEB">
        <w:rPr>
          <w:rFonts w:asciiTheme="minorHAnsi" w:hAnsiTheme="minorHAnsi" w:cstheme="minorHAnsi"/>
          <w:szCs w:val="24"/>
          <w:lang w:eastAsia="ar-SA"/>
        </w:rPr>
        <w:t xml:space="preserve">. </w:t>
      </w:r>
      <w:proofErr w:type="gramEnd"/>
      <w:r w:rsidR="00427EEB">
        <w:rPr>
          <w:rFonts w:asciiTheme="minorHAnsi" w:hAnsiTheme="minorHAnsi" w:cstheme="minorHAnsi"/>
          <w:szCs w:val="24"/>
          <w:lang w:eastAsia="ar-SA"/>
        </w:rPr>
        <w:t>This</w:t>
      </w:r>
      <w:r w:rsidR="008B5FE1">
        <w:rPr>
          <w:rFonts w:asciiTheme="minorHAnsi" w:hAnsiTheme="minorHAnsi" w:cstheme="minorHAnsi"/>
          <w:szCs w:val="24"/>
          <w:lang w:eastAsia="ar-SA"/>
        </w:rPr>
        <w:t xml:space="preserve"> hearing is not open to the public. </w:t>
      </w:r>
    </w:p>
    <w:p w14:paraId="739147AB" w14:textId="3FD35A3D" w:rsidR="001C55BB" w:rsidRPr="0021051A" w:rsidRDefault="001C55BB"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A hearing plan (with the proposed dates and times for witness evidence), and decisions on applications will be released by</w:t>
      </w:r>
      <w:r w:rsidR="00526262" w:rsidRPr="0021051A">
        <w:rPr>
          <w:rFonts w:asciiTheme="minorHAnsi" w:hAnsiTheme="minorHAnsi" w:cstheme="minorHAnsi"/>
          <w:szCs w:val="24"/>
          <w:lang w:eastAsia="ar-SA"/>
        </w:rPr>
        <w:t xml:space="preserve"> Friday 6 March 2020. </w:t>
      </w:r>
    </w:p>
    <w:p w14:paraId="739FCBD6" w14:textId="30227EF3" w:rsidR="00B96623" w:rsidRPr="0021051A" w:rsidRDefault="00B96623" w:rsidP="0057690E">
      <w:pPr>
        <w:pStyle w:val="ListParagraph"/>
        <w:numPr>
          <w:ilvl w:val="0"/>
          <w:numId w:val="1"/>
        </w:numPr>
        <w:spacing w:before="120" w:after="240" w:line="240" w:lineRule="auto"/>
        <w:ind w:hanging="720"/>
        <w:jc w:val="both"/>
        <w:rPr>
          <w:rFonts w:asciiTheme="minorHAnsi" w:hAnsiTheme="minorHAnsi" w:cstheme="minorHAnsi"/>
          <w:szCs w:val="24"/>
          <w:lang w:eastAsia="ar-SA"/>
        </w:rPr>
      </w:pPr>
      <w:r w:rsidRPr="0021051A">
        <w:rPr>
          <w:rFonts w:asciiTheme="minorHAnsi" w:hAnsiTheme="minorHAnsi" w:cstheme="minorHAnsi"/>
          <w:szCs w:val="24"/>
          <w:lang w:eastAsia="ar-SA"/>
        </w:rPr>
        <w:t>Late applications for leave to appear and/or permission to question a witness may be considered by the Inquiry at any time at the Inquiry’s discretion.</w:t>
      </w:r>
    </w:p>
    <w:p w14:paraId="3125E10C" w14:textId="6E35EDCF" w:rsidR="004C387B" w:rsidRPr="006B6C4E" w:rsidRDefault="004C387B" w:rsidP="0057690E">
      <w:pPr>
        <w:spacing w:before="120" w:after="240" w:line="240" w:lineRule="auto"/>
        <w:jc w:val="both"/>
        <w:rPr>
          <w:rFonts w:asciiTheme="minorHAnsi" w:hAnsiTheme="minorHAnsi" w:cstheme="minorHAnsi"/>
          <w:b/>
          <w:szCs w:val="24"/>
          <w:lang w:eastAsia="ar-SA"/>
        </w:rPr>
      </w:pPr>
      <w:r w:rsidRPr="006B6C4E">
        <w:rPr>
          <w:rFonts w:asciiTheme="minorHAnsi" w:hAnsiTheme="minorHAnsi" w:cstheme="minorHAnsi"/>
          <w:b/>
          <w:szCs w:val="24"/>
          <w:lang w:eastAsia="ar-SA"/>
        </w:rPr>
        <w:t>Produced by the Royal Commission o</w:t>
      </w:r>
      <w:r w:rsidR="002B2396" w:rsidRPr="006B6C4E">
        <w:rPr>
          <w:rFonts w:asciiTheme="minorHAnsi" w:hAnsiTheme="minorHAnsi" w:cstheme="minorHAnsi"/>
          <w:b/>
          <w:szCs w:val="24"/>
          <w:lang w:eastAsia="ar-SA"/>
        </w:rPr>
        <w:t>f</w:t>
      </w:r>
      <w:r w:rsidRPr="006B6C4E">
        <w:rPr>
          <w:rFonts w:asciiTheme="minorHAnsi" w:hAnsiTheme="minorHAnsi" w:cstheme="minorHAnsi"/>
          <w:b/>
          <w:szCs w:val="24"/>
          <w:lang w:eastAsia="ar-SA"/>
        </w:rPr>
        <w:t xml:space="preserve"> Inquiry into Historical Abuse in State Care and in the Care of Faith</w:t>
      </w:r>
      <w:r w:rsidR="002B2396" w:rsidRPr="006B6C4E">
        <w:rPr>
          <w:rFonts w:asciiTheme="minorHAnsi" w:hAnsiTheme="minorHAnsi" w:cstheme="minorHAnsi"/>
          <w:b/>
          <w:szCs w:val="24"/>
          <w:lang w:eastAsia="ar-SA"/>
        </w:rPr>
        <w:t>-b</w:t>
      </w:r>
      <w:r w:rsidRPr="006B6C4E">
        <w:rPr>
          <w:rFonts w:asciiTheme="minorHAnsi" w:hAnsiTheme="minorHAnsi" w:cstheme="minorHAnsi"/>
          <w:b/>
          <w:szCs w:val="24"/>
          <w:lang w:eastAsia="ar-SA"/>
        </w:rPr>
        <w:t>ased Institutions</w:t>
      </w:r>
    </w:p>
    <w:p w14:paraId="25F11C88" w14:textId="77777777" w:rsidR="006B6C4E" w:rsidRPr="0021051A" w:rsidRDefault="006B6C4E" w:rsidP="0057690E">
      <w:pPr>
        <w:spacing w:before="120" w:after="240" w:line="240" w:lineRule="auto"/>
        <w:jc w:val="both"/>
        <w:rPr>
          <w:rFonts w:asciiTheme="minorHAnsi" w:hAnsiTheme="minorHAnsi" w:cstheme="minorHAnsi"/>
          <w:szCs w:val="24"/>
          <w:lang w:eastAsia="ar-SA"/>
        </w:rPr>
      </w:pPr>
      <w:bookmarkStart w:id="1" w:name="_Hlk31120126"/>
    </w:p>
    <w:p w14:paraId="05BAF154" w14:textId="77777777" w:rsidR="00D618DC" w:rsidRPr="0021051A" w:rsidRDefault="004C387B" w:rsidP="0057690E">
      <w:pPr>
        <w:spacing w:before="120" w:after="240" w:line="240" w:lineRule="auto"/>
        <w:jc w:val="both"/>
        <w:rPr>
          <w:rFonts w:asciiTheme="minorHAnsi" w:hAnsiTheme="minorHAnsi" w:cstheme="minorHAnsi"/>
          <w:szCs w:val="24"/>
          <w:lang w:eastAsia="ar-SA"/>
        </w:rPr>
      </w:pPr>
      <w:r w:rsidRPr="0021051A">
        <w:rPr>
          <w:rFonts w:asciiTheme="minorHAnsi" w:hAnsiTheme="minorHAnsi" w:cstheme="minorHAnsi"/>
          <w:szCs w:val="24"/>
          <w:lang w:eastAsia="ar-SA"/>
        </w:rPr>
        <w:t>Wellington</w:t>
      </w:r>
    </w:p>
    <w:p w14:paraId="05B91949" w14:textId="77777777" w:rsidR="00D618DC" w:rsidRPr="0021051A" w:rsidRDefault="00D618DC" w:rsidP="0057690E">
      <w:pPr>
        <w:spacing w:before="120" w:after="240" w:line="240" w:lineRule="auto"/>
        <w:jc w:val="both"/>
        <w:rPr>
          <w:rFonts w:asciiTheme="minorHAnsi" w:hAnsiTheme="minorHAnsi" w:cstheme="minorHAnsi"/>
          <w:szCs w:val="24"/>
          <w:lang w:eastAsia="ar-SA"/>
        </w:rPr>
      </w:pPr>
    </w:p>
    <w:p w14:paraId="09ABC448" w14:textId="51DACF03" w:rsidR="004C387B" w:rsidRPr="0021051A" w:rsidRDefault="00CE7BA1" w:rsidP="0057690E">
      <w:pPr>
        <w:spacing w:before="120" w:after="240" w:line="240" w:lineRule="auto"/>
        <w:jc w:val="both"/>
        <w:rPr>
          <w:rFonts w:asciiTheme="minorHAnsi" w:hAnsiTheme="minorHAnsi" w:cstheme="minorHAnsi"/>
          <w:szCs w:val="24"/>
          <w:lang w:eastAsia="ar-SA"/>
        </w:rPr>
      </w:pPr>
      <w:r>
        <w:rPr>
          <w:rFonts w:asciiTheme="minorHAnsi" w:hAnsiTheme="minorHAnsi" w:cstheme="minorHAnsi"/>
          <w:szCs w:val="24"/>
          <w:lang w:eastAsia="ar-SA"/>
        </w:rPr>
        <w:t>30</w:t>
      </w:r>
      <w:r w:rsidR="000544DB" w:rsidRPr="0021051A">
        <w:rPr>
          <w:rFonts w:asciiTheme="minorHAnsi" w:hAnsiTheme="minorHAnsi" w:cstheme="minorHAnsi"/>
          <w:szCs w:val="24"/>
          <w:lang w:eastAsia="ar-SA"/>
        </w:rPr>
        <w:t xml:space="preserve"> </w:t>
      </w:r>
      <w:r w:rsidR="004C7F61" w:rsidRPr="0021051A">
        <w:rPr>
          <w:rFonts w:asciiTheme="minorHAnsi" w:hAnsiTheme="minorHAnsi" w:cstheme="minorHAnsi"/>
          <w:szCs w:val="24"/>
          <w:lang w:eastAsia="ar-SA"/>
        </w:rPr>
        <w:t xml:space="preserve">January </w:t>
      </w:r>
      <w:r w:rsidR="000544DB" w:rsidRPr="0021051A">
        <w:rPr>
          <w:rFonts w:asciiTheme="minorHAnsi" w:hAnsiTheme="minorHAnsi" w:cstheme="minorHAnsi"/>
          <w:szCs w:val="24"/>
          <w:lang w:eastAsia="ar-SA"/>
        </w:rPr>
        <w:t>2020</w:t>
      </w:r>
    </w:p>
    <w:p w14:paraId="3C581F8D" w14:textId="240D1832" w:rsidR="00D0022C" w:rsidRPr="003F3913" w:rsidRDefault="00D0022C" w:rsidP="003F3913">
      <w:pPr>
        <w:spacing w:before="120" w:after="240" w:line="240" w:lineRule="auto"/>
        <w:jc w:val="both"/>
        <w:rPr>
          <w:rFonts w:asciiTheme="minorHAnsi" w:hAnsiTheme="minorHAnsi" w:cstheme="minorHAnsi"/>
          <w:szCs w:val="24"/>
          <w:lang w:eastAsia="ar-SA"/>
        </w:rPr>
      </w:pPr>
      <w:r w:rsidRPr="003F3913">
        <w:rPr>
          <w:rFonts w:asciiTheme="minorHAnsi" w:hAnsiTheme="minorHAnsi" w:cstheme="minorHAnsi"/>
          <w:szCs w:val="24"/>
          <w:lang w:eastAsia="ar-SA"/>
        </w:rPr>
        <w:br w:type="page"/>
      </w:r>
    </w:p>
    <w:bookmarkEnd w:id="1"/>
    <w:p w14:paraId="550B445B" w14:textId="77777777" w:rsidR="00D0022C" w:rsidRPr="0021051A" w:rsidRDefault="00D0022C" w:rsidP="0057690E">
      <w:pPr>
        <w:spacing w:before="120" w:after="240" w:line="240" w:lineRule="auto"/>
        <w:jc w:val="center"/>
        <w:rPr>
          <w:rFonts w:asciiTheme="minorHAnsi" w:hAnsiTheme="minorHAnsi" w:cstheme="minorHAnsi"/>
          <w:b/>
          <w:bCs/>
        </w:rPr>
      </w:pPr>
      <w:r w:rsidRPr="0021051A">
        <w:rPr>
          <w:rFonts w:asciiTheme="minorHAnsi" w:hAnsiTheme="minorHAnsi" w:cstheme="minorHAnsi"/>
          <w:noProof/>
          <w:color w:val="000000"/>
          <w:bdr w:val="none" w:sz="0" w:space="0" w:color="auto" w:frame="1"/>
        </w:rPr>
        <w:lastRenderedPageBreak/>
        <w:drawing>
          <wp:anchor distT="0" distB="0" distL="114300" distR="114300" simplePos="0" relativeHeight="251661312" behindDoc="0" locked="0" layoutInCell="1" allowOverlap="1" wp14:anchorId="510C6121" wp14:editId="62F70933">
            <wp:simplePos x="0" y="0"/>
            <wp:positionH relativeFrom="margin">
              <wp:align>center</wp:align>
            </wp:positionH>
            <wp:positionV relativeFrom="paragraph">
              <wp:posOffset>0</wp:posOffset>
            </wp:positionV>
            <wp:extent cx="3552825" cy="762000"/>
            <wp:effectExtent l="0" t="0" r="9525" b="0"/>
            <wp:wrapNone/>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762000"/>
                    </a:xfrm>
                    <a:prstGeom prst="rect">
                      <a:avLst/>
                    </a:prstGeom>
                    <a:noFill/>
                    <a:ln>
                      <a:noFill/>
                    </a:ln>
                  </pic:spPr>
                </pic:pic>
              </a:graphicData>
            </a:graphic>
          </wp:anchor>
        </w:drawing>
      </w:r>
    </w:p>
    <w:p w14:paraId="2C4A449B" w14:textId="77777777" w:rsidR="00D0022C" w:rsidRPr="0021051A" w:rsidRDefault="00D0022C" w:rsidP="0057690E">
      <w:pPr>
        <w:spacing w:before="120" w:after="240" w:line="240" w:lineRule="auto"/>
        <w:jc w:val="center"/>
        <w:rPr>
          <w:rFonts w:asciiTheme="minorHAnsi" w:hAnsiTheme="minorHAnsi" w:cstheme="minorHAnsi"/>
          <w:b/>
          <w:bCs/>
        </w:rPr>
      </w:pPr>
    </w:p>
    <w:p w14:paraId="3836B737" w14:textId="77777777" w:rsidR="00D0022C" w:rsidRPr="0021051A" w:rsidRDefault="00D0022C" w:rsidP="0057690E">
      <w:pPr>
        <w:spacing w:before="120" w:after="240" w:line="240" w:lineRule="auto"/>
        <w:jc w:val="center"/>
        <w:rPr>
          <w:rFonts w:asciiTheme="minorHAnsi" w:hAnsiTheme="minorHAnsi" w:cstheme="minorHAnsi"/>
          <w:b/>
          <w:bCs/>
        </w:rPr>
      </w:pPr>
    </w:p>
    <w:p w14:paraId="576BB9FA" w14:textId="77777777" w:rsidR="00A2440F" w:rsidRPr="0021051A" w:rsidRDefault="00A2440F" w:rsidP="0057690E">
      <w:pPr>
        <w:spacing w:before="120" w:after="240" w:line="240" w:lineRule="auto"/>
        <w:jc w:val="center"/>
        <w:rPr>
          <w:rFonts w:asciiTheme="minorHAnsi" w:hAnsiTheme="minorHAnsi" w:cstheme="minorHAnsi"/>
          <w:b/>
          <w:bCs/>
          <w:sz w:val="26"/>
          <w:szCs w:val="26"/>
        </w:rPr>
      </w:pPr>
    </w:p>
    <w:p w14:paraId="259EDFC5" w14:textId="77777777" w:rsidR="00A2440F" w:rsidRPr="0021051A" w:rsidRDefault="00A2440F" w:rsidP="0057690E">
      <w:pPr>
        <w:spacing w:before="120" w:after="240" w:line="240" w:lineRule="auto"/>
        <w:jc w:val="center"/>
        <w:rPr>
          <w:rFonts w:asciiTheme="minorHAnsi" w:hAnsiTheme="minorHAnsi" w:cstheme="minorHAnsi"/>
          <w:b/>
          <w:bCs/>
          <w:sz w:val="26"/>
          <w:szCs w:val="26"/>
        </w:rPr>
      </w:pPr>
    </w:p>
    <w:p w14:paraId="261F88B5" w14:textId="5ACA800A" w:rsidR="00D0022C" w:rsidRPr="0021051A" w:rsidRDefault="00A2440F" w:rsidP="0057690E">
      <w:pPr>
        <w:spacing w:before="120" w:after="240" w:line="240" w:lineRule="auto"/>
        <w:jc w:val="center"/>
        <w:rPr>
          <w:rFonts w:asciiTheme="minorHAnsi" w:hAnsiTheme="minorHAnsi" w:cstheme="minorHAnsi"/>
          <w:b/>
          <w:bCs/>
          <w:sz w:val="26"/>
          <w:szCs w:val="26"/>
        </w:rPr>
      </w:pPr>
      <w:r w:rsidRPr="0021051A">
        <w:rPr>
          <w:rFonts w:asciiTheme="minorHAnsi" w:hAnsiTheme="minorHAnsi" w:cstheme="minorHAnsi"/>
          <w:b/>
          <w:bCs/>
          <w:sz w:val="26"/>
          <w:szCs w:val="26"/>
        </w:rPr>
        <w:t xml:space="preserve">State Civil Redress </w:t>
      </w:r>
      <w:r w:rsidR="00D0022C" w:rsidRPr="0021051A">
        <w:rPr>
          <w:rFonts w:asciiTheme="minorHAnsi" w:hAnsiTheme="minorHAnsi" w:cstheme="minorHAnsi"/>
          <w:b/>
          <w:bCs/>
          <w:sz w:val="26"/>
          <w:szCs w:val="26"/>
        </w:rPr>
        <w:t xml:space="preserve">Hearing: </w:t>
      </w:r>
      <w:r w:rsidRPr="0021051A">
        <w:rPr>
          <w:rFonts w:asciiTheme="minorHAnsi" w:hAnsiTheme="minorHAnsi" w:cstheme="minorHAnsi"/>
          <w:b/>
          <w:bCs/>
          <w:sz w:val="26"/>
          <w:szCs w:val="26"/>
        </w:rPr>
        <w:t>23 March – 3 April 2020</w:t>
      </w:r>
    </w:p>
    <w:p w14:paraId="22CC456C" w14:textId="77777777" w:rsidR="00D0022C" w:rsidRPr="0021051A" w:rsidRDefault="00D0022C" w:rsidP="0057690E">
      <w:pPr>
        <w:spacing w:before="120" w:after="240" w:line="240" w:lineRule="auto"/>
        <w:rPr>
          <w:rFonts w:asciiTheme="minorHAnsi" w:hAnsiTheme="minorHAnsi" w:cstheme="minorHAnsi"/>
          <w:b/>
          <w:bCs/>
        </w:rPr>
      </w:pPr>
    </w:p>
    <w:p w14:paraId="11900685" w14:textId="333B1216" w:rsidR="00D0022C" w:rsidRPr="0021051A" w:rsidRDefault="00D0022C" w:rsidP="0057690E">
      <w:pPr>
        <w:spacing w:before="120" w:after="240" w:line="240" w:lineRule="auto"/>
        <w:rPr>
          <w:rFonts w:asciiTheme="minorHAnsi" w:hAnsiTheme="minorHAnsi" w:cstheme="minorHAnsi"/>
          <w:b/>
          <w:bCs/>
        </w:rPr>
      </w:pPr>
      <w:r w:rsidRPr="0021051A">
        <w:rPr>
          <w:rFonts w:asciiTheme="minorHAnsi" w:hAnsiTheme="minorHAnsi" w:cstheme="minorHAnsi"/>
          <w:b/>
          <w:bCs/>
        </w:rPr>
        <w:t xml:space="preserve">Provisional witness list – </w:t>
      </w:r>
      <w:r w:rsidR="006B6C4E">
        <w:rPr>
          <w:rFonts w:asciiTheme="minorHAnsi" w:hAnsiTheme="minorHAnsi" w:cstheme="minorHAnsi"/>
          <w:b/>
          <w:bCs/>
        </w:rPr>
        <w:t>Note</w:t>
      </w:r>
      <w:r w:rsidRPr="0021051A">
        <w:rPr>
          <w:rFonts w:asciiTheme="minorHAnsi" w:hAnsiTheme="minorHAnsi" w:cstheme="minorHAnsi"/>
          <w:b/>
          <w:bCs/>
        </w:rPr>
        <w:t xml:space="preserve"> this is subject to change and does not reflect the proposed order of witnesses</w:t>
      </w:r>
    </w:p>
    <w:p w14:paraId="762D8B05" w14:textId="77777777" w:rsidR="00D0022C" w:rsidRPr="0021051A" w:rsidRDefault="00D0022C" w:rsidP="0057690E">
      <w:pPr>
        <w:spacing w:before="120" w:after="240" w:line="240" w:lineRule="auto"/>
        <w:rPr>
          <w:rFonts w:asciiTheme="minorHAnsi" w:hAnsiTheme="minorHAnsi" w:cstheme="minorHAnsi"/>
          <w:b/>
          <w:bCs/>
        </w:rPr>
      </w:pPr>
    </w:p>
    <w:p w14:paraId="3F2E967B" w14:textId="0C845279" w:rsidR="00A2440F" w:rsidRPr="0021051A" w:rsidRDefault="004C7F61"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Sonja Cooper and Amanda Hill, Cooper Legal</w:t>
      </w:r>
    </w:p>
    <w:p w14:paraId="4B5C92B2" w14:textId="4DCEAD83" w:rsidR="0038225B" w:rsidRPr="0021051A" w:rsidRDefault="0038225B"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Trish Grant, IHC</w:t>
      </w:r>
    </w:p>
    <w:p w14:paraId="4ED674A2" w14:textId="77777777" w:rsidR="00ED5EDA" w:rsidRPr="0021051A" w:rsidRDefault="00ED5EDA" w:rsidP="00ED5EDA">
      <w:pPr>
        <w:pStyle w:val="ListParagraph"/>
        <w:keepLines/>
        <w:numPr>
          <w:ilvl w:val="0"/>
          <w:numId w:val="6"/>
        </w:numPr>
        <w:spacing w:before="120" w:after="240" w:line="240" w:lineRule="auto"/>
        <w:rPr>
          <w:rFonts w:asciiTheme="minorHAnsi" w:hAnsiTheme="minorHAnsi" w:cstheme="minorHAnsi"/>
          <w:b/>
          <w:bCs/>
        </w:rPr>
      </w:pPr>
      <w:r>
        <w:rPr>
          <w:rFonts w:asciiTheme="minorHAnsi" w:hAnsiTheme="minorHAnsi" w:cstheme="minorHAnsi"/>
        </w:rPr>
        <w:t xml:space="preserve">Dr Fiona </w:t>
      </w:r>
      <w:proofErr w:type="spellStart"/>
      <w:r>
        <w:rPr>
          <w:rFonts w:asciiTheme="minorHAnsi" w:hAnsiTheme="minorHAnsi" w:cstheme="minorHAnsi"/>
        </w:rPr>
        <w:t>Inkpen</w:t>
      </w:r>
      <w:proofErr w:type="spellEnd"/>
      <w:r w:rsidRPr="0021051A">
        <w:rPr>
          <w:rFonts w:asciiTheme="minorHAnsi" w:hAnsiTheme="minorHAnsi" w:cstheme="minorHAnsi"/>
        </w:rPr>
        <w:t xml:space="preserve">, Stand </w:t>
      </w:r>
      <w:proofErr w:type="spellStart"/>
      <w:r w:rsidRPr="0021051A">
        <w:rPr>
          <w:rFonts w:asciiTheme="minorHAnsi" w:hAnsiTheme="minorHAnsi" w:cstheme="minorHAnsi"/>
        </w:rPr>
        <w:t>Tū</w:t>
      </w:r>
      <w:proofErr w:type="spellEnd"/>
      <w:r w:rsidRPr="0021051A">
        <w:rPr>
          <w:rFonts w:asciiTheme="minorHAnsi" w:hAnsiTheme="minorHAnsi" w:cstheme="minorHAnsi"/>
        </w:rPr>
        <w:t xml:space="preserve"> </w:t>
      </w:r>
      <w:proofErr w:type="spellStart"/>
      <w:r w:rsidRPr="0021051A">
        <w:rPr>
          <w:rFonts w:asciiTheme="minorHAnsi" w:hAnsiTheme="minorHAnsi" w:cstheme="minorHAnsi"/>
        </w:rPr>
        <w:t>Māia</w:t>
      </w:r>
      <w:proofErr w:type="spellEnd"/>
    </w:p>
    <w:p w14:paraId="17AE8AD3" w14:textId="63282C86" w:rsidR="004C7F61" w:rsidRPr="0021051A" w:rsidRDefault="004C7F61"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 xml:space="preserve">Una </w:t>
      </w:r>
      <w:proofErr w:type="spellStart"/>
      <w:r w:rsidRPr="0021051A">
        <w:rPr>
          <w:rFonts w:asciiTheme="minorHAnsi" w:hAnsiTheme="minorHAnsi" w:cstheme="minorHAnsi"/>
        </w:rPr>
        <w:t>Jagose</w:t>
      </w:r>
      <w:proofErr w:type="spellEnd"/>
      <w:r w:rsidRPr="0021051A">
        <w:rPr>
          <w:rFonts w:asciiTheme="minorHAnsi" w:hAnsiTheme="minorHAnsi" w:cstheme="minorHAnsi"/>
        </w:rPr>
        <w:t>, Solicitor-General</w:t>
      </w:r>
      <w:r w:rsidR="006B2F8E" w:rsidRPr="0021051A">
        <w:rPr>
          <w:rFonts w:asciiTheme="minorHAnsi" w:hAnsiTheme="minorHAnsi" w:cstheme="minorHAnsi"/>
        </w:rPr>
        <w:t>, Crown Law</w:t>
      </w:r>
    </w:p>
    <w:p w14:paraId="1740EB92" w14:textId="34EF71D0" w:rsidR="006B2F8E" w:rsidRPr="0021051A" w:rsidRDefault="006B2F8E"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Brett Dooley, Legal Services Commissioner</w:t>
      </w:r>
    </w:p>
    <w:p w14:paraId="2B99215B" w14:textId="4A694702" w:rsidR="006B2F8E" w:rsidRPr="0021051A" w:rsidRDefault="006B2F8E"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Simon McPherson, Deputy Chief Executive Policy, Ministry of Social Development</w:t>
      </w:r>
    </w:p>
    <w:p w14:paraId="43D5F29D" w14:textId="2AB4E961" w:rsidR="006B2F8E" w:rsidRPr="0021051A" w:rsidRDefault="006B2F8E"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 xml:space="preserve">Linda </w:t>
      </w:r>
      <w:proofErr w:type="spellStart"/>
      <w:r w:rsidRPr="0021051A">
        <w:rPr>
          <w:rFonts w:asciiTheme="minorHAnsi" w:hAnsiTheme="minorHAnsi" w:cstheme="minorHAnsi"/>
        </w:rPr>
        <w:t>Hrstich</w:t>
      </w:r>
      <w:proofErr w:type="spellEnd"/>
      <w:r w:rsidRPr="0021051A">
        <w:rPr>
          <w:rFonts w:asciiTheme="minorHAnsi" w:hAnsiTheme="minorHAnsi" w:cstheme="minorHAnsi"/>
        </w:rPr>
        <w:t>-Meyer, General Manager Historic Claims, Ministry of Social Development</w:t>
      </w:r>
    </w:p>
    <w:p w14:paraId="796A0335" w14:textId="11E87D84" w:rsidR="006B2F8E" w:rsidRPr="0021051A" w:rsidRDefault="006B2F8E"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Phil Knipe, Chief Legal Advisor, Ministry of Health</w:t>
      </w:r>
    </w:p>
    <w:p w14:paraId="1F23F4FE" w14:textId="66E9EEA7" w:rsidR="006B2F8E" w:rsidRPr="0021051A" w:rsidRDefault="006B2F8E"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Helen Hurst, Associate Deputy Secretary, Ministry of Education</w:t>
      </w:r>
    </w:p>
    <w:p w14:paraId="37756711" w14:textId="0E45BFCC" w:rsidR="006B2F8E" w:rsidRPr="0021051A" w:rsidRDefault="006B2F8E" w:rsidP="0057690E">
      <w:pPr>
        <w:pStyle w:val="ListParagraph"/>
        <w:keepLines/>
        <w:numPr>
          <w:ilvl w:val="0"/>
          <w:numId w:val="6"/>
        </w:numPr>
        <w:spacing w:before="120" w:after="240" w:line="240" w:lineRule="auto"/>
        <w:rPr>
          <w:rFonts w:asciiTheme="minorHAnsi" w:hAnsiTheme="minorHAnsi" w:cstheme="minorHAnsi"/>
          <w:b/>
          <w:bCs/>
        </w:rPr>
      </w:pPr>
      <w:r w:rsidRPr="0021051A">
        <w:rPr>
          <w:rFonts w:asciiTheme="minorHAnsi" w:hAnsiTheme="minorHAnsi" w:cstheme="minorHAnsi"/>
        </w:rPr>
        <w:t xml:space="preserve">Steve Groom, General Manager of Public Ministerial and Executive Services, </w:t>
      </w:r>
      <w:proofErr w:type="spellStart"/>
      <w:r w:rsidRPr="0021051A">
        <w:rPr>
          <w:rFonts w:asciiTheme="minorHAnsi" w:hAnsiTheme="minorHAnsi" w:cstheme="minorHAnsi"/>
        </w:rPr>
        <w:t>Oranga</w:t>
      </w:r>
      <w:proofErr w:type="spellEnd"/>
      <w:r w:rsidRPr="0021051A">
        <w:rPr>
          <w:rFonts w:asciiTheme="minorHAnsi" w:hAnsiTheme="minorHAnsi" w:cstheme="minorHAnsi"/>
        </w:rPr>
        <w:t xml:space="preserve"> Tamariki</w:t>
      </w:r>
    </w:p>
    <w:p w14:paraId="4764BD03" w14:textId="0E23E0AA" w:rsidR="004C7F61" w:rsidRPr="0021051A" w:rsidRDefault="004C7F61" w:rsidP="0057690E">
      <w:pPr>
        <w:keepLines/>
        <w:spacing w:before="120" w:after="240" w:line="240" w:lineRule="auto"/>
        <w:rPr>
          <w:rFonts w:asciiTheme="minorHAnsi" w:hAnsiTheme="minorHAnsi" w:cstheme="minorHAnsi"/>
          <w:b/>
          <w:bCs/>
        </w:rPr>
      </w:pPr>
    </w:p>
    <w:p w14:paraId="7806EA8B" w14:textId="387E4B9B" w:rsidR="00D0022C" w:rsidRPr="0021051A" w:rsidRDefault="00D0022C" w:rsidP="0057690E">
      <w:pPr>
        <w:spacing w:before="120" w:after="240" w:line="240" w:lineRule="auto"/>
        <w:ind w:left="360"/>
        <w:rPr>
          <w:rFonts w:asciiTheme="minorHAnsi" w:hAnsiTheme="minorHAnsi" w:cstheme="minorHAnsi"/>
        </w:rPr>
      </w:pPr>
      <w:r w:rsidRPr="0021051A">
        <w:rPr>
          <w:rFonts w:asciiTheme="minorHAnsi" w:hAnsiTheme="minorHAnsi" w:cstheme="minorHAnsi"/>
        </w:rPr>
        <w:t>Plus survivor witnesses to be confirmed.</w:t>
      </w:r>
    </w:p>
    <w:p w14:paraId="540EA63D" w14:textId="77777777" w:rsidR="00D0022C" w:rsidRPr="0021051A" w:rsidRDefault="00D0022C" w:rsidP="0057690E">
      <w:pPr>
        <w:spacing w:before="120" w:after="240" w:line="240" w:lineRule="auto"/>
        <w:rPr>
          <w:rFonts w:asciiTheme="minorHAnsi" w:hAnsiTheme="minorHAnsi" w:cstheme="minorHAnsi"/>
          <w:b/>
          <w:bCs/>
        </w:rPr>
      </w:pPr>
    </w:p>
    <w:p w14:paraId="2565FF99" w14:textId="77777777" w:rsidR="004C387B" w:rsidRPr="0021051A" w:rsidRDefault="004C387B" w:rsidP="0057690E">
      <w:pPr>
        <w:spacing w:before="120" w:after="240" w:line="240" w:lineRule="auto"/>
        <w:jc w:val="both"/>
        <w:rPr>
          <w:rFonts w:asciiTheme="minorHAnsi" w:hAnsiTheme="minorHAnsi" w:cstheme="minorHAnsi"/>
          <w:sz w:val="23"/>
          <w:szCs w:val="24"/>
          <w:lang w:eastAsia="ar-SA"/>
        </w:rPr>
      </w:pPr>
    </w:p>
    <w:sectPr w:rsidR="004C387B" w:rsidRPr="0021051A" w:rsidSect="00D42694">
      <w:headerReference w:type="default" r:id="rId15"/>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8EE5" w14:textId="77777777" w:rsidR="003629D6" w:rsidRDefault="003629D6" w:rsidP="00D42694">
      <w:pPr>
        <w:spacing w:after="0" w:line="240" w:lineRule="auto"/>
      </w:pPr>
      <w:r>
        <w:separator/>
      </w:r>
    </w:p>
  </w:endnote>
  <w:endnote w:type="continuationSeparator" w:id="0">
    <w:p w14:paraId="152D173C" w14:textId="77777777" w:rsidR="003629D6" w:rsidRDefault="003629D6" w:rsidP="00D4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B5318" w14:textId="77777777" w:rsidR="003629D6" w:rsidRDefault="003629D6" w:rsidP="00D42694">
      <w:pPr>
        <w:spacing w:after="0" w:line="240" w:lineRule="auto"/>
      </w:pPr>
      <w:r>
        <w:separator/>
      </w:r>
    </w:p>
  </w:footnote>
  <w:footnote w:type="continuationSeparator" w:id="0">
    <w:p w14:paraId="5CCD6BE6" w14:textId="77777777" w:rsidR="003629D6" w:rsidRDefault="003629D6" w:rsidP="00D4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580022"/>
      <w:docPartObj>
        <w:docPartGallery w:val="Page Numbers (Top of Page)"/>
        <w:docPartUnique/>
      </w:docPartObj>
    </w:sdtPr>
    <w:sdtEndPr>
      <w:rPr>
        <w:noProof/>
      </w:rPr>
    </w:sdtEndPr>
    <w:sdtContent>
      <w:p w14:paraId="687B8359" w14:textId="52163337" w:rsidR="00D42694" w:rsidRDefault="00D4269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7451127E" w14:textId="77777777" w:rsidR="00D42694" w:rsidRDefault="00D4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0DA"/>
    <w:multiLevelType w:val="hybridMultilevel"/>
    <w:tmpl w:val="22F21180"/>
    <w:lvl w:ilvl="0" w:tplc="9D7E81B4">
      <w:start w:val="1"/>
      <w:numFmt w:val="decimal"/>
      <w:lvlText w:val="%1."/>
      <w:lvlJc w:val="left"/>
      <w:pPr>
        <w:ind w:left="720" w:hanging="360"/>
      </w:pPr>
      <w:rPr>
        <w:b w:val="0"/>
        <w:bCs w:val="0"/>
      </w:rPr>
    </w:lvl>
    <w:lvl w:ilvl="1" w:tplc="F92A714C">
      <w:start w:val="1"/>
      <w:numFmt w:val="lowerLetter"/>
      <w:lvlText w:val="%2."/>
      <w:lvlJc w:val="left"/>
      <w:pPr>
        <w:ind w:left="1440" w:hanging="360"/>
      </w:pPr>
    </w:lvl>
    <w:lvl w:ilvl="2" w:tplc="D3FC239A">
      <w:start w:val="1"/>
      <w:numFmt w:val="lowerRoman"/>
      <w:lvlText w:val="%3."/>
      <w:lvlJc w:val="right"/>
      <w:pPr>
        <w:ind w:left="2160" w:hanging="180"/>
      </w:pPr>
    </w:lvl>
    <w:lvl w:ilvl="3" w:tplc="4F9C89FC">
      <w:start w:val="1"/>
      <w:numFmt w:val="decimal"/>
      <w:lvlText w:val="%4."/>
      <w:lvlJc w:val="left"/>
      <w:pPr>
        <w:ind w:left="2880" w:hanging="360"/>
      </w:pPr>
    </w:lvl>
    <w:lvl w:ilvl="4" w:tplc="FCBE923A">
      <w:start w:val="1"/>
      <w:numFmt w:val="lowerLetter"/>
      <w:lvlText w:val="%5."/>
      <w:lvlJc w:val="left"/>
      <w:pPr>
        <w:ind w:left="3600" w:hanging="360"/>
      </w:pPr>
    </w:lvl>
    <w:lvl w:ilvl="5" w:tplc="5FD847AC">
      <w:start w:val="1"/>
      <w:numFmt w:val="lowerRoman"/>
      <w:lvlText w:val="%6."/>
      <w:lvlJc w:val="right"/>
      <w:pPr>
        <w:ind w:left="4320" w:hanging="180"/>
      </w:pPr>
    </w:lvl>
    <w:lvl w:ilvl="6" w:tplc="F4286156">
      <w:start w:val="1"/>
      <w:numFmt w:val="decimal"/>
      <w:lvlText w:val="%7."/>
      <w:lvlJc w:val="left"/>
      <w:pPr>
        <w:ind w:left="5040" w:hanging="360"/>
      </w:pPr>
    </w:lvl>
    <w:lvl w:ilvl="7" w:tplc="A1DAC3CC">
      <w:start w:val="1"/>
      <w:numFmt w:val="lowerLetter"/>
      <w:lvlText w:val="%8."/>
      <w:lvlJc w:val="left"/>
      <w:pPr>
        <w:ind w:left="5760" w:hanging="360"/>
      </w:pPr>
    </w:lvl>
    <w:lvl w:ilvl="8" w:tplc="18CA5000">
      <w:start w:val="1"/>
      <w:numFmt w:val="lowerRoman"/>
      <w:lvlText w:val="%9."/>
      <w:lvlJc w:val="right"/>
      <w:pPr>
        <w:ind w:left="6480" w:hanging="180"/>
      </w:pPr>
    </w:lvl>
  </w:abstractNum>
  <w:abstractNum w:abstractNumId="1" w15:restartNumberingAfterBreak="0">
    <w:nsid w:val="13585271"/>
    <w:multiLevelType w:val="hybridMultilevel"/>
    <w:tmpl w:val="1E9CA7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A4936E7"/>
    <w:multiLevelType w:val="hybridMultilevel"/>
    <w:tmpl w:val="CBB69E80"/>
    <w:lvl w:ilvl="0" w:tplc="308496B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56A95EAB"/>
    <w:multiLevelType w:val="multilevel"/>
    <w:tmpl w:val="1CE2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000743"/>
    <w:multiLevelType w:val="hybridMultilevel"/>
    <w:tmpl w:val="44A4A924"/>
    <w:lvl w:ilvl="0" w:tplc="D1846C6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643936C8"/>
    <w:multiLevelType w:val="hybridMultilevel"/>
    <w:tmpl w:val="9B1606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7" w15:restartNumberingAfterBreak="0">
    <w:nsid w:val="77653ABE"/>
    <w:multiLevelType w:val="hybridMultilevel"/>
    <w:tmpl w:val="1098D750"/>
    <w:lvl w:ilvl="0" w:tplc="67AEF95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4D"/>
    <w:rsid w:val="00004B6F"/>
    <w:rsid w:val="00006610"/>
    <w:rsid w:val="00010B27"/>
    <w:rsid w:val="00011B35"/>
    <w:rsid w:val="00012A43"/>
    <w:rsid w:val="000149A8"/>
    <w:rsid w:val="000330F5"/>
    <w:rsid w:val="0003433E"/>
    <w:rsid w:val="00036B2B"/>
    <w:rsid w:val="000468AE"/>
    <w:rsid w:val="000544DB"/>
    <w:rsid w:val="0006342D"/>
    <w:rsid w:val="00066B50"/>
    <w:rsid w:val="000802B9"/>
    <w:rsid w:val="000869ED"/>
    <w:rsid w:val="00091099"/>
    <w:rsid w:val="000919A8"/>
    <w:rsid w:val="000C68D1"/>
    <w:rsid w:val="000E0A9A"/>
    <w:rsid w:val="000E2E7F"/>
    <w:rsid w:val="000E462D"/>
    <w:rsid w:val="00112A38"/>
    <w:rsid w:val="00120146"/>
    <w:rsid w:val="0012076C"/>
    <w:rsid w:val="00124645"/>
    <w:rsid w:val="00130560"/>
    <w:rsid w:val="00130617"/>
    <w:rsid w:val="00145DCA"/>
    <w:rsid w:val="001503A1"/>
    <w:rsid w:val="00150766"/>
    <w:rsid w:val="0015757D"/>
    <w:rsid w:val="00182D4D"/>
    <w:rsid w:val="00183753"/>
    <w:rsid w:val="001A1C48"/>
    <w:rsid w:val="001A51E1"/>
    <w:rsid w:val="001C55BB"/>
    <w:rsid w:val="001C5D68"/>
    <w:rsid w:val="001C5D99"/>
    <w:rsid w:val="001C6F40"/>
    <w:rsid w:val="001D7B88"/>
    <w:rsid w:val="001D7CF1"/>
    <w:rsid w:val="001E04DA"/>
    <w:rsid w:val="001E2A90"/>
    <w:rsid w:val="001E3C2B"/>
    <w:rsid w:val="001E63D5"/>
    <w:rsid w:val="00200BF1"/>
    <w:rsid w:val="0020273E"/>
    <w:rsid w:val="0021051A"/>
    <w:rsid w:val="00215EB1"/>
    <w:rsid w:val="00216181"/>
    <w:rsid w:val="00230915"/>
    <w:rsid w:val="002441BC"/>
    <w:rsid w:val="002446B7"/>
    <w:rsid w:val="00253E84"/>
    <w:rsid w:val="00257AE4"/>
    <w:rsid w:val="00270C12"/>
    <w:rsid w:val="00286667"/>
    <w:rsid w:val="002926D4"/>
    <w:rsid w:val="002A240F"/>
    <w:rsid w:val="002A30E8"/>
    <w:rsid w:val="002A675C"/>
    <w:rsid w:val="002B2396"/>
    <w:rsid w:val="002C3BD5"/>
    <w:rsid w:val="002C40CE"/>
    <w:rsid w:val="002C68A5"/>
    <w:rsid w:val="002C7EE7"/>
    <w:rsid w:val="002D009F"/>
    <w:rsid w:val="002F15F6"/>
    <w:rsid w:val="002F4035"/>
    <w:rsid w:val="00302612"/>
    <w:rsid w:val="00311ECD"/>
    <w:rsid w:val="0032270F"/>
    <w:rsid w:val="003426F7"/>
    <w:rsid w:val="003464C2"/>
    <w:rsid w:val="00351D46"/>
    <w:rsid w:val="00353691"/>
    <w:rsid w:val="00357766"/>
    <w:rsid w:val="003629D6"/>
    <w:rsid w:val="00376CC0"/>
    <w:rsid w:val="0038225B"/>
    <w:rsid w:val="00385363"/>
    <w:rsid w:val="003975DF"/>
    <w:rsid w:val="003B2F1D"/>
    <w:rsid w:val="003B638A"/>
    <w:rsid w:val="003C356A"/>
    <w:rsid w:val="003C551C"/>
    <w:rsid w:val="003E10FA"/>
    <w:rsid w:val="003F3913"/>
    <w:rsid w:val="00401BB6"/>
    <w:rsid w:val="00411D9C"/>
    <w:rsid w:val="00413788"/>
    <w:rsid w:val="0041748A"/>
    <w:rsid w:val="00426ADC"/>
    <w:rsid w:val="00427EEB"/>
    <w:rsid w:val="0043541B"/>
    <w:rsid w:val="004359E0"/>
    <w:rsid w:val="004468BD"/>
    <w:rsid w:val="0046198D"/>
    <w:rsid w:val="00462F46"/>
    <w:rsid w:val="00464DD0"/>
    <w:rsid w:val="0047110E"/>
    <w:rsid w:val="00477E60"/>
    <w:rsid w:val="00484C61"/>
    <w:rsid w:val="004A38E3"/>
    <w:rsid w:val="004A636D"/>
    <w:rsid w:val="004B6AC2"/>
    <w:rsid w:val="004C387B"/>
    <w:rsid w:val="004C7C3B"/>
    <w:rsid w:val="004C7F61"/>
    <w:rsid w:val="004D1DE7"/>
    <w:rsid w:val="004E2397"/>
    <w:rsid w:val="004F2E11"/>
    <w:rsid w:val="0051377B"/>
    <w:rsid w:val="00515DA1"/>
    <w:rsid w:val="00516132"/>
    <w:rsid w:val="00516389"/>
    <w:rsid w:val="0052023D"/>
    <w:rsid w:val="005220AF"/>
    <w:rsid w:val="005228F0"/>
    <w:rsid w:val="00524979"/>
    <w:rsid w:val="00526262"/>
    <w:rsid w:val="00526332"/>
    <w:rsid w:val="005279E9"/>
    <w:rsid w:val="00532199"/>
    <w:rsid w:val="0054213D"/>
    <w:rsid w:val="0054441E"/>
    <w:rsid w:val="005473BE"/>
    <w:rsid w:val="00554F6C"/>
    <w:rsid w:val="005611AF"/>
    <w:rsid w:val="005636AB"/>
    <w:rsid w:val="0056791F"/>
    <w:rsid w:val="0057690E"/>
    <w:rsid w:val="00591C20"/>
    <w:rsid w:val="00596636"/>
    <w:rsid w:val="005A427E"/>
    <w:rsid w:val="005A78DC"/>
    <w:rsid w:val="005B0128"/>
    <w:rsid w:val="005B0221"/>
    <w:rsid w:val="005B023A"/>
    <w:rsid w:val="005C1A9A"/>
    <w:rsid w:val="005D05F4"/>
    <w:rsid w:val="005D3E04"/>
    <w:rsid w:val="005D4D19"/>
    <w:rsid w:val="005D6313"/>
    <w:rsid w:val="005E32AC"/>
    <w:rsid w:val="0060488A"/>
    <w:rsid w:val="00606D47"/>
    <w:rsid w:val="00607A33"/>
    <w:rsid w:val="00611CE8"/>
    <w:rsid w:val="00617EFF"/>
    <w:rsid w:val="006250F3"/>
    <w:rsid w:val="0063290A"/>
    <w:rsid w:val="00636C1B"/>
    <w:rsid w:val="00636EB9"/>
    <w:rsid w:val="00646C55"/>
    <w:rsid w:val="00693606"/>
    <w:rsid w:val="006942DA"/>
    <w:rsid w:val="006A1732"/>
    <w:rsid w:val="006A2192"/>
    <w:rsid w:val="006A3C78"/>
    <w:rsid w:val="006B262E"/>
    <w:rsid w:val="006B2F8E"/>
    <w:rsid w:val="006B5B4F"/>
    <w:rsid w:val="006B6C4E"/>
    <w:rsid w:val="006C3D04"/>
    <w:rsid w:val="006D1013"/>
    <w:rsid w:val="006F1128"/>
    <w:rsid w:val="00713D53"/>
    <w:rsid w:val="00722283"/>
    <w:rsid w:val="00723A4F"/>
    <w:rsid w:val="00742A38"/>
    <w:rsid w:val="0074496C"/>
    <w:rsid w:val="00746783"/>
    <w:rsid w:val="0075217B"/>
    <w:rsid w:val="00752C2D"/>
    <w:rsid w:val="00760C31"/>
    <w:rsid w:val="00761511"/>
    <w:rsid w:val="007643F4"/>
    <w:rsid w:val="00774C3C"/>
    <w:rsid w:val="00781358"/>
    <w:rsid w:val="007A3456"/>
    <w:rsid w:val="007B1543"/>
    <w:rsid w:val="007C0288"/>
    <w:rsid w:val="007C31F1"/>
    <w:rsid w:val="007C7AA2"/>
    <w:rsid w:val="007D375F"/>
    <w:rsid w:val="007E2FA8"/>
    <w:rsid w:val="00801CE3"/>
    <w:rsid w:val="00803362"/>
    <w:rsid w:val="0080742D"/>
    <w:rsid w:val="0081013F"/>
    <w:rsid w:val="00813387"/>
    <w:rsid w:val="0081606D"/>
    <w:rsid w:val="00822E24"/>
    <w:rsid w:val="00833774"/>
    <w:rsid w:val="008410C3"/>
    <w:rsid w:val="008431D4"/>
    <w:rsid w:val="00843CA6"/>
    <w:rsid w:val="008545CE"/>
    <w:rsid w:val="00871F90"/>
    <w:rsid w:val="0088200B"/>
    <w:rsid w:val="008907C6"/>
    <w:rsid w:val="00896CFE"/>
    <w:rsid w:val="008970D1"/>
    <w:rsid w:val="008A0568"/>
    <w:rsid w:val="008B1EED"/>
    <w:rsid w:val="008B345E"/>
    <w:rsid w:val="008B5FE1"/>
    <w:rsid w:val="008D26D1"/>
    <w:rsid w:val="008E4AE1"/>
    <w:rsid w:val="008F0A32"/>
    <w:rsid w:val="00900B3A"/>
    <w:rsid w:val="0090185F"/>
    <w:rsid w:val="0090415E"/>
    <w:rsid w:val="009119B0"/>
    <w:rsid w:val="00911DFC"/>
    <w:rsid w:val="009172E3"/>
    <w:rsid w:val="00927254"/>
    <w:rsid w:val="00931A45"/>
    <w:rsid w:val="00946603"/>
    <w:rsid w:val="00946B0B"/>
    <w:rsid w:val="00947B3C"/>
    <w:rsid w:val="00947C68"/>
    <w:rsid w:val="009577DB"/>
    <w:rsid w:val="009579EF"/>
    <w:rsid w:val="00982699"/>
    <w:rsid w:val="00984464"/>
    <w:rsid w:val="0099515C"/>
    <w:rsid w:val="00997722"/>
    <w:rsid w:val="009A1600"/>
    <w:rsid w:val="009B2164"/>
    <w:rsid w:val="009D2D72"/>
    <w:rsid w:val="009D336B"/>
    <w:rsid w:val="009E0F51"/>
    <w:rsid w:val="009E68B3"/>
    <w:rsid w:val="009F0C0F"/>
    <w:rsid w:val="009F163F"/>
    <w:rsid w:val="00A076A8"/>
    <w:rsid w:val="00A07F5D"/>
    <w:rsid w:val="00A16AAF"/>
    <w:rsid w:val="00A232BA"/>
    <w:rsid w:val="00A2440F"/>
    <w:rsid w:val="00A25D1B"/>
    <w:rsid w:val="00A3295B"/>
    <w:rsid w:val="00A37808"/>
    <w:rsid w:val="00A42906"/>
    <w:rsid w:val="00A560F0"/>
    <w:rsid w:val="00A57F49"/>
    <w:rsid w:val="00A64A14"/>
    <w:rsid w:val="00A87D62"/>
    <w:rsid w:val="00AB120D"/>
    <w:rsid w:val="00AC2519"/>
    <w:rsid w:val="00AC444B"/>
    <w:rsid w:val="00AD0906"/>
    <w:rsid w:val="00AD0B75"/>
    <w:rsid w:val="00AE1CBF"/>
    <w:rsid w:val="00AE5504"/>
    <w:rsid w:val="00AF4E40"/>
    <w:rsid w:val="00AF50C8"/>
    <w:rsid w:val="00B0690A"/>
    <w:rsid w:val="00B076C1"/>
    <w:rsid w:val="00B232C7"/>
    <w:rsid w:val="00B2560E"/>
    <w:rsid w:val="00B33386"/>
    <w:rsid w:val="00B464BF"/>
    <w:rsid w:val="00B60679"/>
    <w:rsid w:val="00B60AE4"/>
    <w:rsid w:val="00B62947"/>
    <w:rsid w:val="00B6742C"/>
    <w:rsid w:val="00B67AEB"/>
    <w:rsid w:val="00B71ED3"/>
    <w:rsid w:val="00B83ABB"/>
    <w:rsid w:val="00B842BC"/>
    <w:rsid w:val="00B96623"/>
    <w:rsid w:val="00BA5DEF"/>
    <w:rsid w:val="00BB036E"/>
    <w:rsid w:val="00BC0117"/>
    <w:rsid w:val="00BC4CB8"/>
    <w:rsid w:val="00BC69D5"/>
    <w:rsid w:val="00BE1893"/>
    <w:rsid w:val="00BE55F2"/>
    <w:rsid w:val="00C0329D"/>
    <w:rsid w:val="00C13DD3"/>
    <w:rsid w:val="00C30EB0"/>
    <w:rsid w:val="00C40FE4"/>
    <w:rsid w:val="00C46125"/>
    <w:rsid w:val="00C50B3A"/>
    <w:rsid w:val="00C6270C"/>
    <w:rsid w:val="00C70FBD"/>
    <w:rsid w:val="00C72CAC"/>
    <w:rsid w:val="00C73926"/>
    <w:rsid w:val="00C73B95"/>
    <w:rsid w:val="00C87F03"/>
    <w:rsid w:val="00CA6709"/>
    <w:rsid w:val="00CB1E99"/>
    <w:rsid w:val="00CB2FD3"/>
    <w:rsid w:val="00CB6C0F"/>
    <w:rsid w:val="00CC51BC"/>
    <w:rsid w:val="00CE07BB"/>
    <w:rsid w:val="00CE7BA1"/>
    <w:rsid w:val="00CF4ABB"/>
    <w:rsid w:val="00CF5CD8"/>
    <w:rsid w:val="00CF6FE5"/>
    <w:rsid w:val="00D0022C"/>
    <w:rsid w:val="00D06E6D"/>
    <w:rsid w:val="00D13A31"/>
    <w:rsid w:val="00D217AF"/>
    <w:rsid w:val="00D30758"/>
    <w:rsid w:val="00D42694"/>
    <w:rsid w:val="00D42C73"/>
    <w:rsid w:val="00D61270"/>
    <w:rsid w:val="00D618DC"/>
    <w:rsid w:val="00D63D75"/>
    <w:rsid w:val="00D95AAF"/>
    <w:rsid w:val="00D95ED6"/>
    <w:rsid w:val="00DA5C7E"/>
    <w:rsid w:val="00DB7643"/>
    <w:rsid w:val="00DC58A0"/>
    <w:rsid w:val="00DE379E"/>
    <w:rsid w:val="00DE612D"/>
    <w:rsid w:val="00DE6FA2"/>
    <w:rsid w:val="00E00936"/>
    <w:rsid w:val="00E15620"/>
    <w:rsid w:val="00E30FF6"/>
    <w:rsid w:val="00E33A9D"/>
    <w:rsid w:val="00E40A0E"/>
    <w:rsid w:val="00E41F7A"/>
    <w:rsid w:val="00E44CBA"/>
    <w:rsid w:val="00E5211C"/>
    <w:rsid w:val="00E550CA"/>
    <w:rsid w:val="00E60DDF"/>
    <w:rsid w:val="00E63419"/>
    <w:rsid w:val="00E638BA"/>
    <w:rsid w:val="00E66768"/>
    <w:rsid w:val="00E71552"/>
    <w:rsid w:val="00E82178"/>
    <w:rsid w:val="00EA735C"/>
    <w:rsid w:val="00EB2209"/>
    <w:rsid w:val="00EB33B4"/>
    <w:rsid w:val="00EB51A8"/>
    <w:rsid w:val="00EB5CC3"/>
    <w:rsid w:val="00EC06FB"/>
    <w:rsid w:val="00EC221E"/>
    <w:rsid w:val="00EC360D"/>
    <w:rsid w:val="00EC51D3"/>
    <w:rsid w:val="00EC5B4B"/>
    <w:rsid w:val="00EC5EED"/>
    <w:rsid w:val="00ED0B4D"/>
    <w:rsid w:val="00ED17FB"/>
    <w:rsid w:val="00ED1E90"/>
    <w:rsid w:val="00ED2697"/>
    <w:rsid w:val="00ED2821"/>
    <w:rsid w:val="00ED4563"/>
    <w:rsid w:val="00ED5EDA"/>
    <w:rsid w:val="00EE4B67"/>
    <w:rsid w:val="00EE4CA2"/>
    <w:rsid w:val="00EF082B"/>
    <w:rsid w:val="00EF2ADA"/>
    <w:rsid w:val="00F0223A"/>
    <w:rsid w:val="00F100E1"/>
    <w:rsid w:val="00F2536D"/>
    <w:rsid w:val="00F3196E"/>
    <w:rsid w:val="00F33E05"/>
    <w:rsid w:val="00F4325C"/>
    <w:rsid w:val="00F60C19"/>
    <w:rsid w:val="00F7336D"/>
    <w:rsid w:val="00F849BF"/>
    <w:rsid w:val="00F8646F"/>
    <w:rsid w:val="00F907A3"/>
    <w:rsid w:val="00F95EE7"/>
    <w:rsid w:val="00F97C4A"/>
    <w:rsid w:val="00FA09DD"/>
    <w:rsid w:val="00FA2D23"/>
    <w:rsid w:val="00FA452D"/>
    <w:rsid w:val="00FA6D02"/>
    <w:rsid w:val="00FB6331"/>
    <w:rsid w:val="00FB7A92"/>
    <w:rsid w:val="00FC3A7C"/>
    <w:rsid w:val="00FC63DD"/>
    <w:rsid w:val="00FD3F0D"/>
    <w:rsid w:val="00FF7A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7753"/>
  <w15:docId w15:val="{4A1694E3-6A22-DC42-A3C2-357BAD4C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uiPriority w:val="1"/>
    <w:qFormat/>
    <w:rsid w:val="00ED0B4D"/>
    <w:pPr>
      <w:pBdr>
        <w:top w:val="single" w:sz="4" w:space="12" w:color="000000"/>
        <w:bottom w:val="single" w:sz="4" w:space="12" w:color="000000"/>
      </w:pBdr>
      <w:tabs>
        <w:tab w:val="left" w:pos="5103"/>
      </w:tabs>
      <w:suppressAutoHyphens/>
      <w:spacing w:after="0" w:line="240" w:lineRule="auto"/>
      <w:jc w:val="center"/>
      <w:outlineLvl w:val="0"/>
    </w:pPr>
    <w:rPr>
      <w:rFonts w:ascii="Times New Roman" w:eastAsia="Arial" w:hAnsi="Times New Roman"/>
      <w:b/>
      <w:kern w:val="1"/>
      <w:sz w:val="24"/>
      <w:szCs w:val="20"/>
      <w:lang w:eastAsia="ar-SA"/>
    </w:rPr>
  </w:style>
  <w:style w:type="character" w:customStyle="1" w:styleId="Style1Char">
    <w:name w:val="Style1 Char"/>
    <w:link w:val="Style1"/>
    <w:uiPriority w:val="1"/>
    <w:rsid w:val="00ED0B4D"/>
    <w:rPr>
      <w:rFonts w:ascii="Times New Roman" w:eastAsia="Arial" w:hAnsi="Times New Roman" w:cs="Times New Roman"/>
      <w:b/>
      <w:kern w:val="1"/>
      <w:sz w:val="24"/>
      <w:szCs w:val="20"/>
      <w:lang w:eastAsia="ar-SA"/>
    </w:rPr>
  </w:style>
  <w:style w:type="paragraph" w:styleId="ListParagraph">
    <w:name w:val="List Paragraph"/>
    <w:basedOn w:val="Normal"/>
    <w:uiPriority w:val="34"/>
    <w:qFormat/>
    <w:rsid w:val="00ED0B4D"/>
    <w:pPr>
      <w:ind w:left="720"/>
    </w:pPr>
  </w:style>
  <w:style w:type="paragraph" w:styleId="BalloonText">
    <w:name w:val="Balloon Text"/>
    <w:basedOn w:val="Normal"/>
    <w:link w:val="BalloonTextChar"/>
    <w:uiPriority w:val="99"/>
    <w:semiHidden/>
    <w:unhideWhenUsed/>
    <w:rsid w:val="00397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5DF"/>
    <w:rPr>
      <w:rFonts w:ascii="Segoe UI" w:eastAsia="Calibri" w:hAnsi="Segoe UI" w:cs="Segoe UI"/>
      <w:sz w:val="18"/>
      <w:szCs w:val="18"/>
    </w:rPr>
  </w:style>
  <w:style w:type="character" w:styleId="Hyperlink">
    <w:name w:val="Hyperlink"/>
    <w:basedOn w:val="DefaultParagraphFont"/>
    <w:uiPriority w:val="99"/>
    <w:unhideWhenUsed/>
    <w:rsid w:val="003464C2"/>
    <w:rPr>
      <w:color w:val="0000FF" w:themeColor="hyperlink"/>
      <w:u w:val="single"/>
    </w:rPr>
  </w:style>
  <w:style w:type="paragraph" w:styleId="Header">
    <w:name w:val="header"/>
    <w:basedOn w:val="Normal"/>
    <w:link w:val="HeaderChar"/>
    <w:uiPriority w:val="99"/>
    <w:unhideWhenUsed/>
    <w:rsid w:val="00D42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694"/>
    <w:rPr>
      <w:rFonts w:ascii="Calibri" w:eastAsia="Calibri" w:hAnsi="Calibri" w:cs="Times New Roman"/>
    </w:rPr>
  </w:style>
  <w:style w:type="paragraph" w:styleId="Footer">
    <w:name w:val="footer"/>
    <w:basedOn w:val="Normal"/>
    <w:link w:val="FooterChar"/>
    <w:uiPriority w:val="99"/>
    <w:unhideWhenUsed/>
    <w:rsid w:val="00D42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694"/>
    <w:rPr>
      <w:rFonts w:ascii="Calibri" w:eastAsia="Calibri" w:hAnsi="Calibri" w:cs="Times New Roman"/>
    </w:rPr>
  </w:style>
  <w:style w:type="paragraph" w:styleId="FootnoteText">
    <w:name w:val="footnote text"/>
    <w:basedOn w:val="Normal"/>
    <w:link w:val="FootnoteTextChar"/>
    <w:uiPriority w:val="99"/>
    <w:semiHidden/>
    <w:unhideWhenUsed/>
    <w:rsid w:val="00A87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6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87D62"/>
    <w:rPr>
      <w:vertAlign w:val="superscript"/>
    </w:rPr>
  </w:style>
  <w:style w:type="character" w:styleId="UnresolvedMention">
    <w:name w:val="Unresolved Mention"/>
    <w:basedOn w:val="DefaultParagraphFont"/>
    <w:uiPriority w:val="99"/>
    <w:semiHidden/>
    <w:unhideWhenUsed/>
    <w:rsid w:val="00A87D62"/>
    <w:rPr>
      <w:color w:val="605E5C"/>
      <w:shd w:val="clear" w:color="auto" w:fill="E1DFDD"/>
    </w:rPr>
  </w:style>
  <w:style w:type="character" w:styleId="FollowedHyperlink">
    <w:name w:val="FollowedHyperlink"/>
    <w:basedOn w:val="DefaultParagraphFont"/>
    <w:uiPriority w:val="99"/>
    <w:semiHidden/>
    <w:unhideWhenUsed/>
    <w:rsid w:val="001A51E1"/>
    <w:rPr>
      <w:color w:val="800080" w:themeColor="followedHyperlink"/>
      <w:u w:val="single"/>
    </w:rPr>
  </w:style>
  <w:style w:type="paragraph" w:customStyle="1" w:styleId="List123">
    <w:name w:val="List 1 2 3"/>
    <w:basedOn w:val="Normal"/>
    <w:rsid w:val="00D0022C"/>
    <w:pPr>
      <w:keepLines/>
      <w:numPr>
        <w:numId w:val="7"/>
      </w:numPr>
      <w:spacing w:before="80" w:after="80" w:line="240" w:lineRule="auto"/>
    </w:pPr>
    <w:rPr>
      <w:rFonts w:eastAsiaTheme="minorHAnsi"/>
      <w:sz w:val="24"/>
      <w:szCs w:val="24"/>
    </w:rPr>
  </w:style>
  <w:style w:type="paragraph" w:customStyle="1" w:styleId="List123level2">
    <w:name w:val="List 1 2 3 level 2"/>
    <w:basedOn w:val="Normal"/>
    <w:uiPriority w:val="1"/>
    <w:semiHidden/>
    <w:qFormat/>
    <w:rsid w:val="00D0022C"/>
    <w:pPr>
      <w:keepLines/>
      <w:numPr>
        <w:ilvl w:val="1"/>
        <w:numId w:val="7"/>
      </w:numPr>
      <w:spacing w:before="80" w:after="80" w:line="240" w:lineRule="auto"/>
    </w:pPr>
    <w:rPr>
      <w:rFonts w:eastAsiaTheme="minorHAnsi"/>
      <w:sz w:val="24"/>
      <w:szCs w:val="24"/>
    </w:rPr>
  </w:style>
  <w:style w:type="paragraph" w:customStyle="1" w:styleId="List123level3">
    <w:name w:val="List 1 2 3 level 3"/>
    <w:basedOn w:val="Normal"/>
    <w:uiPriority w:val="1"/>
    <w:semiHidden/>
    <w:qFormat/>
    <w:rsid w:val="00D0022C"/>
    <w:pPr>
      <w:keepLines/>
      <w:numPr>
        <w:ilvl w:val="2"/>
        <w:numId w:val="7"/>
      </w:numPr>
      <w:spacing w:before="80" w:after="80" w:line="240" w:lineRule="auto"/>
    </w:pPr>
    <w:rPr>
      <w:rFonts w:eastAsiaTheme="minorHAnsi"/>
      <w:sz w:val="24"/>
      <w:szCs w:val="24"/>
    </w:rPr>
  </w:style>
  <w:style w:type="paragraph" w:customStyle="1" w:styleId="xmsolistparagraph">
    <w:name w:val="x_msolistparagraph"/>
    <w:basedOn w:val="Normal"/>
    <w:rsid w:val="006B2F8E"/>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normaltextrun">
    <w:name w:val="normaltextrun"/>
    <w:basedOn w:val="DefaultParagraphFont"/>
    <w:rsid w:val="004A636D"/>
  </w:style>
  <w:style w:type="character" w:styleId="CommentReference">
    <w:name w:val="annotation reference"/>
    <w:basedOn w:val="DefaultParagraphFont"/>
    <w:uiPriority w:val="99"/>
    <w:semiHidden/>
    <w:unhideWhenUsed/>
    <w:rsid w:val="003426F7"/>
    <w:rPr>
      <w:sz w:val="16"/>
      <w:szCs w:val="16"/>
    </w:rPr>
  </w:style>
  <w:style w:type="paragraph" w:styleId="CommentText">
    <w:name w:val="annotation text"/>
    <w:basedOn w:val="Normal"/>
    <w:link w:val="CommentTextChar"/>
    <w:uiPriority w:val="99"/>
    <w:semiHidden/>
    <w:unhideWhenUsed/>
    <w:rsid w:val="003426F7"/>
    <w:pPr>
      <w:spacing w:line="240" w:lineRule="auto"/>
    </w:pPr>
    <w:rPr>
      <w:sz w:val="20"/>
      <w:szCs w:val="20"/>
    </w:rPr>
  </w:style>
  <w:style w:type="character" w:customStyle="1" w:styleId="CommentTextChar">
    <w:name w:val="Comment Text Char"/>
    <w:basedOn w:val="DefaultParagraphFont"/>
    <w:link w:val="CommentText"/>
    <w:uiPriority w:val="99"/>
    <w:semiHidden/>
    <w:rsid w:val="003426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26F7"/>
    <w:rPr>
      <w:b/>
      <w:bCs/>
    </w:rPr>
  </w:style>
  <w:style w:type="character" w:customStyle="1" w:styleId="CommentSubjectChar">
    <w:name w:val="Comment Subject Char"/>
    <w:basedOn w:val="CommentTextChar"/>
    <w:link w:val="CommentSubject"/>
    <w:uiPriority w:val="99"/>
    <w:semiHidden/>
    <w:rsid w:val="003426F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8456">
      <w:bodyDiv w:val="1"/>
      <w:marLeft w:val="0"/>
      <w:marRight w:val="0"/>
      <w:marTop w:val="0"/>
      <w:marBottom w:val="0"/>
      <w:divBdr>
        <w:top w:val="none" w:sz="0" w:space="0" w:color="auto"/>
        <w:left w:val="none" w:sz="0" w:space="0" w:color="auto"/>
        <w:bottom w:val="none" w:sz="0" w:space="0" w:color="auto"/>
        <w:right w:val="none" w:sz="0" w:space="0" w:color="auto"/>
      </w:divBdr>
    </w:div>
    <w:div w:id="614295249">
      <w:bodyDiv w:val="1"/>
      <w:marLeft w:val="0"/>
      <w:marRight w:val="0"/>
      <w:marTop w:val="0"/>
      <w:marBottom w:val="0"/>
      <w:divBdr>
        <w:top w:val="none" w:sz="0" w:space="0" w:color="auto"/>
        <w:left w:val="none" w:sz="0" w:space="0" w:color="auto"/>
        <w:bottom w:val="none" w:sz="0" w:space="0" w:color="auto"/>
        <w:right w:val="none" w:sz="0" w:space="0" w:color="auto"/>
      </w:divBdr>
    </w:div>
    <w:div w:id="10457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useincare.org.nz/library/v/92/practice-note-2-core-particip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useincare.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icitorassisting@abuseincar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2" ma:contentTypeDescription="Create a new document." ma:contentTypeScope="" ma:versionID="e6da1875b6a2489cb8f7e357e8fa3dfd">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5b4570c0018edc0f02fbc4d7acfc028c"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C39C-C110-474D-BE2A-56A249F44F53}">
  <ds:schemaRefs>
    <ds:schemaRef ds:uri="http://schemas.microsoft.com/sharepoint/v3/contenttype/forms"/>
  </ds:schemaRefs>
</ds:datastoreItem>
</file>

<file path=customXml/itemProps2.xml><?xml version="1.0" encoding="utf-8"?>
<ds:datastoreItem xmlns:ds="http://schemas.openxmlformats.org/officeDocument/2006/customXml" ds:itemID="{6E6E0039-C297-4794-A392-8662066CBB7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035bf68-3af0-40a9-aecb-4b07af5a9f0a"/>
    <ds:schemaRef ds:uri="c1bbcd95-0181-462d-9c52-e702bfb7079d"/>
    <ds:schemaRef ds:uri="http://www.w3.org/XML/1998/namespace"/>
  </ds:schemaRefs>
</ds:datastoreItem>
</file>

<file path=customXml/itemProps3.xml><?xml version="1.0" encoding="utf-8"?>
<ds:datastoreItem xmlns:ds="http://schemas.openxmlformats.org/officeDocument/2006/customXml" ds:itemID="{F318F712-4AFE-4AFB-A4B7-7C1BD0BB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DC8D-9980-4A2A-B9DB-EE4E7429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McDowell, Coroner</dc:creator>
  <cp:lastModifiedBy>Rachel Opie</cp:lastModifiedBy>
  <cp:revision>2</cp:revision>
  <cp:lastPrinted>2020-01-28T01:02:00Z</cp:lastPrinted>
  <dcterms:created xsi:type="dcterms:W3CDTF">2020-01-30T00:26:00Z</dcterms:created>
  <dcterms:modified xsi:type="dcterms:W3CDTF">2020-01-30T00:26:00Z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