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8414"/>
      </w:tblGrid>
      <w:tr w:rsidR="00D618DC" w:rsidRPr="0021051A" w14:paraId="1FCA5D66" w14:textId="77777777" w:rsidTr="00F85966">
        <w:trPr>
          <w:trHeight w:val="560"/>
        </w:trPr>
        <w:tc>
          <w:tcPr>
            <w:tcW w:w="8414" w:type="dxa"/>
          </w:tcPr>
          <w:p w14:paraId="263D7BFD" w14:textId="4C9E188E" w:rsidR="00D618DC" w:rsidRPr="0021051A" w:rsidRDefault="00D618DC" w:rsidP="0057690E">
            <w:pPr>
              <w:tabs>
                <w:tab w:val="left" w:pos="2268"/>
                <w:tab w:val="left" w:pos="5103"/>
              </w:tabs>
              <w:spacing w:before="120" w:after="240" w:line="240" w:lineRule="auto"/>
              <w:rPr>
                <w:rFonts w:asciiTheme="minorHAnsi" w:hAnsiTheme="minorHAnsi" w:cstheme="minorHAnsi"/>
                <w:b/>
              </w:rPr>
            </w:pPr>
            <w:r w:rsidRPr="0021051A">
              <w:rPr>
                <w:rFonts w:asciiTheme="minorHAnsi" w:hAnsiTheme="minorHAnsi" w:cstheme="minorHAnsi"/>
                <w:noProof/>
                <w:color w:val="000000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 wp14:anchorId="6820E663" wp14:editId="51335CE6">
                  <wp:simplePos x="0" y="0"/>
                  <wp:positionH relativeFrom="margin">
                    <wp:align>center</wp:align>
                  </wp:positionH>
                  <wp:positionV relativeFrom="paragraph">
                    <wp:posOffset>0</wp:posOffset>
                  </wp:positionV>
                  <wp:extent cx="3552825" cy="7620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0B4D" w:rsidRPr="0021051A" w14:paraId="5FB77948" w14:textId="77777777" w:rsidTr="00F85966">
        <w:trPr>
          <w:trHeight w:val="552"/>
        </w:trPr>
        <w:tc>
          <w:tcPr>
            <w:tcW w:w="8414" w:type="dxa"/>
          </w:tcPr>
          <w:p w14:paraId="5B5C82C9" w14:textId="1540AADB" w:rsidR="00ED0B4D" w:rsidRPr="0021051A" w:rsidRDefault="00ED0B4D" w:rsidP="0057690E">
            <w:pPr>
              <w:tabs>
                <w:tab w:val="left" w:pos="2268"/>
                <w:tab w:val="left" w:pos="5103"/>
              </w:tabs>
              <w:spacing w:before="120" w:after="240" w:line="240" w:lineRule="auto"/>
              <w:rPr>
                <w:rFonts w:asciiTheme="minorHAnsi" w:hAnsiTheme="minorHAnsi" w:cstheme="minorHAnsi"/>
                <w:b/>
              </w:rPr>
            </w:pPr>
            <w:r w:rsidRPr="0021051A">
              <w:rPr>
                <w:rFonts w:asciiTheme="minorHAnsi" w:hAnsiTheme="minorHAnsi" w:cstheme="minorHAnsi"/>
                <w:b/>
              </w:rPr>
              <w:tab/>
            </w:r>
          </w:p>
          <w:p w14:paraId="07122F91" w14:textId="77777777" w:rsidR="00ED0B4D" w:rsidRPr="0021051A" w:rsidRDefault="00ED0B4D" w:rsidP="0057690E">
            <w:pPr>
              <w:tabs>
                <w:tab w:val="left" w:pos="2268"/>
                <w:tab w:val="left" w:pos="5103"/>
              </w:tabs>
              <w:spacing w:before="120" w:after="240" w:line="240" w:lineRule="auto"/>
              <w:rPr>
                <w:rFonts w:asciiTheme="minorHAnsi" w:hAnsiTheme="minorHAnsi" w:cstheme="minorHAnsi"/>
                <w:b/>
              </w:rPr>
            </w:pPr>
            <w:r w:rsidRPr="0021051A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ED0B4D" w:rsidRPr="0021051A" w14:paraId="3AA7B916" w14:textId="77777777" w:rsidTr="00F85966">
        <w:trPr>
          <w:trHeight w:val="561"/>
        </w:trPr>
        <w:tc>
          <w:tcPr>
            <w:tcW w:w="8414" w:type="dxa"/>
          </w:tcPr>
          <w:p w14:paraId="42831ACB" w14:textId="3A7FC3D7" w:rsidR="00ED0B4D" w:rsidRPr="0021051A" w:rsidRDefault="00ED0B4D" w:rsidP="0057690E">
            <w:pPr>
              <w:tabs>
                <w:tab w:val="left" w:pos="2268"/>
                <w:tab w:val="left" w:pos="5103"/>
              </w:tabs>
              <w:spacing w:before="120" w:after="24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D0B4D" w:rsidRPr="0021051A" w14:paraId="3A77B576" w14:textId="77777777" w:rsidTr="00F85966">
        <w:tc>
          <w:tcPr>
            <w:tcW w:w="8414" w:type="dxa"/>
          </w:tcPr>
          <w:p w14:paraId="4F744494" w14:textId="77777777" w:rsidR="00ED0B4D" w:rsidRPr="0021051A" w:rsidRDefault="00ED0B4D" w:rsidP="0057690E">
            <w:pPr>
              <w:tabs>
                <w:tab w:val="left" w:pos="2268"/>
                <w:tab w:val="left" w:pos="5103"/>
              </w:tabs>
              <w:spacing w:before="120" w:after="240" w:line="240" w:lineRule="auto"/>
              <w:rPr>
                <w:rFonts w:asciiTheme="minorHAnsi" w:hAnsiTheme="minorHAnsi" w:cstheme="minorHAnsi"/>
                <w:b/>
                <w:sz w:val="23"/>
                <w:szCs w:val="24"/>
              </w:rPr>
            </w:pPr>
            <w:r w:rsidRPr="0021051A">
              <w:rPr>
                <w:rFonts w:asciiTheme="minorHAnsi" w:hAnsiTheme="minorHAnsi" w:cstheme="minorHAnsi"/>
                <w:b/>
                <w:sz w:val="23"/>
                <w:szCs w:val="24"/>
              </w:rPr>
              <w:tab/>
            </w:r>
            <w:r w:rsidRPr="0021051A">
              <w:rPr>
                <w:rFonts w:asciiTheme="minorHAnsi" w:hAnsiTheme="minorHAnsi" w:cstheme="minorHAnsi"/>
                <w:b/>
                <w:sz w:val="23"/>
                <w:szCs w:val="24"/>
              </w:rPr>
              <w:tab/>
            </w:r>
          </w:p>
        </w:tc>
      </w:tr>
    </w:tbl>
    <w:p w14:paraId="07ECAD1C" w14:textId="34B6F2B1" w:rsidR="002A30E8" w:rsidRPr="0021051A" w:rsidRDefault="00D618DC" w:rsidP="0057690E">
      <w:pPr>
        <w:pStyle w:val="Style1"/>
        <w:spacing w:before="120" w:after="240"/>
        <w:rPr>
          <w:rFonts w:asciiTheme="minorHAnsi" w:hAnsiTheme="minorHAnsi" w:cstheme="minorHAnsi"/>
          <w:sz w:val="22"/>
        </w:rPr>
      </w:pPr>
      <w:r w:rsidRPr="0021051A">
        <w:rPr>
          <w:rFonts w:asciiTheme="minorHAnsi" w:hAnsiTheme="minorHAnsi" w:cstheme="minorHAnsi"/>
          <w:sz w:val="22"/>
        </w:rPr>
        <w:t>MINUTE</w:t>
      </w:r>
      <w:r w:rsidR="006D6684">
        <w:rPr>
          <w:rFonts w:asciiTheme="minorHAnsi" w:hAnsiTheme="minorHAnsi" w:cstheme="minorHAnsi"/>
          <w:sz w:val="22"/>
        </w:rPr>
        <w:t xml:space="preserve"> 6</w:t>
      </w:r>
      <w:r w:rsidRPr="0021051A">
        <w:rPr>
          <w:rFonts w:asciiTheme="minorHAnsi" w:hAnsiTheme="minorHAnsi" w:cstheme="minorHAnsi"/>
          <w:sz w:val="22"/>
        </w:rPr>
        <w:t xml:space="preserve"> – </w:t>
      </w:r>
      <w:r w:rsidR="006D6684">
        <w:rPr>
          <w:rFonts w:asciiTheme="minorHAnsi" w:hAnsiTheme="minorHAnsi" w:cstheme="minorHAnsi"/>
          <w:sz w:val="22"/>
        </w:rPr>
        <w:t xml:space="preserve">UPDATE ON THE </w:t>
      </w:r>
      <w:r w:rsidR="003B638A">
        <w:rPr>
          <w:rFonts w:asciiTheme="minorHAnsi" w:hAnsiTheme="minorHAnsi" w:cstheme="minorHAnsi"/>
          <w:sz w:val="22"/>
        </w:rPr>
        <w:t xml:space="preserve">PUBLIC </w:t>
      </w:r>
      <w:r w:rsidR="002A30E8" w:rsidRPr="0021051A">
        <w:rPr>
          <w:rFonts w:asciiTheme="minorHAnsi" w:hAnsiTheme="minorHAnsi" w:cstheme="minorHAnsi"/>
          <w:sz w:val="22"/>
        </w:rPr>
        <w:t xml:space="preserve">HEARING INTO </w:t>
      </w:r>
      <w:r w:rsidR="008545CE">
        <w:rPr>
          <w:rFonts w:asciiTheme="minorHAnsi" w:hAnsiTheme="minorHAnsi" w:cstheme="minorHAnsi"/>
          <w:sz w:val="22"/>
        </w:rPr>
        <w:t xml:space="preserve">THE </w:t>
      </w:r>
      <w:r w:rsidR="002A30E8" w:rsidRPr="0021051A">
        <w:rPr>
          <w:rFonts w:asciiTheme="minorHAnsi" w:hAnsiTheme="minorHAnsi" w:cstheme="minorHAnsi"/>
          <w:sz w:val="22"/>
        </w:rPr>
        <w:t xml:space="preserve">STATE RESPONSE TO CIVIL REDRESS </w:t>
      </w:r>
    </w:p>
    <w:p w14:paraId="5B644D00" w14:textId="2C4AA85D" w:rsidR="00ED0B4D" w:rsidRPr="0021051A" w:rsidRDefault="002A30E8" w:rsidP="0057690E">
      <w:pPr>
        <w:pStyle w:val="Style1"/>
        <w:spacing w:before="120" w:after="240"/>
        <w:rPr>
          <w:rFonts w:asciiTheme="minorHAnsi" w:hAnsiTheme="minorHAnsi" w:cstheme="minorHAnsi"/>
          <w:sz w:val="22"/>
        </w:rPr>
      </w:pPr>
      <w:r w:rsidRPr="0021051A">
        <w:rPr>
          <w:rFonts w:asciiTheme="minorHAnsi" w:hAnsiTheme="minorHAnsi" w:cstheme="minorHAnsi"/>
          <w:sz w:val="22"/>
        </w:rPr>
        <w:t>AND CIVIL LITIGATION CLAIMS</w:t>
      </w:r>
    </w:p>
    <w:p w14:paraId="28560137" w14:textId="3EACDC7B" w:rsidR="0032270F" w:rsidRPr="0021051A" w:rsidRDefault="00C30EB0" w:rsidP="0057690E">
      <w:pPr>
        <w:pStyle w:val="Style1"/>
        <w:spacing w:before="120" w:after="240"/>
        <w:rPr>
          <w:rFonts w:asciiTheme="minorHAnsi" w:hAnsiTheme="minorHAnsi" w:cstheme="minorHAnsi"/>
          <w:sz w:val="22"/>
        </w:rPr>
      </w:pPr>
      <w:r w:rsidRPr="0021051A">
        <w:rPr>
          <w:rFonts w:asciiTheme="minorHAnsi" w:hAnsiTheme="minorHAnsi" w:cstheme="minorHAnsi"/>
          <w:sz w:val="22"/>
        </w:rPr>
        <w:t xml:space="preserve"> </w:t>
      </w:r>
      <w:r w:rsidR="006D6684">
        <w:rPr>
          <w:rFonts w:asciiTheme="minorHAnsi" w:hAnsiTheme="minorHAnsi" w:cstheme="minorHAnsi"/>
          <w:sz w:val="22"/>
        </w:rPr>
        <w:t xml:space="preserve">21 February </w:t>
      </w:r>
      <w:r w:rsidR="002A30E8" w:rsidRPr="0021051A">
        <w:rPr>
          <w:rFonts w:asciiTheme="minorHAnsi" w:hAnsiTheme="minorHAnsi" w:cstheme="minorHAnsi"/>
          <w:sz w:val="22"/>
        </w:rPr>
        <w:t>2020</w:t>
      </w:r>
    </w:p>
    <w:p w14:paraId="48B70026" w14:textId="1C9C3A85" w:rsidR="003A6516" w:rsidRDefault="003A6516" w:rsidP="0057690E">
      <w:pPr>
        <w:pStyle w:val="ListParagraph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>On 30 January 2020</w:t>
      </w:r>
      <w:r w:rsidR="000A54AC">
        <w:rPr>
          <w:rFonts w:asciiTheme="minorHAnsi" w:hAnsiTheme="minorHAnsi" w:cstheme="minorHAnsi"/>
          <w:szCs w:val="24"/>
          <w:lang w:eastAsia="ar-SA"/>
        </w:rPr>
        <w:t>,</w:t>
      </w:r>
      <w:r>
        <w:rPr>
          <w:rFonts w:asciiTheme="minorHAnsi" w:hAnsiTheme="minorHAnsi" w:cstheme="minorHAnsi"/>
          <w:szCs w:val="24"/>
          <w:lang w:eastAsia="ar-SA"/>
        </w:rPr>
        <w:t xml:space="preserve"> t</w:t>
      </w:r>
      <w:r w:rsidR="00D618DC" w:rsidRPr="0021051A">
        <w:rPr>
          <w:rFonts w:asciiTheme="minorHAnsi" w:hAnsiTheme="minorHAnsi" w:cstheme="minorHAnsi"/>
          <w:szCs w:val="24"/>
          <w:lang w:eastAsia="ar-SA"/>
        </w:rPr>
        <w:t>he Royal Commission</w:t>
      </w:r>
      <w:r w:rsidR="00EF082B">
        <w:rPr>
          <w:rFonts w:asciiTheme="minorHAnsi" w:hAnsiTheme="minorHAnsi" w:cstheme="minorHAnsi"/>
          <w:szCs w:val="24"/>
          <w:lang w:eastAsia="ar-SA"/>
        </w:rPr>
        <w:t xml:space="preserve"> of Inquiry </w:t>
      </w:r>
      <w:r w:rsidR="0056791F">
        <w:rPr>
          <w:rFonts w:asciiTheme="minorHAnsi" w:hAnsiTheme="minorHAnsi" w:cstheme="minorHAnsi"/>
          <w:szCs w:val="24"/>
          <w:lang w:eastAsia="ar-SA"/>
        </w:rPr>
        <w:t>(“</w:t>
      </w:r>
      <w:r w:rsidR="0056791F" w:rsidRPr="00C839AA">
        <w:rPr>
          <w:rFonts w:asciiTheme="minorHAnsi" w:hAnsiTheme="minorHAnsi" w:cstheme="minorHAnsi"/>
          <w:b/>
          <w:bCs/>
          <w:szCs w:val="24"/>
          <w:lang w:eastAsia="ar-SA"/>
        </w:rPr>
        <w:t>the Inquiry</w:t>
      </w:r>
      <w:r w:rsidR="0056791F">
        <w:rPr>
          <w:rFonts w:asciiTheme="minorHAnsi" w:hAnsiTheme="minorHAnsi" w:cstheme="minorHAnsi"/>
          <w:szCs w:val="24"/>
          <w:lang w:eastAsia="ar-SA"/>
        </w:rPr>
        <w:t xml:space="preserve">”) </w:t>
      </w:r>
      <w:r>
        <w:rPr>
          <w:rFonts w:asciiTheme="minorHAnsi" w:hAnsiTheme="minorHAnsi" w:cstheme="minorHAnsi"/>
          <w:szCs w:val="24"/>
          <w:lang w:eastAsia="ar-SA"/>
        </w:rPr>
        <w:t xml:space="preserve">issued </w:t>
      </w:r>
      <w:hyperlink r:id="rId12" w:history="1">
        <w:r w:rsidRPr="00E07C4E">
          <w:rPr>
            <w:rStyle w:val="Hyperlink"/>
            <w:rFonts w:asciiTheme="minorHAnsi" w:hAnsiTheme="minorHAnsi" w:cstheme="minorHAnsi"/>
            <w:szCs w:val="24"/>
            <w:lang w:eastAsia="ar-SA"/>
          </w:rPr>
          <w:t>Minute 5</w:t>
        </w:r>
      </w:hyperlink>
      <w:r>
        <w:rPr>
          <w:rFonts w:asciiTheme="minorHAnsi" w:hAnsiTheme="minorHAnsi" w:cstheme="minorHAnsi"/>
          <w:szCs w:val="24"/>
          <w:lang w:eastAsia="ar-SA"/>
        </w:rPr>
        <w:t xml:space="preserve"> setting out procedural information about the hearing into the State response to civil redress and civil litigation claims.</w:t>
      </w:r>
      <w:r w:rsidR="00C77E59">
        <w:rPr>
          <w:rFonts w:asciiTheme="minorHAnsi" w:hAnsiTheme="minorHAnsi" w:cstheme="minorHAnsi"/>
          <w:szCs w:val="24"/>
          <w:lang w:eastAsia="ar-SA"/>
        </w:rPr>
        <w:t xml:space="preserve">  </w:t>
      </w:r>
    </w:p>
    <w:p w14:paraId="0DF6116B" w14:textId="77777777" w:rsidR="003A6516" w:rsidRDefault="003A6516" w:rsidP="0057690E">
      <w:pPr>
        <w:pStyle w:val="ListParagraph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 xml:space="preserve">Given the scope and extent of the evidence filed for this hearing, the Inquiry has made the decision to split the hearing into two phases.  </w:t>
      </w:r>
    </w:p>
    <w:p w14:paraId="0E6DC54E" w14:textId="307DD0B7" w:rsidR="003A6516" w:rsidRDefault="003A6516" w:rsidP="003A6516">
      <w:pPr>
        <w:pStyle w:val="ListParagraph"/>
        <w:numPr>
          <w:ilvl w:val="1"/>
          <w:numId w:val="9"/>
        </w:numPr>
        <w:spacing w:before="120" w:after="240" w:line="240" w:lineRule="auto"/>
        <w:ind w:left="1276" w:hanging="556"/>
        <w:jc w:val="both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 xml:space="preserve">The first phase will commence </w:t>
      </w:r>
      <w:r w:rsidR="000A54AC">
        <w:rPr>
          <w:rFonts w:asciiTheme="minorHAnsi" w:hAnsiTheme="minorHAnsi" w:cstheme="minorHAnsi"/>
          <w:szCs w:val="24"/>
          <w:lang w:eastAsia="ar-SA"/>
        </w:rPr>
        <w:t xml:space="preserve">as planned </w:t>
      </w:r>
      <w:r>
        <w:rPr>
          <w:rFonts w:asciiTheme="minorHAnsi" w:hAnsiTheme="minorHAnsi" w:cstheme="minorHAnsi"/>
          <w:szCs w:val="24"/>
          <w:lang w:eastAsia="ar-SA"/>
        </w:rPr>
        <w:t xml:space="preserve">on Monday 23 March 2020 in Wellington.  The witnesses in this </w:t>
      </w:r>
      <w:r w:rsidR="000A54AC">
        <w:rPr>
          <w:rFonts w:asciiTheme="minorHAnsi" w:hAnsiTheme="minorHAnsi" w:cstheme="minorHAnsi"/>
          <w:szCs w:val="24"/>
          <w:lang w:eastAsia="ar-SA"/>
        </w:rPr>
        <w:t xml:space="preserve">first phase </w:t>
      </w:r>
      <w:r>
        <w:rPr>
          <w:rFonts w:asciiTheme="minorHAnsi" w:hAnsiTheme="minorHAnsi" w:cstheme="minorHAnsi"/>
          <w:szCs w:val="24"/>
          <w:lang w:eastAsia="ar-SA"/>
        </w:rPr>
        <w:t xml:space="preserve"> of the hearing will be survivors, Cooper Legal, IHC and Stand </w:t>
      </w:r>
      <w:proofErr w:type="spellStart"/>
      <w:r>
        <w:rPr>
          <w:rFonts w:asciiTheme="minorHAnsi" w:hAnsiTheme="minorHAnsi" w:cstheme="minorHAnsi"/>
          <w:szCs w:val="24"/>
          <w:lang w:eastAsia="ar-SA"/>
        </w:rPr>
        <w:t>Tū</w:t>
      </w:r>
      <w:proofErr w:type="spellEnd"/>
      <w:r>
        <w:rPr>
          <w:rFonts w:asciiTheme="minorHAnsi" w:hAnsiTheme="minorHAnsi" w:cstheme="minorHAnsi"/>
          <w:szCs w:val="24"/>
          <w:lang w:eastAsia="ar-SA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eastAsia="ar-SA"/>
        </w:rPr>
        <w:t>Māia</w:t>
      </w:r>
      <w:proofErr w:type="spellEnd"/>
      <w:r>
        <w:rPr>
          <w:rFonts w:asciiTheme="minorHAnsi" w:hAnsiTheme="minorHAnsi" w:cstheme="minorHAnsi"/>
          <w:szCs w:val="24"/>
          <w:lang w:eastAsia="ar-SA"/>
        </w:rPr>
        <w:t>.</w:t>
      </w:r>
      <w:r w:rsidR="00C77E59">
        <w:rPr>
          <w:rFonts w:asciiTheme="minorHAnsi" w:hAnsiTheme="minorHAnsi" w:cstheme="minorHAnsi"/>
          <w:szCs w:val="24"/>
          <w:lang w:eastAsia="ar-SA"/>
        </w:rPr>
        <w:t xml:space="preserve">  There are still two weeks set aside for this phase of the hearing</w:t>
      </w:r>
      <w:r w:rsidR="000A54AC">
        <w:rPr>
          <w:rFonts w:asciiTheme="minorHAnsi" w:hAnsiTheme="minorHAnsi" w:cstheme="minorHAnsi"/>
          <w:szCs w:val="24"/>
          <w:lang w:eastAsia="ar-SA"/>
        </w:rPr>
        <w:t>; this time period remains unchanged, and the hearing will finish on</w:t>
      </w:r>
      <w:r w:rsidR="002F37BD">
        <w:rPr>
          <w:rFonts w:asciiTheme="minorHAnsi" w:hAnsiTheme="minorHAnsi" w:cstheme="minorHAnsi"/>
          <w:szCs w:val="24"/>
          <w:lang w:eastAsia="ar-SA"/>
        </w:rPr>
        <w:t xml:space="preserve"> or before</w:t>
      </w:r>
      <w:r w:rsidR="000A54AC">
        <w:rPr>
          <w:rFonts w:asciiTheme="minorHAnsi" w:hAnsiTheme="minorHAnsi" w:cstheme="minorHAnsi"/>
          <w:szCs w:val="24"/>
          <w:lang w:eastAsia="ar-SA"/>
        </w:rPr>
        <w:t xml:space="preserve"> Friday 3 April 2020</w:t>
      </w:r>
      <w:r w:rsidR="00C839AA">
        <w:rPr>
          <w:rFonts w:asciiTheme="minorHAnsi" w:hAnsiTheme="minorHAnsi" w:cstheme="minorHAnsi"/>
          <w:szCs w:val="24"/>
          <w:lang w:eastAsia="ar-SA"/>
        </w:rPr>
        <w:t>.</w:t>
      </w:r>
    </w:p>
    <w:p w14:paraId="720B6323" w14:textId="2FAF80DD" w:rsidR="00164F1E" w:rsidRDefault="003A6516" w:rsidP="003A6516">
      <w:pPr>
        <w:pStyle w:val="ListParagraph"/>
        <w:numPr>
          <w:ilvl w:val="1"/>
          <w:numId w:val="9"/>
        </w:numPr>
        <w:spacing w:before="120" w:after="240" w:line="240" w:lineRule="auto"/>
        <w:ind w:left="1276" w:hanging="556"/>
        <w:jc w:val="both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 xml:space="preserve">The second phase will commence on Tuesday 12 May 2020 </w:t>
      </w:r>
      <w:r w:rsidR="00164F1E">
        <w:rPr>
          <w:rFonts w:asciiTheme="minorHAnsi" w:hAnsiTheme="minorHAnsi" w:cstheme="minorHAnsi"/>
          <w:szCs w:val="24"/>
          <w:lang w:eastAsia="ar-SA"/>
        </w:rPr>
        <w:t xml:space="preserve">and </w:t>
      </w:r>
      <w:r w:rsidR="002F37BD">
        <w:rPr>
          <w:rFonts w:asciiTheme="minorHAnsi" w:hAnsiTheme="minorHAnsi" w:cstheme="minorHAnsi"/>
          <w:szCs w:val="24"/>
          <w:lang w:eastAsia="ar-SA"/>
        </w:rPr>
        <w:t xml:space="preserve">is scheduled to be completed </w:t>
      </w:r>
      <w:r w:rsidR="00C839AA">
        <w:rPr>
          <w:rFonts w:asciiTheme="minorHAnsi" w:hAnsiTheme="minorHAnsi" w:cstheme="minorHAnsi"/>
          <w:szCs w:val="24"/>
          <w:lang w:eastAsia="ar-SA"/>
        </w:rPr>
        <w:t>on</w:t>
      </w:r>
      <w:r w:rsidR="002F37BD">
        <w:rPr>
          <w:rFonts w:asciiTheme="minorHAnsi" w:hAnsiTheme="minorHAnsi" w:cstheme="minorHAnsi"/>
          <w:szCs w:val="24"/>
          <w:lang w:eastAsia="ar-SA"/>
        </w:rPr>
        <w:t xml:space="preserve"> </w:t>
      </w:r>
      <w:r w:rsidR="000A54AC">
        <w:rPr>
          <w:rFonts w:asciiTheme="minorHAnsi" w:hAnsiTheme="minorHAnsi" w:cstheme="minorHAnsi"/>
          <w:szCs w:val="24"/>
          <w:lang w:eastAsia="ar-SA"/>
        </w:rPr>
        <w:t xml:space="preserve">Friday </w:t>
      </w:r>
      <w:r w:rsidR="00164F1E">
        <w:rPr>
          <w:rFonts w:asciiTheme="minorHAnsi" w:hAnsiTheme="minorHAnsi" w:cstheme="minorHAnsi"/>
          <w:szCs w:val="24"/>
          <w:lang w:eastAsia="ar-SA"/>
        </w:rPr>
        <w:t>22 May</w:t>
      </w:r>
      <w:r w:rsidR="000A54AC">
        <w:rPr>
          <w:rFonts w:asciiTheme="minorHAnsi" w:hAnsiTheme="minorHAnsi" w:cstheme="minorHAnsi"/>
          <w:szCs w:val="24"/>
          <w:lang w:eastAsia="ar-SA"/>
        </w:rPr>
        <w:t xml:space="preserve"> 2020. The witnesses for the Crown agencies will give evidence during this second phase of the hearing. The hearing will take place</w:t>
      </w:r>
      <w:r w:rsidR="00164F1E">
        <w:rPr>
          <w:rFonts w:asciiTheme="minorHAnsi" w:hAnsiTheme="minorHAnsi" w:cstheme="minorHAnsi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Cs w:val="24"/>
          <w:lang w:eastAsia="ar-SA"/>
        </w:rPr>
        <w:t>at</w:t>
      </w:r>
      <w:r w:rsidR="00164F1E">
        <w:rPr>
          <w:rFonts w:asciiTheme="minorHAnsi" w:hAnsiTheme="minorHAnsi" w:cstheme="minorHAnsi"/>
          <w:szCs w:val="24"/>
          <w:lang w:eastAsia="ar-SA"/>
        </w:rPr>
        <w:t>:</w:t>
      </w:r>
    </w:p>
    <w:p w14:paraId="5B0BF747" w14:textId="4D0B9798" w:rsidR="00164F1E" w:rsidRDefault="00164F1E" w:rsidP="00164F1E">
      <w:pPr>
        <w:pStyle w:val="NoSpacing"/>
        <w:ind w:left="2160"/>
        <w:rPr>
          <w:lang w:eastAsia="ar-SA"/>
        </w:rPr>
      </w:pPr>
      <w:r>
        <w:rPr>
          <w:lang w:eastAsia="ar-SA"/>
        </w:rPr>
        <w:t>Tribunals</w:t>
      </w:r>
      <w:r>
        <w:rPr>
          <w:rFonts w:cs="Calibri"/>
          <w:color w:val="201F1E"/>
          <w:shd w:val="clear" w:color="auto" w:fill="FFFFFF"/>
        </w:rPr>
        <w:t xml:space="preserve"> Unit</w:t>
      </w:r>
      <w:r>
        <w:rPr>
          <w:rFonts w:cs="Calibri"/>
          <w:color w:val="201F1E"/>
        </w:rPr>
        <w:br/>
      </w:r>
      <w:r>
        <w:rPr>
          <w:rFonts w:cs="Calibri"/>
          <w:color w:val="201F1E"/>
          <w:shd w:val="clear" w:color="auto" w:fill="FFFFFF"/>
        </w:rPr>
        <w:t>Level 1, 86 Customhouse Quay </w:t>
      </w:r>
      <w:r>
        <w:rPr>
          <w:rFonts w:cs="Calibri"/>
          <w:color w:val="201F1E"/>
        </w:rPr>
        <w:br/>
      </w:r>
      <w:r>
        <w:rPr>
          <w:rFonts w:cs="Calibri"/>
          <w:color w:val="201F1E"/>
          <w:shd w:val="clear" w:color="auto" w:fill="FFFFFF"/>
        </w:rPr>
        <w:t>Wellington</w:t>
      </w:r>
      <w:r w:rsidR="003A6516">
        <w:rPr>
          <w:lang w:eastAsia="ar-SA"/>
        </w:rPr>
        <w:t xml:space="preserve">  </w:t>
      </w:r>
    </w:p>
    <w:p w14:paraId="0C3A56A9" w14:textId="77777777" w:rsidR="00164F1E" w:rsidRDefault="00164F1E" w:rsidP="00164F1E">
      <w:pPr>
        <w:pStyle w:val="NoSpacing"/>
        <w:ind w:left="2160"/>
        <w:rPr>
          <w:lang w:eastAsia="ar-SA"/>
        </w:rPr>
      </w:pPr>
    </w:p>
    <w:p w14:paraId="5CA5D276" w14:textId="7AEF5DD2" w:rsidR="00C77E59" w:rsidRDefault="00C77E59" w:rsidP="0057690E">
      <w:pPr>
        <w:pStyle w:val="ListParagraph"/>
        <w:numPr>
          <w:ilvl w:val="0"/>
          <w:numId w:val="1"/>
        </w:numPr>
        <w:spacing w:before="120" w:after="240" w:line="240" w:lineRule="auto"/>
        <w:ind w:hanging="720"/>
        <w:jc w:val="both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>The expected order of witnesses for the March hearing will be publicised on the website closer to the hearing date</w:t>
      </w:r>
      <w:r w:rsidR="000A54AC">
        <w:rPr>
          <w:rFonts w:asciiTheme="minorHAnsi" w:hAnsiTheme="minorHAnsi" w:cstheme="minorHAnsi"/>
          <w:szCs w:val="24"/>
          <w:lang w:eastAsia="ar-SA"/>
        </w:rPr>
        <w:t xml:space="preserve">. Similarly, the expected order of witnesses </w:t>
      </w:r>
      <w:r w:rsidR="008F4D83">
        <w:rPr>
          <w:rFonts w:asciiTheme="minorHAnsi" w:hAnsiTheme="minorHAnsi" w:cstheme="minorHAnsi"/>
          <w:szCs w:val="24"/>
          <w:lang w:eastAsia="ar-SA"/>
        </w:rPr>
        <w:t>for the May hearing will be available on the website closer to the May hearing date.</w:t>
      </w:r>
    </w:p>
    <w:p w14:paraId="3125E10C" w14:textId="6E35EDCF" w:rsidR="004C387B" w:rsidRPr="006B6C4E" w:rsidRDefault="004C387B" w:rsidP="0057690E">
      <w:pPr>
        <w:spacing w:before="120" w:after="240" w:line="240" w:lineRule="auto"/>
        <w:jc w:val="both"/>
        <w:rPr>
          <w:rFonts w:asciiTheme="minorHAnsi" w:hAnsiTheme="minorHAnsi" w:cstheme="minorHAnsi"/>
          <w:b/>
          <w:szCs w:val="24"/>
          <w:lang w:eastAsia="ar-SA"/>
        </w:rPr>
      </w:pPr>
      <w:r w:rsidRPr="006B6C4E">
        <w:rPr>
          <w:rFonts w:asciiTheme="minorHAnsi" w:hAnsiTheme="minorHAnsi" w:cstheme="minorHAnsi"/>
          <w:b/>
          <w:szCs w:val="24"/>
          <w:lang w:eastAsia="ar-SA"/>
        </w:rPr>
        <w:t>Produced by the Royal Commission o</w:t>
      </w:r>
      <w:r w:rsidR="002B2396" w:rsidRPr="006B6C4E">
        <w:rPr>
          <w:rFonts w:asciiTheme="minorHAnsi" w:hAnsiTheme="minorHAnsi" w:cstheme="minorHAnsi"/>
          <w:b/>
          <w:szCs w:val="24"/>
          <w:lang w:eastAsia="ar-SA"/>
        </w:rPr>
        <w:t>f</w:t>
      </w:r>
      <w:r w:rsidRPr="006B6C4E">
        <w:rPr>
          <w:rFonts w:asciiTheme="minorHAnsi" w:hAnsiTheme="minorHAnsi" w:cstheme="minorHAnsi"/>
          <w:b/>
          <w:szCs w:val="24"/>
          <w:lang w:eastAsia="ar-SA"/>
        </w:rPr>
        <w:t xml:space="preserve"> Inquiry into Historical Abuse in State Care and in the Care of Faith</w:t>
      </w:r>
      <w:r w:rsidR="002B2396" w:rsidRPr="006B6C4E">
        <w:rPr>
          <w:rFonts w:asciiTheme="minorHAnsi" w:hAnsiTheme="minorHAnsi" w:cstheme="minorHAnsi"/>
          <w:b/>
          <w:szCs w:val="24"/>
          <w:lang w:eastAsia="ar-SA"/>
        </w:rPr>
        <w:t>-b</w:t>
      </w:r>
      <w:r w:rsidRPr="006B6C4E">
        <w:rPr>
          <w:rFonts w:asciiTheme="minorHAnsi" w:hAnsiTheme="minorHAnsi" w:cstheme="minorHAnsi"/>
          <w:b/>
          <w:szCs w:val="24"/>
          <w:lang w:eastAsia="ar-SA"/>
        </w:rPr>
        <w:t>ased Institutions</w:t>
      </w:r>
    </w:p>
    <w:p w14:paraId="05BAF154" w14:textId="18CE3C92" w:rsidR="00D618DC" w:rsidRPr="0021051A" w:rsidRDefault="004C387B" w:rsidP="0057690E">
      <w:pPr>
        <w:spacing w:before="120" w:after="240" w:line="240" w:lineRule="auto"/>
        <w:jc w:val="both"/>
        <w:rPr>
          <w:rFonts w:asciiTheme="minorHAnsi" w:hAnsiTheme="minorHAnsi" w:cstheme="minorHAnsi"/>
          <w:szCs w:val="24"/>
          <w:lang w:eastAsia="ar-SA"/>
        </w:rPr>
      </w:pPr>
      <w:bookmarkStart w:id="0" w:name="_Hlk31120126"/>
      <w:r w:rsidRPr="0021051A">
        <w:rPr>
          <w:rFonts w:asciiTheme="minorHAnsi" w:hAnsiTheme="minorHAnsi" w:cstheme="minorHAnsi"/>
          <w:szCs w:val="24"/>
          <w:lang w:eastAsia="ar-SA"/>
        </w:rPr>
        <w:t>Wellington</w:t>
      </w:r>
    </w:p>
    <w:p w14:paraId="3C581F8D" w14:textId="7D964167" w:rsidR="00D0022C" w:rsidRPr="003F3913" w:rsidRDefault="00C77E59" w:rsidP="003F3913">
      <w:pPr>
        <w:spacing w:before="120" w:after="240" w:line="240" w:lineRule="auto"/>
        <w:jc w:val="both"/>
        <w:rPr>
          <w:rFonts w:asciiTheme="minorHAnsi" w:hAnsiTheme="minorHAnsi" w:cstheme="minorHAnsi"/>
          <w:szCs w:val="24"/>
          <w:lang w:eastAsia="ar-SA"/>
        </w:rPr>
      </w:pPr>
      <w:r>
        <w:rPr>
          <w:rFonts w:asciiTheme="minorHAnsi" w:hAnsiTheme="minorHAnsi" w:cstheme="minorHAnsi"/>
          <w:szCs w:val="24"/>
          <w:lang w:eastAsia="ar-SA"/>
        </w:rPr>
        <w:t xml:space="preserve">21 February </w:t>
      </w:r>
      <w:r w:rsidR="000544DB" w:rsidRPr="0021051A">
        <w:rPr>
          <w:rFonts w:asciiTheme="minorHAnsi" w:hAnsiTheme="minorHAnsi" w:cstheme="minorHAnsi"/>
          <w:szCs w:val="24"/>
          <w:lang w:eastAsia="ar-SA"/>
        </w:rPr>
        <w:t>2020</w:t>
      </w:r>
      <w:bookmarkStart w:id="1" w:name="_GoBack"/>
      <w:bookmarkEnd w:id="0"/>
      <w:bookmarkEnd w:id="1"/>
    </w:p>
    <w:sectPr w:rsidR="00D0022C" w:rsidRPr="003F3913" w:rsidSect="00D42694">
      <w:headerReference w:type="default" r:id="rId13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3FB53" w14:textId="77777777" w:rsidR="00806906" w:rsidRDefault="00806906" w:rsidP="00D42694">
      <w:pPr>
        <w:spacing w:after="0" w:line="240" w:lineRule="auto"/>
      </w:pPr>
      <w:r>
        <w:separator/>
      </w:r>
    </w:p>
  </w:endnote>
  <w:endnote w:type="continuationSeparator" w:id="0">
    <w:p w14:paraId="5EFC6649" w14:textId="77777777" w:rsidR="00806906" w:rsidRDefault="00806906" w:rsidP="00D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5CC1A" w14:textId="77777777" w:rsidR="00806906" w:rsidRDefault="00806906" w:rsidP="00D42694">
      <w:pPr>
        <w:spacing w:after="0" w:line="240" w:lineRule="auto"/>
      </w:pPr>
      <w:r>
        <w:separator/>
      </w:r>
    </w:p>
  </w:footnote>
  <w:footnote w:type="continuationSeparator" w:id="0">
    <w:p w14:paraId="34EDDD26" w14:textId="77777777" w:rsidR="00806906" w:rsidRDefault="00806906" w:rsidP="00D4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85800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7B8359" w14:textId="52163337" w:rsidR="00D42694" w:rsidRDefault="00D426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51127E" w14:textId="77777777" w:rsidR="00D42694" w:rsidRDefault="00D42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5BA"/>
    <w:multiLevelType w:val="multilevel"/>
    <w:tmpl w:val="724A0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C7750DA"/>
    <w:multiLevelType w:val="hybridMultilevel"/>
    <w:tmpl w:val="22F21180"/>
    <w:lvl w:ilvl="0" w:tplc="9D7E8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92A714C">
      <w:start w:val="1"/>
      <w:numFmt w:val="lowerLetter"/>
      <w:lvlText w:val="%2."/>
      <w:lvlJc w:val="left"/>
      <w:pPr>
        <w:ind w:left="1440" w:hanging="360"/>
      </w:pPr>
    </w:lvl>
    <w:lvl w:ilvl="2" w:tplc="D3FC239A">
      <w:start w:val="1"/>
      <w:numFmt w:val="lowerRoman"/>
      <w:lvlText w:val="%3."/>
      <w:lvlJc w:val="right"/>
      <w:pPr>
        <w:ind w:left="2160" w:hanging="180"/>
      </w:pPr>
    </w:lvl>
    <w:lvl w:ilvl="3" w:tplc="4F9C89FC">
      <w:start w:val="1"/>
      <w:numFmt w:val="decimal"/>
      <w:lvlText w:val="%4."/>
      <w:lvlJc w:val="left"/>
      <w:pPr>
        <w:ind w:left="2880" w:hanging="360"/>
      </w:pPr>
    </w:lvl>
    <w:lvl w:ilvl="4" w:tplc="FCBE923A">
      <w:start w:val="1"/>
      <w:numFmt w:val="lowerLetter"/>
      <w:lvlText w:val="%5."/>
      <w:lvlJc w:val="left"/>
      <w:pPr>
        <w:ind w:left="3600" w:hanging="360"/>
      </w:pPr>
    </w:lvl>
    <w:lvl w:ilvl="5" w:tplc="5FD847AC">
      <w:start w:val="1"/>
      <w:numFmt w:val="lowerRoman"/>
      <w:lvlText w:val="%6."/>
      <w:lvlJc w:val="right"/>
      <w:pPr>
        <w:ind w:left="4320" w:hanging="180"/>
      </w:pPr>
    </w:lvl>
    <w:lvl w:ilvl="6" w:tplc="F4286156">
      <w:start w:val="1"/>
      <w:numFmt w:val="decimal"/>
      <w:lvlText w:val="%7."/>
      <w:lvlJc w:val="left"/>
      <w:pPr>
        <w:ind w:left="5040" w:hanging="360"/>
      </w:pPr>
    </w:lvl>
    <w:lvl w:ilvl="7" w:tplc="A1DAC3CC">
      <w:start w:val="1"/>
      <w:numFmt w:val="lowerLetter"/>
      <w:lvlText w:val="%8."/>
      <w:lvlJc w:val="left"/>
      <w:pPr>
        <w:ind w:left="5760" w:hanging="360"/>
      </w:pPr>
    </w:lvl>
    <w:lvl w:ilvl="8" w:tplc="18CA50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271"/>
    <w:multiLevelType w:val="hybridMultilevel"/>
    <w:tmpl w:val="1E9CA7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4936E7"/>
    <w:multiLevelType w:val="hybridMultilevel"/>
    <w:tmpl w:val="CBB69E80"/>
    <w:lvl w:ilvl="0" w:tplc="30849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95EAB"/>
    <w:multiLevelType w:val="multilevel"/>
    <w:tmpl w:val="1CE2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000743"/>
    <w:multiLevelType w:val="hybridMultilevel"/>
    <w:tmpl w:val="44A4A924"/>
    <w:lvl w:ilvl="0" w:tplc="D1846C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3936C8"/>
    <w:multiLevelType w:val="hybridMultilevel"/>
    <w:tmpl w:val="9B1606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8" w15:restartNumberingAfterBreak="0">
    <w:nsid w:val="77653ABE"/>
    <w:multiLevelType w:val="hybridMultilevel"/>
    <w:tmpl w:val="1098D750"/>
    <w:lvl w:ilvl="0" w:tplc="67AEF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4D"/>
    <w:rsid w:val="00004B6F"/>
    <w:rsid w:val="00006610"/>
    <w:rsid w:val="00010B27"/>
    <w:rsid w:val="00011B35"/>
    <w:rsid w:val="00012A43"/>
    <w:rsid w:val="000149A8"/>
    <w:rsid w:val="000330F5"/>
    <w:rsid w:val="0003433E"/>
    <w:rsid w:val="00036B2B"/>
    <w:rsid w:val="000468AE"/>
    <w:rsid w:val="000544DB"/>
    <w:rsid w:val="0006342D"/>
    <w:rsid w:val="00066B50"/>
    <w:rsid w:val="000802B9"/>
    <w:rsid w:val="000869ED"/>
    <w:rsid w:val="00091099"/>
    <w:rsid w:val="000919A8"/>
    <w:rsid w:val="000A54AC"/>
    <w:rsid w:val="000C68D1"/>
    <w:rsid w:val="000E0A9A"/>
    <w:rsid w:val="000E2E7F"/>
    <w:rsid w:val="000E462D"/>
    <w:rsid w:val="000E6D37"/>
    <w:rsid w:val="00112A38"/>
    <w:rsid w:val="00120146"/>
    <w:rsid w:val="0012076C"/>
    <w:rsid w:val="00124645"/>
    <w:rsid w:val="00130560"/>
    <w:rsid w:val="00130617"/>
    <w:rsid w:val="00145DCA"/>
    <w:rsid w:val="001503A1"/>
    <w:rsid w:val="00150766"/>
    <w:rsid w:val="0015757D"/>
    <w:rsid w:val="00164F1E"/>
    <w:rsid w:val="00182D4D"/>
    <w:rsid w:val="00183753"/>
    <w:rsid w:val="001A1C48"/>
    <w:rsid w:val="001A51E1"/>
    <w:rsid w:val="001C55BB"/>
    <w:rsid w:val="001C5D68"/>
    <w:rsid w:val="001C5D99"/>
    <w:rsid w:val="001C6F40"/>
    <w:rsid w:val="001D7B88"/>
    <w:rsid w:val="001D7CF1"/>
    <w:rsid w:val="001E04DA"/>
    <w:rsid w:val="001E2A90"/>
    <w:rsid w:val="001E3C2B"/>
    <w:rsid w:val="001E63D5"/>
    <w:rsid w:val="00200BF1"/>
    <w:rsid w:val="0020273E"/>
    <w:rsid w:val="0021051A"/>
    <w:rsid w:val="00215EB1"/>
    <w:rsid w:val="00216181"/>
    <w:rsid w:val="00230915"/>
    <w:rsid w:val="002441BC"/>
    <w:rsid w:val="002446B7"/>
    <w:rsid w:val="00253E84"/>
    <w:rsid w:val="00257AE4"/>
    <w:rsid w:val="00270C12"/>
    <w:rsid w:val="00286667"/>
    <w:rsid w:val="002926D4"/>
    <w:rsid w:val="002A240F"/>
    <w:rsid w:val="002A30E8"/>
    <w:rsid w:val="002A675C"/>
    <w:rsid w:val="002B2396"/>
    <w:rsid w:val="002C3BD5"/>
    <w:rsid w:val="002C40CE"/>
    <w:rsid w:val="002C68A5"/>
    <w:rsid w:val="002C7EE7"/>
    <w:rsid w:val="002D009F"/>
    <w:rsid w:val="002F15F6"/>
    <w:rsid w:val="002F37BD"/>
    <w:rsid w:val="002F4035"/>
    <w:rsid w:val="00302612"/>
    <w:rsid w:val="00311ECD"/>
    <w:rsid w:val="0032270F"/>
    <w:rsid w:val="003426F7"/>
    <w:rsid w:val="003464C2"/>
    <w:rsid w:val="00351D46"/>
    <w:rsid w:val="00353691"/>
    <w:rsid w:val="00357766"/>
    <w:rsid w:val="003629D6"/>
    <w:rsid w:val="00376CC0"/>
    <w:rsid w:val="0038225B"/>
    <w:rsid w:val="00385363"/>
    <w:rsid w:val="003975DF"/>
    <w:rsid w:val="003A6516"/>
    <w:rsid w:val="003B2F1D"/>
    <w:rsid w:val="003B638A"/>
    <w:rsid w:val="003C356A"/>
    <w:rsid w:val="003C551C"/>
    <w:rsid w:val="003E10FA"/>
    <w:rsid w:val="003F3913"/>
    <w:rsid w:val="00401BB6"/>
    <w:rsid w:val="00411D9C"/>
    <w:rsid w:val="00413788"/>
    <w:rsid w:val="0041748A"/>
    <w:rsid w:val="00426ADC"/>
    <w:rsid w:val="00427EEB"/>
    <w:rsid w:val="0043541B"/>
    <w:rsid w:val="004359E0"/>
    <w:rsid w:val="00443194"/>
    <w:rsid w:val="004468BD"/>
    <w:rsid w:val="0046198D"/>
    <w:rsid w:val="00462F46"/>
    <w:rsid w:val="00464DD0"/>
    <w:rsid w:val="0047110E"/>
    <w:rsid w:val="00477E60"/>
    <w:rsid w:val="00484C61"/>
    <w:rsid w:val="004A38E3"/>
    <w:rsid w:val="004A636D"/>
    <w:rsid w:val="004B6AC2"/>
    <w:rsid w:val="004C387B"/>
    <w:rsid w:val="004C7C3B"/>
    <w:rsid w:val="004C7F61"/>
    <w:rsid w:val="004D1DE7"/>
    <w:rsid w:val="004E2397"/>
    <w:rsid w:val="004F2E11"/>
    <w:rsid w:val="0051377B"/>
    <w:rsid w:val="00515DA1"/>
    <w:rsid w:val="00516132"/>
    <w:rsid w:val="00516389"/>
    <w:rsid w:val="0052023D"/>
    <w:rsid w:val="005220AF"/>
    <w:rsid w:val="005228F0"/>
    <w:rsid w:val="00524979"/>
    <w:rsid w:val="00526262"/>
    <w:rsid w:val="00526332"/>
    <w:rsid w:val="005279E9"/>
    <w:rsid w:val="00532199"/>
    <w:rsid w:val="0054213D"/>
    <w:rsid w:val="0054441E"/>
    <w:rsid w:val="005473BE"/>
    <w:rsid w:val="00554F6C"/>
    <w:rsid w:val="005611AF"/>
    <w:rsid w:val="005636AB"/>
    <w:rsid w:val="0056791F"/>
    <w:rsid w:val="0057690E"/>
    <w:rsid w:val="00591C20"/>
    <w:rsid w:val="00596636"/>
    <w:rsid w:val="005A3B88"/>
    <w:rsid w:val="005A427E"/>
    <w:rsid w:val="005A78DC"/>
    <w:rsid w:val="005B0128"/>
    <w:rsid w:val="005B0221"/>
    <w:rsid w:val="005B023A"/>
    <w:rsid w:val="005C1A9A"/>
    <w:rsid w:val="005D05F4"/>
    <w:rsid w:val="005D3E04"/>
    <w:rsid w:val="005D4D19"/>
    <w:rsid w:val="005D6313"/>
    <w:rsid w:val="005E32AC"/>
    <w:rsid w:val="0060488A"/>
    <w:rsid w:val="00606D47"/>
    <w:rsid w:val="00607A33"/>
    <w:rsid w:val="00611CE8"/>
    <w:rsid w:val="00617EFF"/>
    <w:rsid w:val="006250F3"/>
    <w:rsid w:val="0063290A"/>
    <w:rsid w:val="00636C1B"/>
    <w:rsid w:val="00636EB9"/>
    <w:rsid w:val="00646C55"/>
    <w:rsid w:val="00693606"/>
    <w:rsid w:val="006942DA"/>
    <w:rsid w:val="006A1732"/>
    <w:rsid w:val="006A2192"/>
    <w:rsid w:val="006A3C78"/>
    <w:rsid w:val="006B262E"/>
    <w:rsid w:val="006B2F8E"/>
    <w:rsid w:val="006B5B4F"/>
    <w:rsid w:val="006B6C4E"/>
    <w:rsid w:val="006C3D04"/>
    <w:rsid w:val="006D1013"/>
    <w:rsid w:val="006D6684"/>
    <w:rsid w:val="006F1128"/>
    <w:rsid w:val="00713D53"/>
    <w:rsid w:val="00722283"/>
    <w:rsid w:val="00723A4F"/>
    <w:rsid w:val="00742A38"/>
    <w:rsid w:val="0074496C"/>
    <w:rsid w:val="00746783"/>
    <w:rsid w:val="0075217B"/>
    <w:rsid w:val="00752C2D"/>
    <w:rsid w:val="00760C31"/>
    <w:rsid w:val="00761511"/>
    <w:rsid w:val="007643F4"/>
    <w:rsid w:val="00774C3C"/>
    <w:rsid w:val="00781358"/>
    <w:rsid w:val="007A3456"/>
    <w:rsid w:val="007B1543"/>
    <w:rsid w:val="007C0288"/>
    <w:rsid w:val="007C31F1"/>
    <w:rsid w:val="007C7AA2"/>
    <w:rsid w:val="007D375F"/>
    <w:rsid w:val="007E2FA8"/>
    <w:rsid w:val="00801CE3"/>
    <w:rsid w:val="00803362"/>
    <w:rsid w:val="00806906"/>
    <w:rsid w:val="0080742D"/>
    <w:rsid w:val="0081013F"/>
    <w:rsid w:val="00813387"/>
    <w:rsid w:val="0081606D"/>
    <w:rsid w:val="00822E24"/>
    <w:rsid w:val="00833774"/>
    <w:rsid w:val="008410C3"/>
    <w:rsid w:val="008431D4"/>
    <w:rsid w:val="00843CA6"/>
    <w:rsid w:val="008545CE"/>
    <w:rsid w:val="00871F90"/>
    <w:rsid w:val="0088200B"/>
    <w:rsid w:val="008907C6"/>
    <w:rsid w:val="00896CFE"/>
    <w:rsid w:val="008970D1"/>
    <w:rsid w:val="008A0568"/>
    <w:rsid w:val="008B1EED"/>
    <w:rsid w:val="008B345E"/>
    <w:rsid w:val="008B5FE1"/>
    <w:rsid w:val="008D26D1"/>
    <w:rsid w:val="008E4AE1"/>
    <w:rsid w:val="008F0A32"/>
    <w:rsid w:val="008F4D83"/>
    <w:rsid w:val="00900B3A"/>
    <w:rsid w:val="0090185F"/>
    <w:rsid w:val="0090415E"/>
    <w:rsid w:val="009119B0"/>
    <w:rsid w:val="00911DFC"/>
    <w:rsid w:val="009172E3"/>
    <w:rsid w:val="00927254"/>
    <w:rsid w:val="00931A45"/>
    <w:rsid w:val="00946603"/>
    <w:rsid w:val="00946B0B"/>
    <w:rsid w:val="00947B3C"/>
    <w:rsid w:val="00947C68"/>
    <w:rsid w:val="009577DB"/>
    <w:rsid w:val="009579EF"/>
    <w:rsid w:val="00982699"/>
    <w:rsid w:val="00984464"/>
    <w:rsid w:val="0099515C"/>
    <w:rsid w:val="00997722"/>
    <w:rsid w:val="009A1600"/>
    <w:rsid w:val="009B2164"/>
    <w:rsid w:val="009D2D72"/>
    <w:rsid w:val="009D336B"/>
    <w:rsid w:val="009E0F51"/>
    <w:rsid w:val="009E68B3"/>
    <w:rsid w:val="009F0C0F"/>
    <w:rsid w:val="009F163F"/>
    <w:rsid w:val="00A076A8"/>
    <w:rsid w:val="00A07F5D"/>
    <w:rsid w:val="00A16AAF"/>
    <w:rsid w:val="00A232BA"/>
    <w:rsid w:val="00A2440F"/>
    <w:rsid w:val="00A25D1B"/>
    <w:rsid w:val="00A3295B"/>
    <w:rsid w:val="00A33EA0"/>
    <w:rsid w:val="00A37808"/>
    <w:rsid w:val="00A42906"/>
    <w:rsid w:val="00A560F0"/>
    <w:rsid w:val="00A57F49"/>
    <w:rsid w:val="00A64A14"/>
    <w:rsid w:val="00A87D62"/>
    <w:rsid w:val="00AB120D"/>
    <w:rsid w:val="00AC2519"/>
    <w:rsid w:val="00AC444B"/>
    <w:rsid w:val="00AD0906"/>
    <w:rsid w:val="00AD0B75"/>
    <w:rsid w:val="00AE1CBF"/>
    <w:rsid w:val="00AE5504"/>
    <w:rsid w:val="00AF4E40"/>
    <w:rsid w:val="00AF50C8"/>
    <w:rsid w:val="00B01B48"/>
    <w:rsid w:val="00B0690A"/>
    <w:rsid w:val="00B076C1"/>
    <w:rsid w:val="00B232C7"/>
    <w:rsid w:val="00B2560E"/>
    <w:rsid w:val="00B33386"/>
    <w:rsid w:val="00B464BF"/>
    <w:rsid w:val="00B60679"/>
    <w:rsid w:val="00B60AE4"/>
    <w:rsid w:val="00B62947"/>
    <w:rsid w:val="00B6742C"/>
    <w:rsid w:val="00B67AEB"/>
    <w:rsid w:val="00B71ED3"/>
    <w:rsid w:val="00B83ABB"/>
    <w:rsid w:val="00B842BC"/>
    <w:rsid w:val="00B96623"/>
    <w:rsid w:val="00BA5DEF"/>
    <w:rsid w:val="00BB036E"/>
    <w:rsid w:val="00BC0117"/>
    <w:rsid w:val="00BC4CB8"/>
    <w:rsid w:val="00BC69D5"/>
    <w:rsid w:val="00BE1893"/>
    <w:rsid w:val="00BE55F2"/>
    <w:rsid w:val="00C0329D"/>
    <w:rsid w:val="00C13DD3"/>
    <w:rsid w:val="00C30EB0"/>
    <w:rsid w:val="00C40FE4"/>
    <w:rsid w:val="00C46125"/>
    <w:rsid w:val="00C50B3A"/>
    <w:rsid w:val="00C6270C"/>
    <w:rsid w:val="00C70FBD"/>
    <w:rsid w:val="00C72CAC"/>
    <w:rsid w:val="00C73926"/>
    <w:rsid w:val="00C73B95"/>
    <w:rsid w:val="00C77E59"/>
    <w:rsid w:val="00C839AA"/>
    <w:rsid w:val="00C87F03"/>
    <w:rsid w:val="00CA6709"/>
    <w:rsid w:val="00CB1E99"/>
    <w:rsid w:val="00CB2FD3"/>
    <w:rsid w:val="00CB6C0F"/>
    <w:rsid w:val="00CC07F8"/>
    <w:rsid w:val="00CC51BC"/>
    <w:rsid w:val="00CE07BB"/>
    <w:rsid w:val="00CE7BA1"/>
    <w:rsid w:val="00CF4ABB"/>
    <w:rsid w:val="00CF5CD8"/>
    <w:rsid w:val="00CF6FE5"/>
    <w:rsid w:val="00D0022C"/>
    <w:rsid w:val="00D06E6D"/>
    <w:rsid w:val="00D13A31"/>
    <w:rsid w:val="00D217AF"/>
    <w:rsid w:val="00D30758"/>
    <w:rsid w:val="00D42694"/>
    <w:rsid w:val="00D42C73"/>
    <w:rsid w:val="00D61270"/>
    <w:rsid w:val="00D618DC"/>
    <w:rsid w:val="00D63D75"/>
    <w:rsid w:val="00D95AAF"/>
    <w:rsid w:val="00D95ED6"/>
    <w:rsid w:val="00DA5C7E"/>
    <w:rsid w:val="00DB7643"/>
    <w:rsid w:val="00DC58A0"/>
    <w:rsid w:val="00DE379E"/>
    <w:rsid w:val="00DE6065"/>
    <w:rsid w:val="00DE612D"/>
    <w:rsid w:val="00DE6FA2"/>
    <w:rsid w:val="00E00936"/>
    <w:rsid w:val="00E07C4E"/>
    <w:rsid w:val="00E15620"/>
    <w:rsid w:val="00E30FF6"/>
    <w:rsid w:val="00E33A9D"/>
    <w:rsid w:val="00E40A0E"/>
    <w:rsid w:val="00E41F7A"/>
    <w:rsid w:val="00E44CBA"/>
    <w:rsid w:val="00E5211C"/>
    <w:rsid w:val="00E550CA"/>
    <w:rsid w:val="00E60DDF"/>
    <w:rsid w:val="00E63419"/>
    <w:rsid w:val="00E638BA"/>
    <w:rsid w:val="00E66768"/>
    <w:rsid w:val="00E71552"/>
    <w:rsid w:val="00E7244D"/>
    <w:rsid w:val="00E82178"/>
    <w:rsid w:val="00EA735C"/>
    <w:rsid w:val="00EB2209"/>
    <w:rsid w:val="00EB33B4"/>
    <w:rsid w:val="00EB51A8"/>
    <w:rsid w:val="00EB5CC3"/>
    <w:rsid w:val="00EC06FB"/>
    <w:rsid w:val="00EC221E"/>
    <w:rsid w:val="00EC360D"/>
    <w:rsid w:val="00EC51D3"/>
    <w:rsid w:val="00EC5B4B"/>
    <w:rsid w:val="00EC5EED"/>
    <w:rsid w:val="00ED0B4D"/>
    <w:rsid w:val="00ED17FB"/>
    <w:rsid w:val="00ED1E90"/>
    <w:rsid w:val="00ED2697"/>
    <w:rsid w:val="00ED2821"/>
    <w:rsid w:val="00ED4563"/>
    <w:rsid w:val="00ED5EDA"/>
    <w:rsid w:val="00EE4B67"/>
    <w:rsid w:val="00EE4CA2"/>
    <w:rsid w:val="00EF082B"/>
    <w:rsid w:val="00EF2ADA"/>
    <w:rsid w:val="00F0223A"/>
    <w:rsid w:val="00F100E1"/>
    <w:rsid w:val="00F2536D"/>
    <w:rsid w:val="00F3196E"/>
    <w:rsid w:val="00F33E05"/>
    <w:rsid w:val="00F4325C"/>
    <w:rsid w:val="00F60C19"/>
    <w:rsid w:val="00F7336D"/>
    <w:rsid w:val="00F849BF"/>
    <w:rsid w:val="00F8646F"/>
    <w:rsid w:val="00F907A3"/>
    <w:rsid w:val="00F95EE7"/>
    <w:rsid w:val="00F97C4A"/>
    <w:rsid w:val="00FA09DD"/>
    <w:rsid w:val="00FA2D23"/>
    <w:rsid w:val="00FA452D"/>
    <w:rsid w:val="00FA6D02"/>
    <w:rsid w:val="00FB6331"/>
    <w:rsid w:val="00FB7A92"/>
    <w:rsid w:val="00FC3A7C"/>
    <w:rsid w:val="00FC63DD"/>
    <w:rsid w:val="00FD3F0D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7753"/>
  <w15:docId w15:val="{4A1694E3-6A22-DC42-A3C2-357BAD4C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uiPriority w:val="1"/>
    <w:qFormat/>
    <w:rsid w:val="00ED0B4D"/>
    <w:pPr>
      <w:pBdr>
        <w:top w:val="single" w:sz="4" w:space="12" w:color="000000"/>
        <w:bottom w:val="single" w:sz="4" w:space="12" w:color="000000"/>
      </w:pBdr>
      <w:tabs>
        <w:tab w:val="left" w:pos="5103"/>
      </w:tabs>
      <w:suppressAutoHyphens/>
      <w:spacing w:after="0" w:line="240" w:lineRule="auto"/>
      <w:jc w:val="center"/>
      <w:outlineLvl w:val="0"/>
    </w:pPr>
    <w:rPr>
      <w:rFonts w:ascii="Times New Roman" w:eastAsia="Arial" w:hAnsi="Times New Roman"/>
      <w:b/>
      <w:kern w:val="1"/>
      <w:sz w:val="24"/>
      <w:szCs w:val="20"/>
      <w:lang w:eastAsia="ar-SA"/>
    </w:rPr>
  </w:style>
  <w:style w:type="character" w:customStyle="1" w:styleId="Style1Char">
    <w:name w:val="Style1 Char"/>
    <w:link w:val="Style1"/>
    <w:uiPriority w:val="1"/>
    <w:rsid w:val="00ED0B4D"/>
    <w:rPr>
      <w:rFonts w:ascii="Times New Roman" w:eastAsia="Arial" w:hAnsi="Times New Roman" w:cs="Times New Roman"/>
      <w:b/>
      <w:kern w:val="1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D0B4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5D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4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2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9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2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94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D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D6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7D6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87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1E1"/>
    <w:rPr>
      <w:color w:val="800080" w:themeColor="followedHyperlink"/>
      <w:u w:val="single"/>
    </w:rPr>
  </w:style>
  <w:style w:type="paragraph" w:customStyle="1" w:styleId="List123">
    <w:name w:val="List 1 2 3"/>
    <w:basedOn w:val="Normal"/>
    <w:rsid w:val="00D0022C"/>
    <w:pPr>
      <w:keepLines/>
      <w:numPr>
        <w:numId w:val="7"/>
      </w:numPr>
      <w:spacing w:before="80" w:after="80" w:line="240" w:lineRule="auto"/>
    </w:pPr>
    <w:rPr>
      <w:rFonts w:eastAsiaTheme="minorHAnsi"/>
      <w:sz w:val="24"/>
      <w:szCs w:val="24"/>
    </w:rPr>
  </w:style>
  <w:style w:type="paragraph" w:customStyle="1" w:styleId="List123level2">
    <w:name w:val="List 1 2 3 level 2"/>
    <w:basedOn w:val="Normal"/>
    <w:uiPriority w:val="1"/>
    <w:semiHidden/>
    <w:qFormat/>
    <w:rsid w:val="00D0022C"/>
    <w:pPr>
      <w:keepLines/>
      <w:numPr>
        <w:ilvl w:val="1"/>
        <w:numId w:val="7"/>
      </w:numPr>
      <w:spacing w:before="80" w:after="80" w:line="240" w:lineRule="auto"/>
    </w:pPr>
    <w:rPr>
      <w:rFonts w:eastAsiaTheme="minorHAnsi"/>
      <w:sz w:val="24"/>
      <w:szCs w:val="24"/>
    </w:rPr>
  </w:style>
  <w:style w:type="paragraph" w:customStyle="1" w:styleId="List123level3">
    <w:name w:val="List 1 2 3 level 3"/>
    <w:basedOn w:val="Normal"/>
    <w:uiPriority w:val="1"/>
    <w:semiHidden/>
    <w:qFormat/>
    <w:rsid w:val="00D0022C"/>
    <w:pPr>
      <w:keepLines/>
      <w:numPr>
        <w:ilvl w:val="2"/>
        <w:numId w:val="7"/>
      </w:numPr>
      <w:spacing w:before="80" w:after="80" w:line="240" w:lineRule="auto"/>
    </w:pPr>
    <w:rPr>
      <w:rFonts w:eastAsiaTheme="minorHAnsi"/>
      <w:sz w:val="24"/>
      <w:szCs w:val="24"/>
    </w:rPr>
  </w:style>
  <w:style w:type="paragraph" w:customStyle="1" w:styleId="xmsolistparagraph">
    <w:name w:val="x_msolistparagraph"/>
    <w:basedOn w:val="Normal"/>
    <w:rsid w:val="006B2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4A636D"/>
  </w:style>
  <w:style w:type="character" w:styleId="CommentReference">
    <w:name w:val="annotation reference"/>
    <w:basedOn w:val="DefaultParagraphFont"/>
    <w:uiPriority w:val="99"/>
    <w:semiHidden/>
    <w:unhideWhenUsed/>
    <w:rsid w:val="00342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6F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6F7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64F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buseincare.org.nz/library/v/93/minute-5-redress-he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222FEF4C585468174404E603B3197" ma:contentTypeVersion="12" ma:contentTypeDescription="Create a new document." ma:contentTypeScope="" ma:versionID="e6da1875b6a2489cb8f7e357e8fa3dfd">
  <xsd:schema xmlns:xsd="http://www.w3.org/2001/XMLSchema" xmlns:xs="http://www.w3.org/2001/XMLSchema" xmlns:p="http://schemas.microsoft.com/office/2006/metadata/properties" xmlns:ns2="c1bbcd95-0181-462d-9c52-e702bfb7079d" xmlns:ns3="0035bf68-3af0-40a9-aecb-4b07af5a9f0a" targetNamespace="http://schemas.microsoft.com/office/2006/metadata/properties" ma:root="true" ma:fieldsID="5b4570c0018edc0f02fbc4d7acfc028c" ns2:_="" ns3:_="">
    <xsd:import namespace="c1bbcd95-0181-462d-9c52-e702bfb7079d"/>
    <xsd:import namespace="0035bf68-3af0-40a9-aecb-4b07af5a9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cd95-0181-462d-9c52-e702bfb70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5bf68-3af0-40a9-aecb-4b07af5a9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0039-C297-4794-A392-8662066CBB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8F712-4AFE-4AFB-A4B7-7C1BD0BB2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bcd95-0181-462d-9c52-e702bfb7079d"/>
    <ds:schemaRef ds:uri="0035bf68-3af0-40a9-aecb-4b07af5a9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6C39C-C110-474D-BE2A-56A249F44F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74B71-89C1-4F67-8B2E-D392DE3A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Coroner</dc:creator>
  <cp:lastModifiedBy>Hanne Janes</cp:lastModifiedBy>
  <cp:revision>2</cp:revision>
  <cp:lastPrinted>2020-01-28T01:02:00Z</cp:lastPrinted>
  <dcterms:created xsi:type="dcterms:W3CDTF">2020-02-21T04:53:00Z</dcterms:created>
  <dcterms:modified xsi:type="dcterms:W3CDTF">2020-02-21T04:53:00Z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0x010100F5C222FEF4C585468174404E603B3197</vt:lpwstr>
  </property>
</Properties>
</file>