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C11D7" w14:textId="423B2204" w:rsidR="00010D54" w:rsidRDefault="00010D54" w:rsidP="00010D54">
      <w:pPr>
        <w:ind w:left="567"/>
        <w:rPr>
          <w:b/>
          <w:bCs/>
        </w:rPr>
      </w:pPr>
      <w:r>
        <w:rPr>
          <w:b/>
          <w:bCs/>
          <w:noProof/>
        </w:rPr>
        <w:drawing>
          <wp:inline distT="0" distB="0" distL="0" distR="0" wp14:anchorId="7194D382" wp14:editId="499582C4">
            <wp:extent cx="5731510" cy="3223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 Logo White .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inline>
        </w:drawing>
      </w:r>
    </w:p>
    <w:p w14:paraId="2686298E" w14:textId="4D85346B" w:rsidR="00010D54" w:rsidRDefault="00010D54" w:rsidP="00010D54">
      <w:pPr>
        <w:ind w:left="567"/>
        <w:rPr>
          <w:b/>
          <w:bCs/>
        </w:rPr>
      </w:pPr>
    </w:p>
    <w:p w14:paraId="62A97D7E" w14:textId="248151AB" w:rsidR="00010D54" w:rsidRDefault="00010D54" w:rsidP="00010D54">
      <w:pPr>
        <w:ind w:left="567"/>
        <w:rPr>
          <w:b/>
          <w:bCs/>
        </w:rPr>
      </w:pPr>
      <w:r>
        <w:rPr>
          <w:b/>
          <w:bCs/>
        </w:rPr>
        <w:t>_____________________________________________________________________________</w:t>
      </w:r>
    </w:p>
    <w:p w14:paraId="67A8B06D" w14:textId="77777777" w:rsidR="00010D54" w:rsidRDefault="00010D54" w:rsidP="00010D54">
      <w:pPr>
        <w:ind w:left="567"/>
        <w:rPr>
          <w:b/>
          <w:bCs/>
        </w:rPr>
      </w:pPr>
    </w:p>
    <w:p w14:paraId="26CBA1FE" w14:textId="71176371" w:rsidR="005C409F" w:rsidRDefault="0083618B" w:rsidP="00010D54">
      <w:pPr>
        <w:ind w:left="567"/>
        <w:jc w:val="center"/>
        <w:rPr>
          <w:rFonts w:ascii="Arial" w:hAnsi="Arial" w:cs="Arial"/>
          <w:b/>
          <w:bCs/>
          <w:sz w:val="24"/>
          <w:szCs w:val="24"/>
        </w:rPr>
      </w:pPr>
      <w:r>
        <w:rPr>
          <w:rFonts w:ascii="Arial" w:hAnsi="Arial" w:cs="Arial"/>
          <w:b/>
          <w:bCs/>
          <w:sz w:val="24"/>
          <w:szCs w:val="24"/>
        </w:rPr>
        <w:t xml:space="preserve">PUBLIC </w:t>
      </w:r>
      <w:r w:rsidR="00010D54" w:rsidRPr="0083618B">
        <w:rPr>
          <w:rFonts w:ascii="Arial" w:hAnsi="Arial" w:cs="Arial"/>
          <w:b/>
          <w:bCs/>
          <w:sz w:val="24"/>
          <w:szCs w:val="24"/>
        </w:rPr>
        <w:t xml:space="preserve">HEARING </w:t>
      </w:r>
      <w:r>
        <w:rPr>
          <w:rFonts w:ascii="Arial" w:hAnsi="Arial" w:cs="Arial"/>
          <w:b/>
          <w:bCs/>
          <w:sz w:val="24"/>
          <w:szCs w:val="24"/>
        </w:rPr>
        <w:t>– MARCH 2020</w:t>
      </w:r>
      <w:r w:rsidR="005C409F">
        <w:rPr>
          <w:rFonts w:ascii="Arial" w:hAnsi="Arial" w:cs="Arial"/>
          <w:b/>
          <w:bCs/>
          <w:sz w:val="24"/>
          <w:szCs w:val="24"/>
        </w:rPr>
        <w:t xml:space="preserve"> </w:t>
      </w:r>
    </w:p>
    <w:p w14:paraId="23D7345D" w14:textId="21F42DE8" w:rsidR="00010D54" w:rsidRDefault="00010D54" w:rsidP="00010D54">
      <w:pPr>
        <w:ind w:left="567"/>
        <w:jc w:val="center"/>
        <w:rPr>
          <w:rFonts w:ascii="Arial" w:hAnsi="Arial" w:cs="Arial"/>
          <w:b/>
          <w:bCs/>
          <w:sz w:val="24"/>
          <w:szCs w:val="24"/>
        </w:rPr>
      </w:pPr>
      <w:r w:rsidRPr="0083618B">
        <w:rPr>
          <w:rFonts w:ascii="Arial" w:hAnsi="Arial" w:cs="Arial"/>
          <w:b/>
          <w:bCs/>
          <w:sz w:val="24"/>
          <w:szCs w:val="24"/>
        </w:rPr>
        <w:t xml:space="preserve">CIVIL CLAIMS AND CIVIL LITIGATION REDRESS PROCESSES RELATING TO ABUSE IN STATE CARE </w:t>
      </w:r>
    </w:p>
    <w:p w14:paraId="0C69755C" w14:textId="77777777" w:rsidR="005C409F" w:rsidRDefault="005C409F" w:rsidP="005C409F">
      <w:pPr>
        <w:pBdr>
          <w:bottom w:val="single" w:sz="12" w:space="1" w:color="auto"/>
        </w:pBdr>
        <w:ind w:left="567"/>
        <w:jc w:val="center"/>
        <w:rPr>
          <w:b/>
          <w:bCs/>
        </w:rPr>
      </w:pPr>
    </w:p>
    <w:p w14:paraId="44C7F222" w14:textId="77777777" w:rsidR="005C409F" w:rsidRDefault="005C409F" w:rsidP="005C409F">
      <w:pPr>
        <w:ind w:left="567"/>
        <w:rPr>
          <w:b/>
          <w:bCs/>
        </w:rPr>
      </w:pPr>
    </w:p>
    <w:p w14:paraId="2F91EAC2" w14:textId="0BE7E747" w:rsidR="005C409F" w:rsidRDefault="005C409F" w:rsidP="00010D54">
      <w:pPr>
        <w:ind w:left="567"/>
        <w:jc w:val="center"/>
        <w:rPr>
          <w:rFonts w:ascii="Arial" w:hAnsi="Arial" w:cs="Arial"/>
          <w:b/>
          <w:bCs/>
          <w:sz w:val="24"/>
          <w:szCs w:val="24"/>
        </w:rPr>
      </w:pPr>
    </w:p>
    <w:p w14:paraId="5AA03741" w14:textId="4F7495C0" w:rsidR="005C409F" w:rsidRDefault="005C409F" w:rsidP="00010D54">
      <w:pPr>
        <w:ind w:left="567"/>
        <w:jc w:val="center"/>
        <w:rPr>
          <w:rFonts w:ascii="Arial" w:hAnsi="Arial" w:cs="Arial"/>
          <w:b/>
          <w:bCs/>
          <w:sz w:val="24"/>
          <w:szCs w:val="24"/>
        </w:rPr>
      </w:pPr>
    </w:p>
    <w:p w14:paraId="166F9B47" w14:textId="4F92D690" w:rsidR="005C409F" w:rsidRDefault="005C409F" w:rsidP="005C409F">
      <w:pPr>
        <w:pStyle w:val="NoSpacing"/>
        <w:jc w:val="center"/>
        <w:rPr>
          <w:rFonts w:ascii="Arial" w:hAnsi="Arial" w:cs="Arial"/>
          <w:b/>
          <w:bCs/>
          <w:sz w:val="24"/>
          <w:szCs w:val="24"/>
        </w:rPr>
      </w:pPr>
      <w:r w:rsidRPr="005C409F">
        <w:rPr>
          <w:rFonts w:ascii="Arial" w:hAnsi="Arial" w:cs="Arial"/>
          <w:b/>
          <w:bCs/>
          <w:sz w:val="24"/>
          <w:szCs w:val="24"/>
        </w:rPr>
        <w:t>BRIEFING PAPER</w:t>
      </w:r>
      <w:bookmarkStart w:id="0" w:name="_GoBack"/>
      <w:bookmarkEnd w:id="0"/>
      <w:r>
        <w:rPr>
          <w:rFonts w:ascii="Arial" w:hAnsi="Arial" w:cs="Arial"/>
          <w:b/>
          <w:bCs/>
          <w:sz w:val="24"/>
          <w:szCs w:val="24"/>
        </w:rPr>
        <w:t>:</w:t>
      </w:r>
    </w:p>
    <w:p w14:paraId="4796B35E" w14:textId="77777777" w:rsidR="005C409F" w:rsidRDefault="005C409F" w:rsidP="005C409F">
      <w:pPr>
        <w:pStyle w:val="NoSpacing"/>
        <w:jc w:val="center"/>
        <w:rPr>
          <w:rFonts w:ascii="Arial" w:hAnsi="Arial" w:cs="Arial"/>
          <w:b/>
          <w:bCs/>
          <w:sz w:val="24"/>
          <w:szCs w:val="24"/>
        </w:rPr>
      </w:pPr>
    </w:p>
    <w:p w14:paraId="45216124" w14:textId="52A4A212" w:rsidR="005C409F" w:rsidRDefault="005C409F" w:rsidP="005C409F">
      <w:pPr>
        <w:pStyle w:val="NoSpacing"/>
        <w:jc w:val="center"/>
        <w:rPr>
          <w:rFonts w:ascii="Arial" w:hAnsi="Arial" w:cs="Arial"/>
          <w:b/>
          <w:bCs/>
          <w:sz w:val="24"/>
          <w:szCs w:val="24"/>
        </w:rPr>
      </w:pPr>
      <w:r w:rsidRPr="005C409F">
        <w:rPr>
          <w:rFonts w:ascii="Arial" w:hAnsi="Arial" w:cs="Arial"/>
          <w:b/>
          <w:bCs/>
          <w:sz w:val="24"/>
          <w:szCs w:val="24"/>
        </w:rPr>
        <w:t xml:space="preserve">FINDINGS AND RECOMMENDATIONS ON </w:t>
      </w:r>
    </w:p>
    <w:p w14:paraId="4126BC20" w14:textId="77777777" w:rsidR="005C409F" w:rsidRDefault="005C409F" w:rsidP="005C409F">
      <w:pPr>
        <w:pStyle w:val="NoSpacing"/>
        <w:jc w:val="center"/>
        <w:rPr>
          <w:rFonts w:ascii="Arial" w:hAnsi="Arial" w:cs="Arial"/>
          <w:b/>
          <w:bCs/>
          <w:sz w:val="24"/>
          <w:szCs w:val="24"/>
        </w:rPr>
      </w:pPr>
      <w:r w:rsidRPr="005C409F">
        <w:rPr>
          <w:rFonts w:ascii="Arial" w:hAnsi="Arial" w:cs="Arial"/>
          <w:b/>
          <w:bCs/>
          <w:sz w:val="24"/>
          <w:szCs w:val="24"/>
        </w:rPr>
        <w:t>REDRESS AND REHABILITATION PROCESSES</w:t>
      </w:r>
      <w:r>
        <w:rPr>
          <w:rFonts w:ascii="Arial" w:hAnsi="Arial" w:cs="Arial"/>
          <w:b/>
          <w:bCs/>
          <w:sz w:val="24"/>
          <w:szCs w:val="24"/>
        </w:rPr>
        <w:t xml:space="preserve"> </w:t>
      </w:r>
    </w:p>
    <w:p w14:paraId="1537FD04" w14:textId="77777777" w:rsidR="005C409F" w:rsidRDefault="005C409F" w:rsidP="005C409F">
      <w:pPr>
        <w:pStyle w:val="NoSpacing"/>
        <w:jc w:val="center"/>
        <w:rPr>
          <w:rFonts w:ascii="Arial" w:hAnsi="Arial" w:cs="Arial"/>
          <w:b/>
          <w:bCs/>
          <w:sz w:val="24"/>
          <w:szCs w:val="24"/>
        </w:rPr>
      </w:pPr>
      <w:r w:rsidRPr="005C409F">
        <w:rPr>
          <w:rFonts w:ascii="Arial" w:hAnsi="Arial" w:cs="Arial"/>
          <w:b/>
          <w:bCs/>
          <w:sz w:val="24"/>
          <w:szCs w:val="24"/>
        </w:rPr>
        <w:t>IDENTIFIED IN RECENT INTERNATIONAL REVIEWS OR INQUIRIES</w:t>
      </w:r>
    </w:p>
    <w:p w14:paraId="71918FA2" w14:textId="1FF234F5" w:rsidR="005C409F" w:rsidRPr="005C409F" w:rsidRDefault="005C409F" w:rsidP="005C409F">
      <w:pPr>
        <w:pStyle w:val="NoSpacing"/>
        <w:jc w:val="center"/>
        <w:rPr>
          <w:rFonts w:ascii="Arial" w:hAnsi="Arial" w:cs="Arial"/>
          <w:b/>
          <w:bCs/>
          <w:sz w:val="24"/>
          <w:szCs w:val="24"/>
        </w:rPr>
      </w:pPr>
      <w:r w:rsidRPr="005C409F">
        <w:rPr>
          <w:rFonts w:ascii="Arial" w:hAnsi="Arial" w:cs="Arial"/>
          <w:b/>
          <w:bCs/>
          <w:sz w:val="24"/>
          <w:szCs w:val="24"/>
        </w:rPr>
        <w:t xml:space="preserve"> INTO CHILD SEXUAL ABUSE IN CARE</w:t>
      </w:r>
    </w:p>
    <w:p w14:paraId="46A1B81F" w14:textId="77777777" w:rsidR="005C409F" w:rsidRPr="005C409F" w:rsidRDefault="005C409F" w:rsidP="00010D54">
      <w:pPr>
        <w:ind w:left="567"/>
        <w:jc w:val="center"/>
        <w:rPr>
          <w:rFonts w:ascii="Arial" w:hAnsi="Arial" w:cs="Arial"/>
          <w:sz w:val="24"/>
          <w:szCs w:val="24"/>
        </w:rPr>
      </w:pPr>
    </w:p>
    <w:p w14:paraId="0818C171" w14:textId="38C1B929" w:rsidR="00010D54" w:rsidRDefault="00010D54" w:rsidP="00010D54">
      <w:pPr>
        <w:ind w:left="567"/>
        <w:rPr>
          <w:b/>
          <w:bCs/>
        </w:rPr>
      </w:pPr>
    </w:p>
    <w:p w14:paraId="7AE91AB4" w14:textId="586E7E68" w:rsidR="00010D54" w:rsidRDefault="00010D54">
      <w:pPr>
        <w:rPr>
          <w:b/>
          <w:bCs/>
        </w:rPr>
      </w:pPr>
      <w:r>
        <w:rPr>
          <w:b/>
          <w:bCs/>
        </w:rPr>
        <w:br w:type="page"/>
      </w:r>
    </w:p>
    <w:p w14:paraId="22B40E4C" w14:textId="09411A05" w:rsidR="00363D87" w:rsidRDefault="004F005E" w:rsidP="009E21DE">
      <w:pPr>
        <w:pStyle w:val="NoSpacing"/>
        <w:spacing w:line="360" w:lineRule="auto"/>
        <w:ind w:left="567"/>
        <w:rPr>
          <w:rFonts w:ascii="Arial" w:hAnsi="Arial" w:cs="Arial"/>
          <w:sz w:val="24"/>
          <w:szCs w:val="24"/>
        </w:rPr>
      </w:pPr>
      <w:r>
        <w:rPr>
          <w:rFonts w:ascii="Arial" w:hAnsi="Arial" w:cs="Arial"/>
          <w:b/>
          <w:bCs/>
          <w:sz w:val="24"/>
          <w:szCs w:val="24"/>
        </w:rPr>
        <w:lastRenderedPageBreak/>
        <w:t xml:space="preserve">INTRODUCTION </w:t>
      </w:r>
    </w:p>
    <w:p w14:paraId="32A4FDA4" w14:textId="77777777" w:rsidR="00363D87" w:rsidRPr="00363D87" w:rsidRDefault="00363D87" w:rsidP="009E21DE">
      <w:pPr>
        <w:pStyle w:val="NoSpacing"/>
        <w:spacing w:line="360" w:lineRule="auto"/>
        <w:ind w:left="567"/>
        <w:rPr>
          <w:rFonts w:ascii="Arial" w:hAnsi="Arial" w:cs="Arial"/>
          <w:sz w:val="24"/>
          <w:szCs w:val="24"/>
        </w:rPr>
      </w:pPr>
    </w:p>
    <w:p w14:paraId="6785D000" w14:textId="1C4843D1" w:rsidR="00010D54" w:rsidRDefault="0083618B" w:rsidP="009E21DE">
      <w:pPr>
        <w:pStyle w:val="NoSpacing"/>
        <w:spacing w:line="360" w:lineRule="auto"/>
        <w:ind w:left="567"/>
        <w:rPr>
          <w:rFonts w:ascii="Arial" w:hAnsi="Arial" w:cs="Arial"/>
          <w:sz w:val="24"/>
          <w:szCs w:val="24"/>
        </w:rPr>
      </w:pPr>
      <w:r w:rsidRPr="00021EA7">
        <w:rPr>
          <w:rFonts w:ascii="Arial" w:hAnsi="Arial" w:cs="Arial"/>
          <w:sz w:val="24"/>
          <w:szCs w:val="24"/>
        </w:rPr>
        <w:t xml:space="preserve">This briefing </w:t>
      </w:r>
      <w:r w:rsidR="00C70367" w:rsidRPr="00021EA7">
        <w:rPr>
          <w:rFonts w:ascii="Arial" w:hAnsi="Arial" w:cs="Arial"/>
          <w:sz w:val="24"/>
          <w:szCs w:val="24"/>
        </w:rPr>
        <w:t xml:space="preserve">paper </w:t>
      </w:r>
      <w:r w:rsidR="00021EA7" w:rsidRPr="00021EA7">
        <w:rPr>
          <w:rFonts w:ascii="Arial" w:hAnsi="Arial" w:cs="Arial"/>
          <w:sz w:val="24"/>
          <w:szCs w:val="24"/>
        </w:rPr>
        <w:t>contains a summary of</w:t>
      </w:r>
      <w:r w:rsidR="005C409F">
        <w:rPr>
          <w:rFonts w:ascii="Arial" w:hAnsi="Arial" w:cs="Arial"/>
          <w:sz w:val="24"/>
          <w:szCs w:val="24"/>
        </w:rPr>
        <w:t xml:space="preserve"> findings and recommendations on redress and rehabilitation processes identified in international reviews or inquiries into Child Sexual Abuse in Care</w:t>
      </w:r>
      <w:r w:rsidR="00875E6A">
        <w:rPr>
          <w:rFonts w:ascii="Arial" w:hAnsi="Arial" w:cs="Arial"/>
          <w:sz w:val="24"/>
          <w:szCs w:val="24"/>
        </w:rPr>
        <w:t xml:space="preserve"> (</w:t>
      </w:r>
      <w:r w:rsidR="00875E6A">
        <w:rPr>
          <w:rFonts w:ascii="Arial" w:hAnsi="Arial" w:cs="Arial"/>
          <w:b/>
          <w:bCs/>
          <w:sz w:val="24"/>
          <w:szCs w:val="24"/>
        </w:rPr>
        <w:t>reviews or inquiries</w:t>
      </w:r>
      <w:r w:rsidR="00875E6A">
        <w:rPr>
          <w:rFonts w:ascii="Arial" w:hAnsi="Arial" w:cs="Arial"/>
          <w:sz w:val="24"/>
          <w:szCs w:val="24"/>
        </w:rPr>
        <w:t>)</w:t>
      </w:r>
      <w:r w:rsidR="00363D87">
        <w:rPr>
          <w:rFonts w:ascii="Arial" w:hAnsi="Arial" w:cs="Arial"/>
          <w:sz w:val="24"/>
          <w:szCs w:val="24"/>
        </w:rPr>
        <w:t>,</w:t>
      </w:r>
      <w:r w:rsidR="00272AA1">
        <w:rPr>
          <w:rFonts w:ascii="Arial" w:hAnsi="Arial" w:cs="Arial"/>
          <w:sz w:val="24"/>
          <w:szCs w:val="24"/>
        </w:rPr>
        <w:t xml:space="preserve">or in the case of Canada, </w:t>
      </w:r>
      <w:r w:rsidR="00524E9B">
        <w:rPr>
          <w:rFonts w:ascii="Arial" w:hAnsi="Arial" w:cs="Arial"/>
          <w:sz w:val="24"/>
          <w:szCs w:val="24"/>
        </w:rPr>
        <w:t xml:space="preserve">the outcome of proceedings </w:t>
      </w:r>
      <w:r w:rsidR="00272AA1">
        <w:rPr>
          <w:rFonts w:ascii="Arial" w:hAnsi="Arial" w:cs="Arial"/>
          <w:sz w:val="24"/>
          <w:szCs w:val="24"/>
        </w:rPr>
        <w:t>relevant to the civil litigation component of the redress investigation.</w:t>
      </w:r>
      <w:r w:rsidR="00363D87">
        <w:rPr>
          <w:rFonts w:ascii="Arial" w:hAnsi="Arial" w:cs="Arial"/>
          <w:sz w:val="24"/>
          <w:szCs w:val="24"/>
        </w:rPr>
        <w:t xml:space="preserve"> </w:t>
      </w:r>
      <w:r w:rsidR="005C409F">
        <w:rPr>
          <w:rFonts w:ascii="Arial" w:hAnsi="Arial" w:cs="Arial"/>
          <w:sz w:val="24"/>
          <w:szCs w:val="24"/>
        </w:rPr>
        <w:t xml:space="preserve">This is in accordance with </w:t>
      </w:r>
      <w:r w:rsidR="00875E6A">
        <w:rPr>
          <w:rFonts w:ascii="Arial" w:hAnsi="Arial" w:cs="Arial"/>
          <w:sz w:val="24"/>
          <w:szCs w:val="24"/>
        </w:rPr>
        <w:t xml:space="preserve">clause </w:t>
      </w:r>
      <w:r w:rsidR="005C409F">
        <w:rPr>
          <w:rFonts w:ascii="Arial" w:hAnsi="Arial" w:cs="Arial"/>
          <w:sz w:val="24"/>
          <w:szCs w:val="24"/>
        </w:rPr>
        <w:t>20(d) of the Abuse in Care Royal Commission of Inquiry’s Terms of Reference.</w:t>
      </w:r>
      <w:r w:rsidR="00363D87">
        <w:rPr>
          <w:rFonts w:ascii="Arial" w:hAnsi="Arial" w:cs="Arial"/>
          <w:sz w:val="24"/>
          <w:szCs w:val="24"/>
        </w:rPr>
        <w:t xml:space="preserve">  </w:t>
      </w:r>
    </w:p>
    <w:p w14:paraId="26943674" w14:textId="25F03C9B" w:rsidR="00CF08FF" w:rsidRDefault="00CF08FF" w:rsidP="009E21DE">
      <w:pPr>
        <w:pStyle w:val="NoSpacing"/>
        <w:spacing w:line="360" w:lineRule="auto"/>
        <w:ind w:left="567"/>
        <w:rPr>
          <w:rFonts w:ascii="Arial" w:hAnsi="Arial" w:cs="Arial"/>
          <w:sz w:val="24"/>
          <w:szCs w:val="24"/>
        </w:rPr>
      </w:pPr>
    </w:p>
    <w:p w14:paraId="24ED1269" w14:textId="6D5B364E" w:rsidR="00A12369" w:rsidRDefault="00E36EB0" w:rsidP="009E21DE">
      <w:pPr>
        <w:pStyle w:val="NoSpacing"/>
        <w:spacing w:line="360" w:lineRule="auto"/>
        <w:ind w:left="567"/>
        <w:rPr>
          <w:rFonts w:ascii="Arial" w:hAnsi="Arial" w:cs="Arial"/>
          <w:sz w:val="24"/>
          <w:szCs w:val="24"/>
        </w:rPr>
      </w:pPr>
      <w:r>
        <w:rPr>
          <w:rFonts w:ascii="Arial" w:hAnsi="Arial" w:cs="Arial"/>
          <w:sz w:val="24"/>
          <w:szCs w:val="24"/>
        </w:rPr>
        <w:t xml:space="preserve">The information comes from publicly available sources, </w:t>
      </w:r>
      <w:r w:rsidR="008163F1">
        <w:rPr>
          <w:rFonts w:ascii="Arial" w:hAnsi="Arial" w:cs="Arial"/>
          <w:sz w:val="24"/>
          <w:szCs w:val="24"/>
        </w:rPr>
        <w:t xml:space="preserve">or information disclosed to the Royal Commission and available for publication.  It </w:t>
      </w:r>
      <w:r w:rsidR="000524BA">
        <w:rPr>
          <w:rFonts w:ascii="Arial" w:hAnsi="Arial" w:cs="Arial"/>
          <w:sz w:val="24"/>
          <w:szCs w:val="24"/>
        </w:rPr>
        <w:t xml:space="preserve">has been produced to provide context or other information that may be </w:t>
      </w:r>
      <w:r w:rsidR="00365D55">
        <w:rPr>
          <w:rFonts w:ascii="Arial" w:hAnsi="Arial" w:cs="Arial"/>
          <w:sz w:val="24"/>
          <w:szCs w:val="24"/>
        </w:rPr>
        <w:t xml:space="preserve">relevant to </w:t>
      </w:r>
      <w:r w:rsidR="00A12369">
        <w:rPr>
          <w:rFonts w:ascii="Arial" w:hAnsi="Arial" w:cs="Arial"/>
          <w:sz w:val="24"/>
          <w:szCs w:val="24"/>
        </w:rPr>
        <w:t>the public hearing into civil claims and civil litigation redress processes relating to abuse in State care to be held in March 2020.</w:t>
      </w:r>
    </w:p>
    <w:p w14:paraId="35E7FC2B" w14:textId="77777777" w:rsidR="00A12369" w:rsidRDefault="00A12369" w:rsidP="009E21DE">
      <w:pPr>
        <w:pStyle w:val="ListParagraph"/>
        <w:ind w:left="567"/>
        <w:rPr>
          <w:rFonts w:ascii="Arial" w:hAnsi="Arial" w:cs="Arial"/>
          <w:sz w:val="24"/>
          <w:szCs w:val="24"/>
        </w:rPr>
      </w:pPr>
    </w:p>
    <w:p w14:paraId="0DB500E4" w14:textId="7FFED2AB" w:rsidR="00A12369" w:rsidRDefault="00A12369" w:rsidP="009E21DE">
      <w:pPr>
        <w:pStyle w:val="NoSpacing"/>
        <w:spacing w:line="360" w:lineRule="auto"/>
        <w:ind w:left="567"/>
        <w:rPr>
          <w:rFonts w:ascii="Arial" w:hAnsi="Arial" w:cs="Arial"/>
          <w:sz w:val="24"/>
          <w:szCs w:val="24"/>
        </w:rPr>
      </w:pPr>
      <w:r>
        <w:rPr>
          <w:rFonts w:ascii="Arial" w:hAnsi="Arial" w:cs="Arial"/>
          <w:sz w:val="24"/>
          <w:szCs w:val="24"/>
        </w:rPr>
        <w:t xml:space="preserve">The </w:t>
      </w:r>
      <w:r w:rsidR="00875E6A">
        <w:rPr>
          <w:rFonts w:ascii="Arial" w:hAnsi="Arial" w:cs="Arial"/>
          <w:sz w:val="24"/>
          <w:szCs w:val="24"/>
        </w:rPr>
        <w:t xml:space="preserve">international reviews or inquiries </w:t>
      </w:r>
      <w:r>
        <w:rPr>
          <w:rFonts w:ascii="Arial" w:hAnsi="Arial" w:cs="Arial"/>
          <w:sz w:val="24"/>
          <w:szCs w:val="24"/>
        </w:rPr>
        <w:t>covered in this briefing paper are</w:t>
      </w:r>
      <w:r w:rsidR="00875E6A">
        <w:rPr>
          <w:rFonts w:ascii="Arial" w:hAnsi="Arial" w:cs="Arial"/>
          <w:sz w:val="24"/>
          <w:szCs w:val="24"/>
        </w:rPr>
        <w:t xml:space="preserve"> the</w:t>
      </w:r>
      <w:r>
        <w:rPr>
          <w:rFonts w:ascii="Arial" w:hAnsi="Arial" w:cs="Arial"/>
          <w:sz w:val="24"/>
          <w:szCs w:val="24"/>
        </w:rPr>
        <w:t>:</w:t>
      </w:r>
    </w:p>
    <w:p w14:paraId="6814710F" w14:textId="018624D2" w:rsidR="00A12369" w:rsidRPr="007E250F" w:rsidRDefault="00875E6A" w:rsidP="00A330FB">
      <w:pPr>
        <w:pStyle w:val="ListParagraph"/>
        <w:numPr>
          <w:ilvl w:val="0"/>
          <w:numId w:val="1"/>
        </w:numPr>
        <w:ind w:left="1418" w:hanging="851"/>
        <w:rPr>
          <w:rFonts w:ascii="Arial" w:hAnsi="Arial" w:cs="Arial"/>
          <w:sz w:val="24"/>
          <w:szCs w:val="24"/>
        </w:rPr>
      </w:pPr>
      <w:r w:rsidRPr="007E250F">
        <w:rPr>
          <w:rFonts w:ascii="Arial" w:hAnsi="Arial" w:cs="Arial"/>
          <w:sz w:val="24"/>
          <w:szCs w:val="24"/>
        </w:rPr>
        <w:t>Australian Royal Commission into Institutional Responses to Child Sexual Abuse;</w:t>
      </w:r>
      <w:r w:rsidRPr="007E250F">
        <w:rPr>
          <w:rStyle w:val="FootnoteReference"/>
          <w:rFonts w:ascii="Arial" w:hAnsi="Arial" w:cs="Arial"/>
          <w:sz w:val="24"/>
          <w:szCs w:val="24"/>
        </w:rPr>
        <w:footnoteReference w:id="1"/>
      </w:r>
    </w:p>
    <w:p w14:paraId="69559C8F" w14:textId="41646981" w:rsidR="00677780" w:rsidRPr="007E250F" w:rsidRDefault="00677780" w:rsidP="00677780">
      <w:pPr>
        <w:pStyle w:val="ListParagraph"/>
        <w:numPr>
          <w:ilvl w:val="0"/>
          <w:numId w:val="1"/>
        </w:numPr>
        <w:ind w:left="567" w:firstLine="0"/>
        <w:rPr>
          <w:rFonts w:ascii="Arial" w:hAnsi="Arial" w:cs="Arial"/>
          <w:sz w:val="24"/>
          <w:szCs w:val="24"/>
        </w:rPr>
      </w:pPr>
      <w:r w:rsidRPr="007E250F">
        <w:rPr>
          <w:rFonts w:ascii="Arial" w:hAnsi="Arial" w:cs="Arial"/>
          <w:sz w:val="24"/>
          <w:szCs w:val="24"/>
        </w:rPr>
        <w:t>Canadian Indian Residential Schools Settlement Agreement</w:t>
      </w:r>
      <w:r w:rsidR="00FB2DE0">
        <w:rPr>
          <w:rStyle w:val="FootnoteReference"/>
          <w:rFonts w:ascii="Arial" w:hAnsi="Arial" w:cs="Arial"/>
          <w:sz w:val="24"/>
          <w:szCs w:val="24"/>
        </w:rPr>
        <w:footnoteReference w:id="2"/>
      </w:r>
    </w:p>
    <w:p w14:paraId="55E97E08" w14:textId="67645594" w:rsidR="00875E6A" w:rsidRPr="007E250F" w:rsidRDefault="00875E6A" w:rsidP="00860543">
      <w:pPr>
        <w:pStyle w:val="ListParagraph"/>
        <w:numPr>
          <w:ilvl w:val="0"/>
          <w:numId w:val="1"/>
        </w:numPr>
        <w:ind w:left="567" w:firstLine="0"/>
        <w:rPr>
          <w:rFonts w:ascii="Arial" w:hAnsi="Arial" w:cs="Arial"/>
          <w:sz w:val="24"/>
          <w:szCs w:val="24"/>
        </w:rPr>
      </w:pPr>
      <w:r w:rsidRPr="007E250F">
        <w:rPr>
          <w:rFonts w:ascii="Arial" w:hAnsi="Arial" w:cs="Arial"/>
          <w:sz w:val="24"/>
          <w:szCs w:val="24"/>
        </w:rPr>
        <w:t>England and Wales Independent Inquiry into Child Sexual Abuse;</w:t>
      </w:r>
      <w:r w:rsidRPr="007E250F">
        <w:rPr>
          <w:rStyle w:val="FootnoteReference"/>
          <w:rFonts w:ascii="Arial" w:hAnsi="Arial" w:cs="Arial"/>
          <w:sz w:val="24"/>
          <w:szCs w:val="24"/>
        </w:rPr>
        <w:footnoteReference w:id="3"/>
      </w:r>
    </w:p>
    <w:p w14:paraId="022C3EC4" w14:textId="77777777" w:rsidR="00BE0B70" w:rsidRPr="007E250F" w:rsidRDefault="00875E6A" w:rsidP="00860543">
      <w:pPr>
        <w:pStyle w:val="ListParagraph"/>
        <w:numPr>
          <w:ilvl w:val="0"/>
          <w:numId w:val="1"/>
        </w:numPr>
        <w:ind w:left="567" w:firstLine="0"/>
        <w:rPr>
          <w:rFonts w:ascii="Arial" w:hAnsi="Arial" w:cs="Arial"/>
          <w:sz w:val="24"/>
          <w:szCs w:val="24"/>
        </w:rPr>
      </w:pPr>
      <w:r w:rsidRPr="007E250F">
        <w:rPr>
          <w:rFonts w:ascii="Arial" w:hAnsi="Arial" w:cs="Arial"/>
          <w:sz w:val="24"/>
          <w:szCs w:val="24"/>
        </w:rPr>
        <w:t>Northern Irish Historical Institutional Abuse Inquiry;</w:t>
      </w:r>
      <w:r w:rsidRPr="007E250F">
        <w:rPr>
          <w:rStyle w:val="FootnoteReference"/>
          <w:rFonts w:ascii="Arial" w:hAnsi="Arial" w:cs="Arial"/>
          <w:sz w:val="24"/>
          <w:szCs w:val="24"/>
        </w:rPr>
        <w:footnoteReference w:id="4"/>
      </w:r>
      <w:r w:rsidRPr="007E250F">
        <w:rPr>
          <w:rFonts w:ascii="Arial" w:hAnsi="Arial" w:cs="Arial"/>
          <w:sz w:val="24"/>
          <w:szCs w:val="24"/>
        </w:rPr>
        <w:t xml:space="preserve"> </w:t>
      </w:r>
    </w:p>
    <w:p w14:paraId="727D68E4" w14:textId="42B4F9FA" w:rsidR="00875E6A" w:rsidRPr="007E250F" w:rsidRDefault="00D33DC4" w:rsidP="00860543">
      <w:pPr>
        <w:pStyle w:val="ListParagraph"/>
        <w:numPr>
          <w:ilvl w:val="0"/>
          <w:numId w:val="1"/>
        </w:numPr>
        <w:ind w:left="567" w:firstLine="0"/>
        <w:rPr>
          <w:rFonts w:ascii="Arial" w:hAnsi="Arial" w:cs="Arial"/>
          <w:sz w:val="24"/>
          <w:szCs w:val="24"/>
        </w:rPr>
      </w:pPr>
      <w:r w:rsidRPr="007E250F">
        <w:rPr>
          <w:rFonts w:ascii="Arial" w:hAnsi="Arial" w:cs="Arial"/>
          <w:sz w:val="24"/>
          <w:szCs w:val="24"/>
        </w:rPr>
        <w:t>Republic of Ireland Commission to Inquire into Child Abuse</w:t>
      </w:r>
      <w:r w:rsidRPr="007E250F">
        <w:rPr>
          <w:rStyle w:val="FootnoteReference"/>
          <w:rFonts w:ascii="Arial" w:hAnsi="Arial" w:cs="Arial"/>
          <w:sz w:val="24"/>
          <w:szCs w:val="24"/>
        </w:rPr>
        <w:footnoteReference w:id="5"/>
      </w:r>
      <w:r w:rsidRPr="007E250F">
        <w:rPr>
          <w:rFonts w:ascii="Arial" w:hAnsi="Arial" w:cs="Arial"/>
          <w:sz w:val="24"/>
          <w:szCs w:val="24"/>
        </w:rPr>
        <w:t xml:space="preserve">; </w:t>
      </w:r>
      <w:r w:rsidR="00875E6A" w:rsidRPr="007E250F">
        <w:rPr>
          <w:rFonts w:ascii="Arial" w:hAnsi="Arial" w:cs="Arial"/>
          <w:sz w:val="24"/>
          <w:szCs w:val="24"/>
        </w:rPr>
        <w:t>and</w:t>
      </w:r>
    </w:p>
    <w:p w14:paraId="513E4642" w14:textId="77777777" w:rsidR="00677780" w:rsidRPr="007E250F" w:rsidRDefault="00677780" w:rsidP="00677780">
      <w:pPr>
        <w:pStyle w:val="ListParagraph"/>
        <w:numPr>
          <w:ilvl w:val="0"/>
          <w:numId w:val="1"/>
        </w:numPr>
        <w:ind w:left="567" w:firstLine="0"/>
        <w:rPr>
          <w:rFonts w:ascii="Arial" w:hAnsi="Arial" w:cs="Arial"/>
          <w:sz w:val="24"/>
          <w:szCs w:val="24"/>
        </w:rPr>
      </w:pPr>
      <w:r w:rsidRPr="007E250F">
        <w:rPr>
          <w:rFonts w:ascii="Arial" w:hAnsi="Arial" w:cs="Arial"/>
          <w:sz w:val="24"/>
          <w:szCs w:val="24"/>
        </w:rPr>
        <w:t>Scottish Child Abuse Inquiry;</w:t>
      </w:r>
      <w:r w:rsidRPr="007E250F">
        <w:rPr>
          <w:rStyle w:val="FootnoteReference"/>
          <w:rFonts w:ascii="Arial" w:hAnsi="Arial" w:cs="Arial"/>
          <w:sz w:val="24"/>
          <w:szCs w:val="24"/>
        </w:rPr>
        <w:footnoteReference w:id="6"/>
      </w:r>
    </w:p>
    <w:p w14:paraId="1F0B01A7" w14:textId="77777777" w:rsidR="00A330FB" w:rsidRDefault="00A330FB" w:rsidP="009E21DE">
      <w:pPr>
        <w:pStyle w:val="NoSpacing"/>
        <w:spacing w:line="360" w:lineRule="auto"/>
        <w:ind w:left="567"/>
        <w:rPr>
          <w:rFonts w:ascii="Arial" w:hAnsi="Arial" w:cs="Arial"/>
          <w:sz w:val="24"/>
          <w:szCs w:val="24"/>
        </w:rPr>
      </w:pPr>
    </w:p>
    <w:p w14:paraId="28CEB54C" w14:textId="2AF661C3" w:rsidR="00875E6A" w:rsidRDefault="008718F4" w:rsidP="009E21DE">
      <w:pPr>
        <w:pStyle w:val="NoSpacing"/>
        <w:spacing w:line="360" w:lineRule="auto"/>
        <w:ind w:left="567"/>
        <w:rPr>
          <w:rFonts w:ascii="Arial" w:hAnsi="Arial" w:cs="Arial"/>
          <w:sz w:val="24"/>
          <w:szCs w:val="24"/>
        </w:rPr>
      </w:pPr>
      <w:r w:rsidRPr="00E36EB0">
        <w:rPr>
          <w:rFonts w:ascii="Arial" w:hAnsi="Arial" w:cs="Arial"/>
          <w:sz w:val="24"/>
          <w:szCs w:val="24"/>
        </w:rPr>
        <w:t>A</w:t>
      </w:r>
      <w:r w:rsidR="00A22B07" w:rsidRPr="00E36EB0">
        <w:rPr>
          <w:rFonts w:ascii="Arial" w:hAnsi="Arial" w:cs="Arial"/>
          <w:sz w:val="24"/>
          <w:szCs w:val="24"/>
        </w:rPr>
        <w:t xml:space="preserve"> number of common themes emerged </w:t>
      </w:r>
      <w:r w:rsidR="00923F7C" w:rsidRPr="00E36EB0">
        <w:rPr>
          <w:rFonts w:ascii="Arial" w:hAnsi="Arial" w:cs="Arial"/>
          <w:sz w:val="24"/>
          <w:szCs w:val="24"/>
        </w:rPr>
        <w:t xml:space="preserve">from this </w:t>
      </w:r>
      <w:r w:rsidR="00E36EB0" w:rsidRPr="00E36EB0">
        <w:rPr>
          <w:rFonts w:ascii="Arial" w:hAnsi="Arial" w:cs="Arial"/>
          <w:sz w:val="24"/>
          <w:szCs w:val="24"/>
        </w:rPr>
        <w:t xml:space="preserve">analysis </w:t>
      </w:r>
      <w:r w:rsidR="00923F7C" w:rsidRPr="00E36EB0">
        <w:rPr>
          <w:rFonts w:ascii="Arial" w:hAnsi="Arial" w:cs="Arial"/>
          <w:sz w:val="24"/>
          <w:szCs w:val="24"/>
        </w:rPr>
        <w:t xml:space="preserve">of </w:t>
      </w:r>
      <w:r w:rsidR="00DB28DD">
        <w:rPr>
          <w:rFonts w:ascii="Arial" w:hAnsi="Arial" w:cs="Arial"/>
          <w:sz w:val="24"/>
          <w:szCs w:val="24"/>
        </w:rPr>
        <w:t xml:space="preserve">international </w:t>
      </w:r>
      <w:r w:rsidR="00923F7C" w:rsidRPr="00E36EB0">
        <w:rPr>
          <w:rFonts w:ascii="Arial" w:hAnsi="Arial" w:cs="Arial"/>
          <w:sz w:val="24"/>
          <w:szCs w:val="24"/>
        </w:rPr>
        <w:t>reviews and inquiries</w:t>
      </w:r>
      <w:r w:rsidR="00A106C5">
        <w:rPr>
          <w:rFonts w:ascii="Arial" w:hAnsi="Arial" w:cs="Arial"/>
          <w:sz w:val="24"/>
          <w:szCs w:val="24"/>
        </w:rPr>
        <w:t xml:space="preserve">. </w:t>
      </w:r>
    </w:p>
    <w:p w14:paraId="636930F8" w14:textId="70A6AB2A" w:rsidR="003148BE" w:rsidRDefault="003148BE">
      <w:pPr>
        <w:rPr>
          <w:rFonts w:ascii="Arial" w:hAnsi="Arial" w:cs="Arial"/>
          <w:sz w:val="24"/>
          <w:szCs w:val="24"/>
        </w:rPr>
      </w:pPr>
      <w:r>
        <w:rPr>
          <w:rFonts w:ascii="Arial" w:hAnsi="Arial" w:cs="Arial"/>
          <w:sz w:val="24"/>
          <w:szCs w:val="24"/>
        </w:rPr>
        <w:br w:type="page"/>
      </w:r>
    </w:p>
    <w:p w14:paraId="06911666" w14:textId="77777777" w:rsidR="0087415F" w:rsidRDefault="0087415F" w:rsidP="00A3296A">
      <w:pPr>
        <w:pStyle w:val="Heading3"/>
        <w:numPr>
          <w:ilvl w:val="0"/>
          <w:numId w:val="5"/>
        </w:numPr>
        <w:ind w:left="1134" w:hanging="567"/>
        <w:rPr>
          <w:rFonts w:ascii="Arial" w:hAnsi="Arial" w:cs="Arial"/>
          <w:b/>
          <w:color w:val="000000" w:themeColor="text1"/>
          <w:lang w:val="en-NZ"/>
        </w:rPr>
      </w:pPr>
      <w:r>
        <w:rPr>
          <w:rFonts w:ascii="Arial" w:hAnsi="Arial" w:cs="Arial"/>
          <w:b/>
          <w:color w:val="000000" w:themeColor="text1"/>
          <w:lang w:val="en-NZ"/>
        </w:rPr>
        <w:lastRenderedPageBreak/>
        <w:t>AUSTRALIA</w:t>
      </w:r>
    </w:p>
    <w:p w14:paraId="4ABC6680" w14:textId="77777777" w:rsidR="0087415F" w:rsidRDefault="0087415F" w:rsidP="0087415F">
      <w:pPr>
        <w:pStyle w:val="Heading3"/>
        <w:ind w:left="1134"/>
        <w:rPr>
          <w:rFonts w:ascii="Arial" w:hAnsi="Arial" w:cs="Arial"/>
          <w:b/>
          <w:color w:val="000000" w:themeColor="text1"/>
          <w:lang w:val="en-NZ"/>
        </w:rPr>
      </w:pPr>
    </w:p>
    <w:p w14:paraId="3875BE62" w14:textId="24D91706" w:rsidR="005C409F" w:rsidRPr="009E21DE" w:rsidRDefault="005C409F" w:rsidP="001D627F">
      <w:pPr>
        <w:pStyle w:val="Heading3"/>
        <w:ind w:left="567"/>
        <w:rPr>
          <w:rFonts w:ascii="Arial" w:hAnsi="Arial" w:cs="Arial"/>
          <w:b/>
          <w:color w:val="000000" w:themeColor="text1"/>
          <w:lang w:val="en-NZ"/>
        </w:rPr>
      </w:pPr>
      <w:r w:rsidRPr="009E21DE">
        <w:rPr>
          <w:rFonts w:ascii="Arial" w:hAnsi="Arial" w:cs="Arial"/>
          <w:b/>
          <w:color w:val="000000" w:themeColor="text1"/>
          <w:lang w:val="en-NZ"/>
        </w:rPr>
        <w:t>Australia</w:t>
      </w:r>
      <w:r w:rsidR="00A44E43">
        <w:rPr>
          <w:rFonts w:ascii="Arial" w:hAnsi="Arial" w:cs="Arial"/>
          <w:b/>
          <w:color w:val="000000" w:themeColor="text1"/>
          <w:lang w:val="en-NZ"/>
        </w:rPr>
        <w:t>n</w:t>
      </w:r>
      <w:r w:rsidR="00875E6A" w:rsidRPr="009E21DE">
        <w:rPr>
          <w:rFonts w:ascii="Arial" w:hAnsi="Arial" w:cs="Arial"/>
          <w:b/>
          <w:color w:val="000000" w:themeColor="text1"/>
          <w:lang w:val="en-NZ"/>
        </w:rPr>
        <w:t xml:space="preserve"> Royal Commission into Institutional Responses to Child Sexual Abuse</w:t>
      </w:r>
    </w:p>
    <w:p w14:paraId="51432D0D" w14:textId="77777777" w:rsidR="009E21DE" w:rsidRDefault="009E21DE" w:rsidP="009E21DE">
      <w:pPr>
        <w:spacing w:after="0" w:line="240" w:lineRule="auto"/>
        <w:ind w:left="567"/>
        <w:rPr>
          <w:rFonts w:ascii="Calibri" w:eastAsia="Times New Roman" w:hAnsi="Calibri" w:cs="Calibri"/>
          <w:color w:val="000000"/>
          <w:lang w:eastAsia="en-NZ"/>
        </w:rPr>
      </w:pPr>
    </w:p>
    <w:p w14:paraId="6D7119BA" w14:textId="5797ABCD" w:rsidR="001F3CCE" w:rsidRDefault="001F3CCE" w:rsidP="001F3CCE">
      <w:pPr>
        <w:pStyle w:val="ListParagraph"/>
        <w:numPr>
          <w:ilvl w:val="0"/>
          <w:numId w:val="6"/>
        </w:numPr>
        <w:spacing w:after="0" w:line="24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Australian Royal Commission into Institutional Responses to Child Sexual Abuse (</w:t>
      </w:r>
      <w:r>
        <w:rPr>
          <w:rFonts w:ascii="Arial" w:eastAsia="Times New Roman" w:hAnsi="Arial" w:cs="Arial"/>
          <w:b/>
          <w:bCs/>
          <w:color w:val="000000"/>
          <w:sz w:val="24"/>
          <w:szCs w:val="24"/>
          <w:lang w:eastAsia="en-NZ"/>
        </w:rPr>
        <w:t xml:space="preserve">the Royal </w:t>
      </w:r>
      <w:r w:rsidRPr="001F3CCE">
        <w:rPr>
          <w:rFonts w:ascii="Arial" w:eastAsia="Times New Roman" w:hAnsi="Arial" w:cs="Arial"/>
          <w:b/>
          <w:bCs/>
          <w:color w:val="000000"/>
          <w:sz w:val="24"/>
          <w:szCs w:val="24"/>
          <w:lang w:eastAsia="en-NZ"/>
        </w:rPr>
        <w:t>Commission</w:t>
      </w:r>
      <w:r>
        <w:rPr>
          <w:rFonts w:ascii="Arial" w:eastAsia="Times New Roman" w:hAnsi="Arial" w:cs="Arial"/>
          <w:color w:val="000000"/>
          <w:sz w:val="24"/>
          <w:szCs w:val="24"/>
          <w:lang w:eastAsia="en-NZ"/>
        </w:rPr>
        <w:t>)</w:t>
      </w:r>
      <w:r w:rsidR="00532A63">
        <w:rPr>
          <w:rFonts w:ascii="Arial" w:eastAsia="Times New Roman" w:hAnsi="Arial" w:cs="Arial"/>
          <w:color w:val="000000"/>
          <w:sz w:val="24"/>
          <w:szCs w:val="24"/>
          <w:lang w:eastAsia="en-NZ"/>
        </w:rPr>
        <w:t xml:space="preserve">, announced in </w:t>
      </w:r>
      <w:r w:rsidR="00F042F4">
        <w:rPr>
          <w:rFonts w:ascii="Arial" w:eastAsia="Times New Roman" w:hAnsi="Arial" w:cs="Arial"/>
          <w:color w:val="000000"/>
          <w:sz w:val="24"/>
          <w:szCs w:val="24"/>
          <w:lang w:eastAsia="en-NZ"/>
        </w:rPr>
        <w:t>November</w:t>
      </w:r>
      <w:r w:rsidR="00532A63">
        <w:rPr>
          <w:rFonts w:ascii="Arial" w:eastAsia="Times New Roman" w:hAnsi="Arial" w:cs="Arial"/>
          <w:color w:val="000000"/>
          <w:sz w:val="24"/>
          <w:szCs w:val="24"/>
          <w:lang w:eastAsia="en-NZ"/>
        </w:rPr>
        <w:t xml:space="preserve"> 2012,</w:t>
      </w:r>
      <w:r>
        <w:rPr>
          <w:rFonts w:ascii="Arial" w:eastAsia="Times New Roman" w:hAnsi="Arial" w:cs="Arial"/>
          <w:color w:val="000000"/>
          <w:sz w:val="24"/>
          <w:szCs w:val="24"/>
          <w:lang w:eastAsia="en-NZ"/>
        </w:rPr>
        <w:t xml:space="preserve"> </w:t>
      </w:r>
      <w:r w:rsidRPr="001F3CCE">
        <w:rPr>
          <w:rFonts w:ascii="Arial" w:eastAsia="Times New Roman" w:hAnsi="Arial" w:cs="Arial"/>
          <w:color w:val="000000"/>
          <w:sz w:val="24"/>
          <w:szCs w:val="24"/>
          <w:lang w:eastAsia="en-NZ"/>
        </w:rPr>
        <w:t>was</w:t>
      </w:r>
      <w:r>
        <w:rPr>
          <w:rFonts w:ascii="Arial" w:eastAsia="Times New Roman" w:hAnsi="Arial" w:cs="Arial"/>
          <w:color w:val="000000"/>
          <w:sz w:val="24"/>
          <w:szCs w:val="24"/>
          <w:lang w:eastAsia="en-NZ"/>
        </w:rPr>
        <w:t xml:space="preserve"> preceded by a Senate Inquiry into Children in Institutional Care, conducted in late 2003 and 2004 (</w:t>
      </w:r>
      <w:r>
        <w:rPr>
          <w:rFonts w:ascii="Arial" w:eastAsia="Times New Roman" w:hAnsi="Arial" w:cs="Arial"/>
          <w:b/>
          <w:bCs/>
          <w:color w:val="000000"/>
          <w:sz w:val="24"/>
          <w:szCs w:val="24"/>
          <w:lang w:eastAsia="en-NZ"/>
        </w:rPr>
        <w:t>Senate Inquiry</w:t>
      </w:r>
      <w:r>
        <w:rPr>
          <w:rFonts w:ascii="Arial" w:eastAsia="Times New Roman" w:hAnsi="Arial" w:cs="Arial"/>
          <w:color w:val="000000"/>
          <w:sz w:val="24"/>
          <w:szCs w:val="24"/>
          <w:lang w:eastAsia="en-NZ"/>
        </w:rPr>
        <w:t>).  Th</w:t>
      </w:r>
      <w:r w:rsidR="001D627F">
        <w:rPr>
          <w:rFonts w:ascii="Arial" w:eastAsia="Times New Roman" w:hAnsi="Arial" w:cs="Arial"/>
          <w:color w:val="000000"/>
          <w:sz w:val="24"/>
          <w:szCs w:val="24"/>
          <w:lang w:eastAsia="en-NZ"/>
        </w:rPr>
        <w:t xml:space="preserve">e Senate </w:t>
      </w:r>
      <w:r>
        <w:rPr>
          <w:rFonts w:ascii="Arial" w:eastAsia="Times New Roman" w:hAnsi="Arial" w:cs="Arial"/>
          <w:color w:val="000000"/>
          <w:sz w:val="24"/>
          <w:szCs w:val="24"/>
          <w:lang w:eastAsia="en-NZ"/>
        </w:rPr>
        <w:t>Inquiry made a number of recommendations to State and Commonwealth Governments.  Those relevant to redress and rehabilitation or civil litigation, set out in the first report titled “Forgotten Australians: A Report on Australians who Experienced Institutional or Out of Home Care as Children”, published on 30 August 2004</w:t>
      </w:r>
      <w:r>
        <w:rPr>
          <w:rStyle w:val="FootnoteReference"/>
          <w:rFonts w:ascii="Arial" w:eastAsia="Times New Roman" w:hAnsi="Arial" w:cs="Arial"/>
          <w:color w:val="000000"/>
          <w:sz w:val="24"/>
          <w:szCs w:val="24"/>
          <w:lang w:eastAsia="en-NZ"/>
        </w:rPr>
        <w:footnoteReference w:id="7"/>
      </w:r>
      <w:r w:rsidR="003148BE">
        <w:rPr>
          <w:rFonts w:ascii="Arial" w:eastAsia="Times New Roman" w:hAnsi="Arial" w:cs="Arial"/>
          <w:color w:val="000000"/>
          <w:sz w:val="24"/>
          <w:szCs w:val="24"/>
          <w:lang w:eastAsia="en-NZ"/>
        </w:rPr>
        <w:t>,</w:t>
      </w:r>
      <w:r>
        <w:rPr>
          <w:rFonts w:ascii="Arial" w:eastAsia="Times New Roman" w:hAnsi="Arial" w:cs="Arial"/>
          <w:color w:val="000000"/>
          <w:sz w:val="24"/>
          <w:szCs w:val="24"/>
          <w:lang w:eastAsia="en-NZ"/>
        </w:rPr>
        <w:t xml:space="preserve"> included: </w:t>
      </w:r>
    </w:p>
    <w:p w14:paraId="26F4EE08" w14:textId="77777777" w:rsidR="001F3CCE" w:rsidRPr="00A30941" w:rsidRDefault="001F3CCE" w:rsidP="001F3CCE">
      <w:pPr>
        <w:pStyle w:val="ListParagraph"/>
        <w:rPr>
          <w:rFonts w:ascii="Arial" w:eastAsia="Times New Roman" w:hAnsi="Arial" w:cs="Arial"/>
          <w:color w:val="000000"/>
          <w:sz w:val="24"/>
          <w:szCs w:val="24"/>
          <w:lang w:eastAsia="en-NZ"/>
        </w:rPr>
      </w:pPr>
    </w:p>
    <w:p w14:paraId="1D5C6D51" w14:textId="77777777" w:rsidR="001F3CCE" w:rsidRDefault="001F3CCE" w:rsidP="00132136">
      <w:pPr>
        <w:pStyle w:val="ListParagraph"/>
        <w:numPr>
          <w:ilvl w:val="0"/>
          <w:numId w:val="45"/>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Giving apologies and acknowledgments of wrongs done;</w:t>
      </w:r>
    </w:p>
    <w:p w14:paraId="7DDA900B" w14:textId="77777777" w:rsidR="001F3CCE" w:rsidRDefault="001F3CCE" w:rsidP="00132136">
      <w:pPr>
        <w:pStyle w:val="ListParagraph"/>
        <w:numPr>
          <w:ilvl w:val="0"/>
          <w:numId w:val="45"/>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Amending legislation that time-bars civil litigation;</w:t>
      </w:r>
    </w:p>
    <w:p w14:paraId="44D4EB1C" w14:textId="77777777" w:rsidR="001F3CCE" w:rsidRDefault="001F3CCE" w:rsidP="00132136">
      <w:pPr>
        <w:pStyle w:val="ListParagraph"/>
        <w:numPr>
          <w:ilvl w:val="0"/>
          <w:numId w:val="45"/>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Promoting a national reparation fund;</w:t>
      </w:r>
    </w:p>
    <w:p w14:paraId="374C676A" w14:textId="77777777" w:rsidR="001F3CCE" w:rsidRDefault="001F3CCE" w:rsidP="00132136">
      <w:pPr>
        <w:pStyle w:val="ListParagraph"/>
        <w:numPr>
          <w:ilvl w:val="0"/>
          <w:numId w:val="45"/>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Removing barriers to a full and open inquiry into specific complaints;</w:t>
      </w:r>
    </w:p>
    <w:p w14:paraId="092829F9" w14:textId="77777777" w:rsidR="001F3CCE" w:rsidRDefault="001F3CCE" w:rsidP="00132136">
      <w:pPr>
        <w:pStyle w:val="ListParagraph"/>
        <w:numPr>
          <w:ilvl w:val="0"/>
          <w:numId w:val="45"/>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Providing open access by individuals to their personal records held by institutions; </w:t>
      </w:r>
    </w:p>
    <w:p w14:paraId="64DEEE7A" w14:textId="77777777" w:rsidR="001F3CCE" w:rsidRDefault="001F3CCE" w:rsidP="00132136">
      <w:pPr>
        <w:pStyle w:val="ListParagraph"/>
        <w:numPr>
          <w:ilvl w:val="0"/>
          <w:numId w:val="45"/>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Providing adequate social services; and</w:t>
      </w:r>
    </w:p>
    <w:p w14:paraId="576FA0ED" w14:textId="77777777" w:rsidR="001F3CCE" w:rsidRDefault="001F3CCE" w:rsidP="00132136">
      <w:pPr>
        <w:pStyle w:val="ListParagraph"/>
        <w:numPr>
          <w:ilvl w:val="0"/>
          <w:numId w:val="45"/>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Establishment of a board to consider claims and to award monetary compensation.</w:t>
      </w:r>
    </w:p>
    <w:p w14:paraId="707D7F6F" w14:textId="77777777" w:rsidR="001F3CCE" w:rsidRDefault="001F3CCE" w:rsidP="001F3CCE">
      <w:pPr>
        <w:pStyle w:val="ListParagraph"/>
        <w:spacing w:after="0" w:line="240" w:lineRule="auto"/>
        <w:ind w:left="1134"/>
        <w:rPr>
          <w:rFonts w:ascii="Arial" w:eastAsia="Times New Roman" w:hAnsi="Arial" w:cs="Arial"/>
          <w:color w:val="000000"/>
          <w:sz w:val="24"/>
          <w:szCs w:val="24"/>
          <w:lang w:eastAsia="en-NZ"/>
        </w:rPr>
      </w:pPr>
    </w:p>
    <w:p w14:paraId="2ECAD745" w14:textId="46C842F2" w:rsidR="005C409F" w:rsidRDefault="005C409F" w:rsidP="00A3296A">
      <w:pPr>
        <w:pStyle w:val="ListParagraph"/>
        <w:numPr>
          <w:ilvl w:val="0"/>
          <w:numId w:val="6"/>
        </w:numPr>
        <w:spacing w:after="0" w:line="240" w:lineRule="auto"/>
        <w:ind w:left="1134" w:hanging="567"/>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The Letters Patent required the Royal Commission</w:t>
      </w:r>
      <w:r w:rsidR="009E21DE">
        <w:rPr>
          <w:rFonts w:ascii="Arial" w:eastAsia="Times New Roman" w:hAnsi="Arial" w:cs="Arial"/>
          <w:color w:val="000000"/>
          <w:sz w:val="24"/>
          <w:szCs w:val="24"/>
          <w:lang w:eastAsia="en-NZ"/>
        </w:rPr>
        <w:t>, under paragraph (d),</w:t>
      </w:r>
      <w:r w:rsidRPr="009E21DE">
        <w:rPr>
          <w:rFonts w:ascii="Arial" w:eastAsia="Times New Roman" w:hAnsi="Arial" w:cs="Arial"/>
          <w:color w:val="000000"/>
          <w:sz w:val="24"/>
          <w:szCs w:val="24"/>
          <w:lang w:eastAsia="en-NZ"/>
        </w:rPr>
        <w:t xml:space="preserve"> to inquire into </w:t>
      </w:r>
      <w:r w:rsidR="009E21DE" w:rsidRPr="008E7086">
        <w:rPr>
          <w:rFonts w:ascii="Arial" w:eastAsia="Times New Roman" w:hAnsi="Arial" w:cs="Arial"/>
          <w:i/>
          <w:iCs/>
          <w:color w:val="000000"/>
          <w:sz w:val="24"/>
          <w:szCs w:val="24"/>
          <w:lang w:eastAsia="en-NZ"/>
        </w:rPr>
        <w:t>“</w:t>
      </w:r>
      <w:r w:rsidRPr="008E7086">
        <w:rPr>
          <w:rFonts w:ascii="Arial" w:eastAsia="Times New Roman" w:hAnsi="Arial" w:cs="Arial"/>
          <w:i/>
          <w:iCs/>
          <w:color w:val="000000"/>
          <w:sz w:val="24"/>
          <w:szCs w:val="24"/>
          <w:lang w:eastAsia="en-NZ"/>
        </w:rPr>
        <w:t>what institutions and governments should do to address, or alleviate the impact of, past and future child sexual abuse and related matters in institutional contexts, including, in particular, in ensuring justice for victims through the provision of redress by institutions, processes for referral for investigation and prosecution and support services.</w:t>
      </w:r>
      <w:r w:rsidR="009E21DE" w:rsidRPr="008E7086">
        <w:rPr>
          <w:rFonts w:ascii="Arial" w:eastAsia="Times New Roman" w:hAnsi="Arial" w:cs="Arial"/>
          <w:i/>
          <w:iCs/>
          <w:color w:val="000000"/>
          <w:sz w:val="24"/>
          <w:szCs w:val="24"/>
          <w:lang w:eastAsia="en-NZ"/>
        </w:rPr>
        <w:t>”</w:t>
      </w:r>
      <w:r w:rsidRPr="009E21DE">
        <w:rPr>
          <w:rFonts w:ascii="Arial" w:eastAsia="Times New Roman" w:hAnsi="Arial" w:cs="Arial"/>
          <w:color w:val="000000"/>
          <w:sz w:val="24"/>
          <w:szCs w:val="24"/>
          <w:lang w:eastAsia="en-NZ"/>
        </w:rPr>
        <w:t xml:space="preserve"> </w:t>
      </w:r>
      <w:r w:rsidR="008E7086">
        <w:rPr>
          <w:rFonts w:ascii="Arial" w:eastAsia="Times New Roman" w:hAnsi="Arial" w:cs="Arial"/>
          <w:color w:val="000000"/>
          <w:sz w:val="24"/>
          <w:szCs w:val="24"/>
          <w:lang w:eastAsia="en-NZ"/>
        </w:rPr>
        <w:t xml:space="preserve"> </w:t>
      </w:r>
      <w:r w:rsidRPr="009E21DE">
        <w:rPr>
          <w:rFonts w:ascii="Arial" w:eastAsia="Times New Roman" w:hAnsi="Arial" w:cs="Arial"/>
          <w:color w:val="000000"/>
          <w:sz w:val="24"/>
          <w:szCs w:val="24"/>
          <w:lang w:eastAsia="en-NZ"/>
        </w:rPr>
        <w:t xml:space="preserve">The </w:t>
      </w:r>
      <w:r w:rsidR="008E7086">
        <w:rPr>
          <w:rFonts w:ascii="Arial" w:eastAsia="Times New Roman" w:hAnsi="Arial" w:cs="Arial"/>
          <w:color w:val="000000"/>
          <w:sz w:val="24"/>
          <w:szCs w:val="24"/>
          <w:lang w:eastAsia="en-NZ"/>
        </w:rPr>
        <w:t xml:space="preserve">Royal </w:t>
      </w:r>
      <w:r w:rsidRPr="009E21DE">
        <w:rPr>
          <w:rFonts w:ascii="Arial" w:eastAsia="Times New Roman" w:hAnsi="Arial" w:cs="Arial"/>
          <w:color w:val="000000"/>
          <w:sz w:val="24"/>
          <w:szCs w:val="24"/>
          <w:lang w:eastAsia="en-NZ"/>
        </w:rPr>
        <w:t>Commission was not asked to look into physical abuse</w:t>
      </w:r>
      <w:r w:rsidR="008E7086">
        <w:rPr>
          <w:rFonts w:ascii="Arial" w:eastAsia="Times New Roman" w:hAnsi="Arial" w:cs="Arial"/>
          <w:color w:val="000000"/>
          <w:sz w:val="24"/>
          <w:szCs w:val="24"/>
          <w:lang w:eastAsia="en-NZ"/>
        </w:rPr>
        <w:t>, neglect</w:t>
      </w:r>
      <w:r w:rsidRPr="009E21DE">
        <w:rPr>
          <w:rFonts w:ascii="Arial" w:eastAsia="Times New Roman" w:hAnsi="Arial" w:cs="Arial"/>
          <w:color w:val="000000"/>
          <w:sz w:val="24"/>
          <w:szCs w:val="24"/>
          <w:lang w:eastAsia="en-NZ"/>
        </w:rPr>
        <w:t xml:space="preserve"> or other forms of harm.</w:t>
      </w:r>
    </w:p>
    <w:p w14:paraId="0BBD15BC" w14:textId="23448655" w:rsidR="00A30941" w:rsidRDefault="00A30941" w:rsidP="00A30941">
      <w:pPr>
        <w:pStyle w:val="ListParagraph"/>
        <w:spacing w:after="0" w:line="240" w:lineRule="auto"/>
        <w:ind w:left="1134"/>
        <w:rPr>
          <w:rFonts w:ascii="Arial" w:eastAsia="Times New Roman" w:hAnsi="Arial" w:cs="Arial"/>
          <w:color w:val="000000"/>
          <w:sz w:val="24"/>
          <w:szCs w:val="24"/>
          <w:lang w:eastAsia="en-NZ"/>
        </w:rPr>
      </w:pPr>
    </w:p>
    <w:p w14:paraId="04E48CE3" w14:textId="3680F527" w:rsidR="00C67529" w:rsidRDefault="00C67529" w:rsidP="00A3296A">
      <w:pPr>
        <w:pStyle w:val="ListParagraph"/>
        <w:numPr>
          <w:ilvl w:val="0"/>
          <w:numId w:val="6"/>
        </w:numPr>
        <w:spacing w:after="0" w:line="24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Royal Commission issued a separate “Redress and Civil Litigation Report”</w:t>
      </w:r>
      <w:r w:rsidR="00B57308">
        <w:rPr>
          <w:rFonts w:ascii="Arial" w:eastAsia="Times New Roman" w:hAnsi="Arial" w:cs="Arial"/>
          <w:color w:val="000000"/>
          <w:sz w:val="24"/>
          <w:szCs w:val="24"/>
          <w:lang w:eastAsia="en-NZ"/>
        </w:rPr>
        <w:t xml:space="preserve"> in 2015</w:t>
      </w:r>
      <w:r>
        <w:rPr>
          <w:rFonts w:ascii="Arial" w:eastAsia="Times New Roman" w:hAnsi="Arial" w:cs="Arial"/>
          <w:color w:val="000000"/>
          <w:sz w:val="24"/>
          <w:szCs w:val="24"/>
          <w:lang w:eastAsia="en-NZ"/>
        </w:rPr>
        <w:t>.</w:t>
      </w:r>
      <w:r>
        <w:rPr>
          <w:rStyle w:val="FootnoteReference"/>
          <w:rFonts w:ascii="Arial" w:eastAsia="Times New Roman" w:hAnsi="Arial" w:cs="Arial"/>
          <w:color w:val="000000"/>
          <w:sz w:val="24"/>
          <w:szCs w:val="24"/>
          <w:lang w:eastAsia="en-NZ"/>
        </w:rPr>
        <w:footnoteReference w:id="8"/>
      </w:r>
      <w:r w:rsidR="002223AA">
        <w:rPr>
          <w:rFonts w:ascii="Arial" w:eastAsia="Times New Roman" w:hAnsi="Arial" w:cs="Arial"/>
          <w:color w:val="000000"/>
          <w:sz w:val="24"/>
          <w:szCs w:val="24"/>
          <w:lang w:eastAsia="en-NZ"/>
        </w:rPr>
        <w:t xml:space="preserve">  The full list of the Royal Commission’s recommendations are at 61-78 of this report</w:t>
      </w:r>
      <w:r w:rsidR="005E6C80">
        <w:rPr>
          <w:rFonts w:ascii="Arial" w:eastAsia="Times New Roman" w:hAnsi="Arial" w:cs="Arial"/>
          <w:color w:val="000000"/>
          <w:sz w:val="24"/>
          <w:szCs w:val="24"/>
          <w:lang w:eastAsia="en-NZ"/>
        </w:rPr>
        <w:t>.  They are broken down into the following categories:</w:t>
      </w:r>
    </w:p>
    <w:p w14:paraId="05D0FFB6" w14:textId="77777777" w:rsidR="005E6C80" w:rsidRPr="005E6C80" w:rsidRDefault="005E6C80" w:rsidP="005E6C80">
      <w:pPr>
        <w:pStyle w:val="ListParagraph"/>
        <w:rPr>
          <w:rFonts w:ascii="Arial" w:eastAsia="Times New Roman" w:hAnsi="Arial" w:cs="Arial"/>
          <w:color w:val="000000"/>
          <w:sz w:val="24"/>
          <w:szCs w:val="24"/>
          <w:lang w:eastAsia="en-NZ"/>
        </w:rPr>
      </w:pPr>
    </w:p>
    <w:p w14:paraId="25854C68" w14:textId="3D772EF4"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Justice for victims</w:t>
      </w:r>
    </w:p>
    <w:p w14:paraId="20511D09" w14:textId="76A2A686"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Redress elements and principles</w:t>
      </w:r>
    </w:p>
    <w:p w14:paraId="58DB63B4" w14:textId="0B39EA77"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Direct personal response</w:t>
      </w:r>
    </w:p>
    <w:p w14:paraId="47E483BD" w14:textId="11AB1C24"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Counselling and psychological care</w:t>
      </w:r>
    </w:p>
    <w:p w14:paraId="6C6356C2" w14:textId="1B5075EA"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Monetary payments</w:t>
      </w:r>
    </w:p>
    <w:p w14:paraId="78C85E6E" w14:textId="58C6B4EB"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lastRenderedPageBreak/>
        <w:t>Redress structure and funding</w:t>
      </w:r>
    </w:p>
    <w:p w14:paraId="5A17755C" w14:textId="1C9ACCA9"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Redress scheme processes</w:t>
      </w:r>
    </w:p>
    <w:p w14:paraId="79AA2F88" w14:textId="61A4BD1E"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Limitation periods</w:t>
      </w:r>
    </w:p>
    <w:p w14:paraId="07F803EA" w14:textId="3635567C"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Duty of institutions</w:t>
      </w:r>
    </w:p>
    <w:p w14:paraId="374398BC" w14:textId="2B0C30A3" w:rsidR="005E6C80"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Identifying a proper defendant</w:t>
      </w:r>
    </w:p>
    <w:p w14:paraId="0DB29F70" w14:textId="0599AB31" w:rsidR="005E6C80" w:rsidRPr="009E21DE" w:rsidRDefault="005E6C80" w:rsidP="00A3296A">
      <w:pPr>
        <w:pStyle w:val="ListParagraph"/>
        <w:numPr>
          <w:ilvl w:val="0"/>
          <w:numId w:val="9"/>
        </w:numPr>
        <w:spacing w:after="0" w:line="240" w:lineRule="auto"/>
        <w:ind w:left="14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Model litigant approaches</w:t>
      </w:r>
    </w:p>
    <w:p w14:paraId="36B1416B" w14:textId="77777777" w:rsidR="005C409F" w:rsidRPr="009E21DE" w:rsidRDefault="005C409F" w:rsidP="009E21DE">
      <w:pPr>
        <w:spacing w:after="0" w:line="240" w:lineRule="auto"/>
        <w:ind w:left="567"/>
        <w:rPr>
          <w:rFonts w:ascii="Arial" w:eastAsia="Times New Roman" w:hAnsi="Arial" w:cs="Arial"/>
          <w:color w:val="000000"/>
          <w:sz w:val="24"/>
          <w:szCs w:val="24"/>
          <w:lang w:eastAsia="en-NZ"/>
        </w:rPr>
      </w:pPr>
    </w:p>
    <w:p w14:paraId="1BCD8C2E" w14:textId="075C554F" w:rsidR="005B6831" w:rsidRDefault="005B6831" w:rsidP="00A3296A">
      <w:pPr>
        <w:pStyle w:val="ListParagraph"/>
        <w:numPr>
          <w:ilvl w:val="0"/>
          <w:numId w:val="6"/>
        </w:numPr>
        <w:spacing w:after="0" w:line="240" w:lineRule="auto"/>
        <w:ind w:left="1134"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 xml:space="preserve">The Royal Commission concluded that </w:t>
      </w:r>
      <w:r>
        <w:rPr>
          <w:rFonts w:ascii="Arial" w:eastAsia="Times New Roman" w:hAnsi="Arial" w:cs="Arial"/>
          <w:i/>
          <w:iCs/>
          <w:color w:val="1A1A1A"/>
          <w:sz w:val="24"/>
          <w:szCs w:val="24"/>
          <w:lang w:eastAsia="en-NZ"/>
        </w:rPr>
        <w:t>“A process for redress must provide equal access and equal treatment for survivors – regardless of the location, operator, type, continued existence or assets of the institution in which they were abused – if it is to be regarded by survivors as being capable of delivering justice”</w:t>
      </w:r>
      <w:r>
        <w:rPr>
          <w:rFonts w:ascii="Arial" w:eastAsia="Times New Roman" w:hAnsi="Arial" w:cs="Arial"/>
          <w:color w:val="1A1A1A"/>
          <w:sz w:val="24"/>
          <w:szCs w:val="24"/>
          <w:lang w:eastAsia="en-NZ"/>
        </w:rPr>
        <w:t xml:space="preserve"> (Recommendation 1).</w:t>
      </w:r>
    </w:p>
    <w:p w14:paraId="77B04CE0" w14:textId="77777777" w:rsidR="0057772F" w:rsidRPr="0057772F" w:rsidRDefault="0057772F" w:rsidP="0057772F">
      <w:pPr>
        <w:pStyle w:val="ListParagraph"/>
        <w:rPr>
          <w:rFonts w:ascii="Arial" w:eastAsia="Times New Roman" w:hAnsi="Arial" w:cs="Arial"/>
          <w:color w:val="1A1A1A"/>
          <w:sz w:val="24"/>
          <w:szCs w:val="24"/>
          <w:lang w:eastAsia="en-NZ"/>
        </w:rPr>
      </w:pPr>
    </w:p>
    <w:p w14:paraId="26F3791A" w14:textId="3E4BC8D9" w:rsidR="00D175AA" w:rsidRDefault="00D175AA" w:rsidP="00A3296A">
      <w:pPr>
        <w:pStyle w:val="ListParagraph"/>
        <w:numPr>
          <w:ilvl w:val="0"/>
          <w:numId w:val="6"/>
        </w:numPr>
        <w:spacing w:after="0" w:line="240" w:lineRule="auto"/>
        <w:ind w:left="1134"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The Royal Commission was satisfied that appropriate redress for survivors should include three elements:</w:t>
      </w:r>
    </w:p>
    <w:p w14:paraId="4ADA84DD" w14:textId="77777777" w:rsidR="00D175AA" w:rsidRPr="00D175AA" w:rsidRDefault="00D175AA" w:rsidP="00D175AA">
      <w:pPr>
        <w:pStyle w:val="ListParagraph"/>
        <w:rPr>
          <w:rFonts w:ascii="Arial" w:eastAsia="Times New Roman" w:hAnsi="Arial" w:cs="Arial"/>
          <w:color w:val="1A1A1A"/>
          <w:sz w:val="24"/>
          <w:szCs w:val="24"/>
          <w:lang w:eastAsia="en-NZ"/>
        </w:rPr>
      </w:pPr>
    </w:p>
    <w:p w14:paraId="5CA67856" w14:textId="38EA3F39" w:rsidR="00B469FC" w:rsidRDefault="00B469FC" w:rsidP="00A3296A">
      <w:pPr>
        <w:pStyle w:val="ListParagraph"/>
        <w:numPr>
          <w:ilvl w:val="0"/>
          <w:numId w:val="8"/>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A monetary payment;</w:t>
      </w:r>
    </w:p>
    <w:p w14:paraId="3F25236E" w14:textId="4475D8DF" w:rsidR="00B469FC" w:rsidRDefault="00B469FC" w:rsidP="00A3296A">
      <w:pPr>
        <w:pStyle w:val="ListParagraph"/>
        <w:numPr>
          <w:ilvl w:val="0"/>
          <w:numId w:val="8"/>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Access to counselling and psychological care as needed throughout the survivor’s life; and</w:t>
      </w:r>
    </w:p>
    <w:p w14:paraId="7C65076B" w14:textId="47E0A129" w:rsidR="00D175AA" w:rsidRDefault="00D175AA" w:rsidP="00A3296A">
      <w:pPr>
        <w:pStyle w:val="ListParagraph"/>
        <w:numPr>
          <w:ilvl w:val="0"/>
          <w:numId w:val="8"/>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A direct personal response</w:t>
      </w:r>
      <w:r w:rsidR="00AA2D33">
        <w:rPr>
          <w:rFonts w:ascii="Arial" w:eastAsia="Times New Roman" w:hAnsi="Arial" w:cs="Arial"/>
          <w:color w:val="1A1A1A"/>
          <w:sz w:val="24"/>
          <w:szCs w:val="24"/>
          <w:lang w:eastAsia="en-NZ"/>
        </w:rPr>
        <w:t xml:space="preserve"> from the responsible institution</w:t>
      </w:r>
      <w:r w:rsidR="00B469FC">
        <w:rPr>
          <w:rFonts w:ascii="Arial" w:eastAsia="Times New Roman" w:hAnsi="Arial" w:cs="Arial"/>
          <w:color w:val="1A1A1A"/>
          <w:sz w:val="24"/>
          <w:szCs w:val="24"/>
          <w:lang w:eastAsia="en-NZ"/>
        </w:rPr>
        <w:t>.  The direct response should be provided on request from the survivor.</w:t>
      </w:r>
    </w:p>
    <w:p w14:paraId="6579B10F" w14:textId="77777777" w:rsidR="00D175AA" w:rsidRPr="00D175AA" w:rsidRDefault="00D175AA" w:rsidP="00D175AA">
      <w:pPr>
        <w:pStyle w:val="ListParagraph"/>
        <w:rPr>
          <w:rFonts w:ascii="Arial" w:eastAsia="Times New Roman" w:hAnsi="Arial" w:cs="Arial"/>
          <w:color w:val="1A1A1A"/>
          <w:sz w:val="24"/>
          <w:szCs w:val="24"/>
          <w:lang w:eastAsia="en-NZ"/>
        </w:rPr>
      </w:pPr>
    </w:p>
    <w:p w14:paraId="20DD566B" w14:textId="77777777" w:rsidR="00D175AA" w:rsidRPr="009E21DE" w:rsidRDefault="00D175AA" w:rsidP="00A3296A">
      <w:pPr>
        <w:pStyle w:val="ListParagraph"/>
        <w:numPr>
          <w:ilvl w:val="0"/>
          <w:numId w:val="6"/>
        </w:numPr>
        <w:spacing w:after="0" w:line="240" w:lineRule="auto"/>
        <w:ind w:left="1134"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 xml:space="preserve">Further, </w:t>
      </w:r>
      <w:r w:rsidRPr="009E21DE">
        <w:rPr>
          <w:rFonts w:ascii="Arial" w:eastAsia="Times New Roman" w:hAnsi="Arial" w:cs="Arial"/>
          <w:color w:val="1A1A1A"/>
          <w:sz w:val="24"/>
          <w:szCs w:val="24"/>
          <w:lang w:eastAsia="en-NZ"/>
        </w:rPr>
        <w:t xml:space="preserve">any institution or redress scheme that provides or offers any form of redress should do so consistently with the following principles: </w:t>
      </w:r>
    </w:p>
    <w:p w14:paraId="66491A30" w14:textId="77777777" w:rsidR="00D175AA" w:rsidRPr="009E21DE" w:rsidRDefault="00D175AA" w:rsidP="00D175AA">
      <w:pPr>
        <w:spacing w:after="0" w:line="240" w:lineRule="auto"/>
        <w:ind w:left="567"/>
        <w:rPr>
          <w:rFonts w:ascii="Arial" w:eastAsia="Times New Roman" w:hAnsi="Arial" w:cs="Arial"/>
          <w:color w:val="1A1A1A"/>
          <w:sz w:val="24"/>
          <w:szCs w:val="24"/>
          <w:lang w:eastAsia="en-NZ"/>
        </w:rPr>
      </w:pPr>
    </w:p>
    <w:p w14:paraId="1D7EA30B" w14:textId="71414572" w:rsidR="00D175AA" w:rsidRDefault="00D175AA" w:rsidP="00860543">
      <w:pPr>
        <w:pStyle w:val="ListParagraph"/>
        <w:numPr>
          <w:ilvl w:val="0"/>
          <w:numId w:val="2"/>
        </w:numPr>
        <w:spacing w:after="0" w:line="240" w:lineRule="auto"/>
        <w:ind w:left="1701" w:hanging="567"/>
        <w:rPr>
          <w:rFonts w:ascii="Arial" w:eastAsia="Times New Roman" w:hAnsi="Arial" w:cs="Arial"/>
          <w:color w:val="1A1A1A"/>
          <w:sz w:val="24"/>
          <w:szCs w:val="24"/>
          <w:lang w:eastAsia="en-NZ"/>
        </w:rPr>
      </w:pPr>
      <w:r w:rsidRPr="00B57308">
        <w:rPr>
          <w:rFonts w:ascii="Arial" w:eastAsia="Times New Roman" w:hAnsi="Arial" w:cs="Arial"/>
          <w:color w:val="1A1A1A"/>
          <w:sz w:val="24"/>
          <w:szCs w:val="24"/>
          <w:lang w:eastAsia="en-NZ"/>
        </w:rPr>
        <w:t>Redress should be survivor-focused</w:t>
      </w:r>
      <w:r w:rsidR="00A35CCA">
        <w:rPr>
          <w:rFonts w:ascii="Arial" w:eastAsia="Times New Roman" w:hAnsi="Arial" w:cs="Arial"/>
          <w:color w:val="1A1A1A"/>
          <w:sz w:val="24"/>
          <w:szCs w:val="24"/>
          <w:lang w:eastAsia="en-NZ"/>
        </w:rPr>
        <w:t>;</w:t>
      </w:r>
    </w:p>
    <w:p w14:paraId="1E419D49" w14:textId="701209B1" w:rsidR="00D175AA" w:rsidRDefault="00D175AA" w:rsidP="00860543">
      <w:pPr>
        <w:pStyle w:val="ListParagraph"/>
        <w:numPr>
          <w:ilvl w:val="0"/>
          <w:numId w:val="2"/>
        </w:numPr>
        <w:spacing w:after="0" w:line="240" w:lineRule="auto"/>
        <w:ind w:left="1701" w:hanging="567"/>
        <w:rPr>
          <w:rFonts w:ascii="Arial" w:eastAsia="Times New Roman" w:hAnsi="Arial" w:cs="Arial"/>
          <w:color w:val="1A1A1A"/>
          <w:sz w:val="24"/>
          <w:szCs w:val="24"/>
          <w:lang w:eastAsia="en-NZ"/>
        </w:rPr>
      </w:pPr>
      <w:r w:rsidRPr="00B57308">
        <w:rPr>
          <w:rFonts w:ascii="Arial" w:eastAsia="Times New Roman" w:hAnsi="Arial" w:cs="Arial"/>
          <w:color w:val="1A1A1A"/>
          <w:sz w:val="24"/>
          <w:szCs w:val="24"/>
          <w:lang w:eastAsia="en-NZ"/>
        </w:rPr>
        <w:t>T</w:t>
      </w:r>
      <w:r>
        <w:rPr>
          <w:rFonts w:ascii="Arial" w:eastAsia="Times New Roman" w:hAnsi="Arial" w:cs="Arial"/>
          <w:color w:val="1A1A1A"/>
          <w:sz w:val="24"/>
          <w:szCs w:val="24"/>
          <w:lang w:eastAsia="en-NZ"/>
        </w:rPr>
        <w:t>h</w:t>
      </w:r>
      <w:r w:rsidRPr="00B57308">
        <w:rPr>
          <w:rFonts w:ascii="Arial" w:eastAsia="Times New Roman" w:hAnsi="Arial" w:cs="Arial"/>
          <w:color w:val="1A1A1A"/>
          <w:sz w:val="24"/>
          <w:szCs w:val="24"/>
          <w:lang w:eastAsia="en-NZ"/>
        </w:rPr>
        <w:t>ere should be a 'no-wrong door' approach for survivors in gaining access to redress</w:t>
      </w:r>
      <w:r w:rsidR="00A35CCA">
        <w:rPr>
          <w:rFonts w:ascii="Arial" w:eastAsia="Times New Roman" w:hAnsi="Arial" w:cs="Arial"/>
          <w:color w:val="1A1A1A"/>
          <w:sz w:val="24"/>
          <w:szCs w:val="24"/>
          <w:lang w:eastAsia="en-NZ"/>
        </w:rPr>
        <w:t>;</w:t>
      </w:r>
    </w:p>
    <w:p w14:paraId="563BCD83" w14:textId="6625C841" w:rsidR="00D175AA" w:rsidRPr="00B57308" w:rsidRDefault="00D175AA" w:rsidP="00860543">
      <w:pPr>
        <w:pStyle w:val="ListParagraph"/>
        <w:numPr>
          <w:ilvl w:val="0"/>
          <w:numId w:val="2"/>
        </w:numPr>
        <w:spacing w:after="0" w:line="240" w:lineRule="auto"/>
        <w:ind w:left="1701" w:hanging="567"/>
        <w:rPr>
          <w:rFonts w:ascii="Arial" w:eastAsia="Times New Roman" w:hAnsi="Arial" w:cs="Arial"/>
          <w:color w:val="1A1A1A"/>
          <w:sz w:val="24"/>
          <w:szCs w:val="24"/>
          <w:lang w:eastAsia="en-NZ"/>
        </w:rPr>
      </w:pPr>
      <w:r w:rsidRPr="00B57308">
        <w:rPr>
          <w:rFonts w:ascii="Arial" w:eastAsia="Times New Roman" w:hAnsi="Arial" w:cs="Arial"/>
          <w:color w:val="1A1A1A"/>
          <w:sz w:val="24"/>
          <w:szCs w:val="24"/>
          <w:lang w:eastAsia="en-NZ"/>
        </w:rPr>
        <w:t>All redress should be offered, assessed, and provided with appropriate regard to what is known about the nature and impact of child sexual abuse - and institutional child sexual abuse in particular - and to the cultural needs of survivors</w:t>
      </w:r>
      <w:r w:rsidR="00A35CCA">
        <w:rPr>
          <w:rFonts w:ascii="Arial" w:eastAsia="Times New Roman" w:hAnsi="Arial" w:cs="Arial"/>
          <w:color w:val="1A1A1A"/>
          <w:sz w:val="24"/>
          <w:szCs w:val="24"/>
          <w:lang w:eastAsia="en-NZ"/>
        </w:rPr>
        <w:t>;</w:t>
      </w:r>
      <w:r w:rsidRPr="00B57308">
        <w:rPr>
          <w:rFonts w:ascii="Arial" w:eastAsia="Times New Roman" w:hAnsi="Arial" w:cs="Arial"/>
          <w:color w:val="1A1A1A"/>
          <w:sz w:val="24"/>
          <w:szCs w:val="24"/>
          <w:lang w:eastAsia="en-NZ"/>
        </w:rPr>
        <w:t xml:space="preserve"> and </w:t>
      </w:r>
    </w:p>
    <w:p w14:paraId="4F480C2E" w14:textId="77777777" w:rsidR="00D175AA" w:rsidRPr="009E21DE" w:rsidRDefault="00D175AA" w:rsidP="00860543">
      <w:pPr>
        <w:pStyle w:val="ListParagraph"/>
        <w:numPr>
          <w:ilvl w:val="0"/>
          <w:numId w:val="2"/>
        </w:numPr>
        <w:spacing w:after="0" w:line="240" w:lineRule="auto"/>
        <w:ind w:left="1701" w:hanging="567"/>
        <w:rPr>
          <w:rFonts w:ascii="Arial" w:eastAsia="Times New Roman" w:hAnsi="Arial" w:cs="Arial"/>
          <w:color w:val="1A1A1A"/>
          <w:sz w:val="24"/>
          <w:szCs w:val="24"/>
          <w:lang w:eastAsia="en-NZ"/>
        </w:rPr>
      </w:pPr>
      <w:r w:rsidRPr="009E21DE">
        <w:rPr>
          <w:rFonts w:ascii="Arial" w:eastAsia="Times New Roman" w:hAnsi="Arial" w:cs="Arial"/>
          <w:color w:val="1A1A1A"/>
          <w:sz w:val="24"/>
          <w:szCs w:val="24"/>
          <w:lang w:eastAsia="en-NZ"/>
        </w:rPr>
        <w:t>All redress should be offered, assessed and provided with appropriate regard to the particular needs of particularly vulnerable survivors.</w:t>
      </w:r>
    </w:p>
    <w:p w14:paraId="1A0828A4" w14:textId="77777777" w:rsidR="00D175AA" w:rsidRPr="009E21DE" w:rsidRDefault="00D175AA" w:rsidP="00D175AA">
      <w:pPr>
        <w:spacing w:after="0"/>
        <w:ind w:left="567"/>
        <w:rPr>
          <w:rFonts w:ascii="Arial" w:hAnsi="Arial" w:cs="Arial"/>
          <w:b/>
          <w:i/>
          <w:sz w:val="24"/>
          <w:szCs w:val="24"/>
        </w:rPr>
      </w:pPr>
    </w:p>
    <w:p w14:paraId="1013F823" w14:textId="48A16B1C" w:rsidR="005C409F" w:rsidRPr="003F34B8" w:rsidRDefault="005C409F" w:rsidP="00A3296A">
      <w:pPr>
        <w:pStyle w:val="ListParagraph"/>
        <w:numPr>
          <w:ilvl w:val="0"/>
          <w:numId w:val="6"/>
        </w:numPr>
        <w:ind w:left="1134" w:hanging="567"/>
        <w:rPr>
          <w:rFonts w:ascii="Arial" w:hAnsi="Arial" w:cs="Arial"/>
          <w:sz w:val="24"/>
          <w:szCs w:val="24"/>
        </w:rPr>
      </w:pPr>
      <w:r w:rsidRPr="003F34B8">
        <w:rPr>
          <w:rFonts w:ascii="Arial" w:hAnsi="Arial" w:cs="Arial"/>
          <w:sz w:val="24"/>
          <w:szCs w:val="24"/>
        </w:rPr>
        <w:t xml:space="preserve">The </w:t>
      </w:r>
      <w:r w:rsidR="00971EE4">
        <w:rPr>
          <w:rFonts w:ascii="Arial" w:hAnsi="Arial" w:cs="Arial"/>
          <w:sz w:val="24"/>
          <w:szCs w:val="24"/>
        </w:rPr>
        <w:t xml:space="preserve">Royal </w:t>
      </w:r>
      <w:r w:rsidRPr="003F34B8">
        <w:rPr>
          <w:rFonts w:ascii="Arial" w:hAnsi="Arial" w:cs="Arial"/>
          <w:sz w:val="24"/>
          <w:szCs w:val="24"/>
        </w:rPr>
        <w:t xml:space="preserve">Commission recommended that monetary compensation should be assessed and determined using a matrix comprised of </w:t>
      </w:r>
      <w:r w:rsidR="00923F7C">
        <w:rPr>
          <w:rFonts w:ascii="Arial" w:hAnsi="Arial" w:cs="Arial"/>
          <w:sz w:val="24"/>
          <w:szCs w:val="24"/>
        </w:rPr>
        <w:t>five</w:t>
      </w:r>
      <w:r w:rsidRPr="003F34B8">
        <w:rPr>
          <w:rFonts w:ascii="Arial" w:hAnsi="Arial" w:cs="Arial"/>
          <w:sz w:val="24"/>
          <w:szCs w:val="24"/>
        </w:rPr>
        <w:t xml:space="preserve"> factors: </w:t>
      </w:r>
    </w:p>
    <w:p w14:paraId="1286CBA7" w14:textId="77777777" w:rsidR="003F34B8" w:rsidRDefault="003F34B8" w:rsidP="003F34B8">
      <w:pPr>
        <w:pStyle w:val="ListParagraph"/>
        <w:ind w:left="1701" w:hanging="567"/>
        <w:rPr>
          <w:rFonts w:ascii="Arial" w:hAnsi="Arial" w:cs="Arial"/>
          <w:sz w:val="24"/>
          <w:szCs w:val="24"/>
        </w:rPr>
      </w:pPr>
    </w:p>
    <w:p w14:paraId="69230B76" w14:textId="641A2A77" w:rsidR="005C409F" w:rsidRPr="009E21DE" w:rsidRDefault="005C409F" w:rsidP="00860543">
      <w:pPr>
        <w:pStyle w:val="ListParagraph"/>
        <w:numPr>
          <w:ilvl w:val="0"/>
          <w:numId w:val="3"/>
        </w:numPr>
        <w:ind w:left="1701" w:hanging="567"/>
        <w:rPr>
          <w:rFonts w:ascii="Arial" w:hAnsi="Arial" w:cs="Arial"/>
          <w:sz w:val="24"/>
          <w:szCs w:val="24"/>
        </w:rPr>
      </w:pPr>
      <w:r w:rsidRPr="009E21DE">
        <w:rPr>
          <w:rFonts w:ascii="Arial" w:hAnsi="Arial" w:cs="Arial"/>
          <w:sz w:val="24"/>
          <w:szCs w:val="24"/>
        </w:rPr>
        <w:t>The severity of the abuse</w:t>
      </w:r>
      <w:r w:rsidR="003F34B8">
        <w:rPr>
          <w:rFonts w:ascii="Arial" w:hAnsi="Arial" w:cs="Arial"/>
          <w:sz w:val="24"/>
          <w:szCs w:val="24"/>
        </w:rPr>
        <w:t>;</w:t>
      </w:r>
      <w:r w:rsidRPr="009E21DE">
        <w:rPr>
          <w:rFonts w:ascii="Arial" w:hAnsi="Arial" w:cs="Arial"/>
          <w:sz w:val="24"/>
          <w:szCs w:val="24"/>
        </w:rPr>
        <w:t xml:space="preserve"> </w:t>
      </w:r>
    </w:p>
    <w:p w14:paraId="0C0E46C9" w14:textId="77777777" w:rsidR="003F34B8" w:rsidRDefault="005C409F" w:rsidP="00860543">
      <w:pPr>
        <w:pStyle w:val="ListParagraph"/>
        <w:numPr>
          <w:ilvl w:val="0"/>
          <w:numId w:val="3"/>
        </w:numPr>
        <w:ind w:left="1701" w:hanging="567"/>
        <w:rPr>
          <w:rFonts w:ascii="Arial" w:hAnsi="Arial" w:cs="Arial"/>
          <w:sz w:val="24"/>
          <w:szCs w:val="24"/>
        </w:rPr>
      </w:pPr>
      <w:r w:rsidRPr="009E21DE">
        <w:rPr>
          <w:rFonts w:ascii="Arial" w:hAnsi="Arial" w:cs="Arial"/>
          <w:sz w:val="24"/>
          <w:szCs w:val="24"/>
        </w:rPr>
        <w:t xml:space="preserve">The </w:t>
      </w:r>
      <w:r w:rsidR="003F34B8">
        <w:rPr>
          <w:rFonts w:ascii="Arial" w:hAnsi="Arial" w:cs="Arial"/>
          <w:sz w:val="24"/>
          <w:szCs w:val="24"/>
        </w:rPr>
        <w:t xml:space="preserve">severity of the </w:t>
      </w:r>
      <w:r w:rsidRPr="009E21DE">
        <w:rPr>
          <w:rFonts w:ascii="Arial" w:hAnsi="Arial" w:cs="Arial"/>
          <w:sz w:val="24"/>
          <w:szCs w:val="24"/>
        </w:rPr>
        <w:t>impact of the abuse</w:t>
      </w:r>
      <w:r w:rsidR="003F34B8">
        <w:rPr>
          <w:rFonts w:ascii="Arial" w:hAnsi="Arial" w:cs="Arial"/>
          <w:sz w:val="24"/>
          <w:szCs w:val="24"/>
        </w:rPr>
        <w:t>;</w:t>
      </w:r>
    </w:p>
    <w:p w14:paraId="229EECD5" w14:textId="77777777" w:rsidR="003F34B8" w:rsidRDefault="005C409F" w:rsidP="00860543">
      <w:pPr>
        <w:pStyle w:val="ListParagraph"/>
        <w:numPr>
          <w:ilvl w:val="0"/>
          <w:numId w:val="3"/>
        </w:numPr>
        <w:ind w:left="1701" w:hanging="567"/>
        <w:rPr>
          <w:rFonts w:ascii="Arial" w:hAnsi="Arial" w:cs="Arial"/>
          <w:sz w:val="24"/>
          <w:szCs w:val="24"/>
        </w:rPr>
      </w:pPr>
      <w:r w:rsidRPr="009E21DE">
        <w:rPr>
          <w:rFonts w:ascii="Arial" w:hAnsi="Arial" w:cs="Arial"/>
          <w:sz w:val="24"/>
          <w:szCs w:val="24"/>
        </w:rPr>
        <w:t xml:space="preserve"> </w:t>
      </w:r>
      <w:r w:rsidR="003F34B8">
        <w:rPr>
          <w:rFonts w:ascii="Arial" w:hAnsi="Arial" w:cs="Arial"/>
          <w:sz w:val="24"/>
          <w:szCs w:val="24"/>
        </w:rPr>
        <w:t xml:space="preserve">Whether there were </w:t>
      </w:r>
      <w:r w:rsidRPr="009E21DE">
        <w:rPr>
          <w:rFonts w:ascii="Arial" w:hAnsi="Arial" w:cs="Arial"/>
          <w:sz w:val="24"/>
          <w:szCs w:val="24"/>
        </w:rPr>
        <w:t xml:space="preserve">additional considerations such as whether the survivor suffered </w:t>
      </w:r>
      <w:r w:rsidR="003F34B8">
        <w:rPr>
          <w:rFonts w:ascii="Arial" w:hAnsi="Arial" w:cs="Arial"/>
          <w:sz w:val="24"/>
          <w:szCs w:val="24"/>
        </w:rPr>
        <w:t xml:space="preserve">other </w:t>
      </w:r>
      <w:r w:rsidRPr="009E21DE">
        <w:rPr>
          <w:rFonts w:ascii="Arial" w:hAnsi="Arial" w:cs="Arial"/>
          <w:sz w:val="24"/>
          <w:szCs w:val="24"/>
        </w:rPr>
        <w:t xml:space="preserve">forms of abuse </w:t>
      </w:r>
      <w:r w:rsidR="003F34B8">
        <w:rPr>
          <w:rFonts w:ascii="Arial" w:hAnsi="Arial" w:cs="Arial"/>
          <w:sz w:val="24"/>
          <w:szCs w:val="24"/>
        </w:rPr>
        <w:t xml:space="preserve">in conjunction with the </w:t>
      </w:r>
      <w:r w:rsidRPr="009E21DE">
        <w:rPr>
          <w:rFonts w:ascii="Arial" w:hAnsi="Arial" w:cs="Arial"/>
          <w:sz w:val="24"/>
          <w:szCs w:val="24"/>
        </w:rPr>
        <w:t>sexual abuse</w:t>
      </w:r>
      <w:r w:rsidR="003F34B8">
        <w:rPr>
          <w:rFonts w:ascii="Arial" w:hAnsi="Arial" w:cs="Arial"/>
          <w:sz w:val="24"/>
          <w:szCs w:val="24"/>
        </w:rPr>
        <w:t xml:space="preserve"> – including physical, emotional or cultural abuse or neglect;</w:t>
      </w:r>
    </w:p>
    <w:p w14:paraId="007BA947" w14:textId="1F7BA763" w:rsidR="005C409F" w:rsidRPr="009E21DE" w:rsidRDefault="003F34B8" w:rsidP="00860543">
      <w:pPr>
        <w:pStyle w:val="ListParagraph"/>
        <w:numPr>
          <w:ilvl w:val="0"/>
          <w:numId w:val="3"/>
        </w:numPr>
        <w:ind w:left="1701" w:hanging="567"/>
        <w:rPr>
          <w:rFonts w:ascii="Arial" w:hAnsi="Arial" w:cs="Arial"/>
          <w:sz w:val="24"/>
          <w:szCs w:val="24"/>
        </w:rPr>
      </w:pPr>
      <w:r>
        <w:rPr>
          <w:rFonts w:ascii="Arial" w:hAnsi="Arial" w:cs="Arial"/>
          <w:sz w:val="24"/>
          <w:szCs w:val="24"/>
        </w:rPr>
        <w:t>W</w:t>
      </w:r>
      <w:r w:rsidR="005C409F" w:rsidRPr="009E21DE">
        <w:rPr>
          <w:rFonts w:ascii="Arial" w:hAnsi="Arial" w:cs="Arial"/>
          <w:sz w:val="24"/>
          <w:szCs w:val="24"/>
        </w:rPr>
        <w:t xml:space="preserve">hether the survivor was </w:t>
      </w:r>
      <w:r>
        <w:rPr>
          <w:rFonts w:ascii="Arial" w:hAnsi="Arial" w:cs="Arial"/>
          <w:sz w:val="24"/>
          <w:szCs w:val="24"/>
        </w:rPr>
        <w:t xml:space="preserve">particularly </w:t>
      </w:r>
      <w:r w:rsidR="005C409F" w:rsidRPr="009E21DE">
        <w:rPr>
          <w:rFonts w:ascii="Arial" w:hAnsi="Arial" w:cs="Arial"/>
          <w:sz w:val="24"/>
          <w:szCs w:val="24"/>
        </w:rPr>
        <w:t>vulnerable to abuse because of a disability</w:t>
      </w:r>
      <w:r>
        <w:rPr>
          <w:rFonts w:ascii="Arial" w:hAnsi="Arial" w:cs="Arial"/>
          <w:sz w:val="24"/>
          <w:szCs w:val="24"/>
        </w:rPr>
        <w:t>; and</w:t>
      </w:r>
    </w:p>
    <w:p w14:paraId="2319C27D" w14:textId="1A642310" w:rsidR="005C409F" w:rsidRPr="009E21DE" w:rsidRDefault="005C409F" w:rsidP="00860543">
      <w:pPr>
        <w:pStyle w:val="ListParagraph"/>
        <w:numPr>
          <w:ilvl w:val="0"/>
          <w:numId w:val="3"/>
        </w:numPr>
        <w:ind w:left="1701" w:hanging="567"/>
        <w:rPr>
          <w:rFonts w:ascii="Arial" w:hAnsi="Arial" w:cs="Arial"/>
          <w:sz w:val="24"/>
          <w:szCs w:val="24"/>
        </w:rPr>
      </w:pPr>
      <w:r w:rsidRPr="009E21DE">
        <w:rPr>
          <w:rFonts w:ascii="Arial" w:hAnsi="Arial" w:cs="Arial"/>
          <w:sz w:val="24"/>
          <w:szCs w:val="24"/>
        </w:rPr>
        <w:t xml:space="preserve">Whether the survivor was in a </w:t>
      </w:r>
      <w:r w:rsidR="003F34B8">
        <w:rPr>
          <w:rFonts w:ascii="Arial" w:hAnsi="Arial" w:cs="Arial"/>
          <w:sz w:val="24"/>
          <w:szCs w:val="24"/>
        </w:rPr>
        <w:t>‘</w:t>
      </w:r>
      <w:r w:rsidRPr="009E21DE">
        <w:rPr>
          <w:rFonts w:ascii="Arial" w:hAnsi="Arial" w:cs="Arial"/>
          <w:sz w:val="24"/>
          <w:szCs w:val="24"/>
        </w:rPr>
        <w:t>closed</w:t>
      </w:r>
      <w:r w:rsidR="003F34B8">
        <w:rPr>
          <w:rFonts w:ascii="Arial" w:hAnsi="Arial" w:cs="Arial"/>
          <w:sz w:val="24"/>
          <w:szCs w:val="24"/>
        </w:rPr>
        <w:t>’</w:t>
      </w:r>
      <w:r w:rsidRPr="009E21DE">
        <w:rPr>
          <w:rFonts w:ascii="Arial" w:hAnsi="Arial" w:cs="Arial"/>
          <w:sz w:val="24"/>
          <w:szCs w:val="24"/>
        </w:rPr>
        <w:t xml:space="preserve"> institution</w:t>
      </w:r>
      <w:r w:rsidR="003F34B8">
        <w:rPr>
          <w:rFonts w:ascii="Arial" w:hAnsi="Arial" w:cs="Arial"/>
          <w:sz w:val="24"/>
          <w:szCs w:val="24"/>
        </w:rPr>
        <w:t>, or in state care,</w:t>
      </w:r>
      <w:r w:rsidRPr="009E21DE">
        <w:rPr>
          <w:rFonts w:ascii="Arial" w:hAnsi="Arial" w:cs="Arial"/>
          <w:sz w:val="24"/>
          <w:szCs w:val="24"/>
        </w:rPr>
        <w:t xml:space="preserve"> </w:t>
      </w:r>
      <w:r w:rsidR="003F34B8">
        <w:rPr>
          <w:rFonts w:ascii="Arial" w:hAnsi="Arial" w:cs="Arial"/>
          <w:sz w:val="24"/>
          <w:szCs w:val="24"/>
        </w:rPr>
        <w:t xml:space="preserve">or without the support of family or friends </w:t>
      </w:r>
      <w:r w:rsidRPr="009E21DE">
        <w:rPr>
          <w:rFonts w:ascii="Arial" w:hAnsi="Arial" w:cs="Arial"/>
          <w:sz w:val="24"/>
          <w:szCs w:val="24"/>
        </w:rPr>
        <w:t>at the time</w:t>
      </w:r>
      <w:r w:rsidR="003F34B8">
        <w:rPr>
          <w:rFonts w:ascii="Arial" w:hAnsi="Arial" w:cs="Arial"/>
          <w:sz w:val="24"/>
          <w:szCs w:val="24"/>
        </w:rPr>
        <w:t xml:space="preserve"> of the abuse</w:t>
      </w:r>
      <w:r w:rsidRPr="009E21DE">
        <w:rPr>
          <w:rFonts w:ascii="Arial" w:hAnsi="Arial" w:cs="Arial"/>
          <w:sz w:val="24"/>
          <w:szCs w:val="24"/>
        </w:rPr>
        <w:t xml:space="preserve">. </w:t>
      </w:r>
    </w:p>
    <w:p w14:paraId="100A9FEE" w14:textId="77777777" w:rsidR="00C24D20" w:rsidRDefault="00C24D20" w:rsidP="00C24D20">
      <w:pPr>
        <w:pStyle w:val="ListParagraph"/>
        <w:ind w:left="927"/>
        <w:rPr>
          <w:rFonts w:ascii="Arial" w:hAnsi="Arial" w:cs="Arial"/>
          <w:sz w:val="24"/>
          <w:szCs w:val="24"/>
        </w:rPr>
      </w:pPr>
    </w:p>
    <w:p w14:paraId="2E470A02" w14:textId="06915230" w:rsidR="005C409F" w:rsidRPr="00C24D20" w:rsidRDefault="005C409F" w:rsidP="00A3296A">
      <w:pPr>
        <w:pStyle w:val="ListParagraph"/>
        <w:numPr>
          <w:ilvl w:val="0"/>
          <w:numId w:val="6"/>
        </w:numPr>
        <w:ind w:left="1134" w:hanging="567"/>
        <w:rPr>
          <w:rFonts w:ascii="Arial" w:hAnsi="Arial" w:cs="Arial"/>
          <w:sz w:val="24"/>
          <w:szCs w:val="24"/>
        </w:rPr>
      </w:pPr>
      <w:r w:rsidRPr="00C24D20">
        <w:rPr>
          <w:rFonts w:ascii="Arial" w:hAnsi="Arial" w:cs="Arial"/>
          <w:sz w:val="24"/>
          <w:szCs w:val="24"/>
        </w:rPr>
        <w:t>The survivor would receive a score based on the factors listed above with the total score being positioned within a band. The bands determine the monetary amount to be awarded.</w:t>
      </w:r>
    </w:p>
    <w:p w14:paraId="0287CDC0" w14:textId="77777777" w:rsidR="003919E6" w:rsidRDefault="003919E6" w:rsidP="003919E6">
      <w:pPr>
        <w:pStyle w:val="ListParagraph"/>
        <w:ind w:left="927"/>
        <w:rPr>
          <w:rFonts w:ascii="Arial" w:hAnsi="Arial" w:cs="Arial"/>
          <w:sz w:val="24"/>
          <w:szCs w:val="24"/>
        </w:rPr>
      </w:pPr>
    </w:p>
    <w:p w14:paraId="7657B079" w14:textId="6645A040" w:rsidR="005C409F" w:rsidRPr="003919E6" w:rsidRDefault="005C409F" w:rsidP="00A3296A">
      <w:pPr>
        <w:pStyle w:val="ListParagraph"/>
        <w:numPr>
          <w:ilvl w:val="0"/>
          <w:numId w:val="6"/>
        </w:numPr>
        <w:ind w:left="1134" w:hanging="567"/>
        <w:rPr>
          <w:rFonts w:ascii="Arial" w:hAnsi="Arial" w:cs="Arial"/>
          <w:sz w:val="24"/>
          <w:szCs w:val="24"/>
        </w:rPr>
      </w:pPr>
      <w:r w:rsidRPr="003919E6">
        <w:rPr>
          <w:rFonts w:ascii="Arial" w:hAnsi="Arial" w:cs="Arial"/>
          <w:sz w:val="24"/>
          <w:szCs w:val="24"/>
        </w:rPr>
        <w:t xml:space="preserve">In assessing the payment amounts, the </w:t>
      </w:r>
      <w:r w:rsidR="00677FC6">
        <w:rPr>
          <w:rFonts w:ascii="Arial" w:hAnsi="Arial" w:cs="Arial"/>
          <w:sz w:val="24"/>
          <w:szCs w:val="24"/>
        </w:rPr>
        <w:t xml:space="preserve">Royal </w:t>
      </w:r>
      <w:r w:rsidRPr="003919E6">
        <w:rPr>
          <w:rFonts w:ascii="Arial" w:hAnsi="Arial" w:cs="Arial"/>
          <w:sz w:val="24"/>
          <w:szCs w:val="24"/>
        </w:rPr>
        <w:t>Commission had regard to the payments made under state schemes and advice from actuaries</w:t>
      </w:r>
      <w:r w:rsidR="00372B46">
        <w:rPr>
          <w:rStyle w:val="FootnoteReference"/>
          <w:rFonts w:ascii="Arial" w:hAnsi="Arial" w:cs="Arial"/>
          <w:sz w:val="24"/>
          <w:szCs w:val="24"/>
        </w:rPr>
        <w:footnoteReference w:id="9"/>
      </w:r>
      <w:r w:rsidRPr="003919E6">
        <w:rPr>
          <w:rFonts w:ascii="Arial" w:hAnsi="Arial" w:cs="Arial"/>
          <w:sz w:val="24"/>
          <w:szCs w:val="24"/>
        </w:rPr>
        <w:t xml:space="preserve"> as a way of managing issues of affordability. The </w:t>
      </w:r>
      <w:r w:rsidR="00677FC6">
        <w:rPr>
          <w:rFonts w:ascii="Arial" w:hAnsi="Arial" w:cs="Arial"/>
          <w:sz w:val="24"/>
          <w:szCs w:val="24"/>
        </w:rPr>
        <w:t xml:space="preserve">Royal </w:t>
      </w:r>
      <w:r w:rsidRPr="003919E6">
        <w:rPr>
          <w:rFonts w:ascii="Arial" w:hAnsi="Arial" w:cs="Arial"/>
          <w:sz w:val="24"/>
          <w:szCs w:val="24"/>
        </w:rPr>
        <w:t>Commission recommended a maximum payment of $200,000 and minimum payment of $10,000</w:t>
      </w:r>
      <w:r w:rsidR="0025095B">
        <w:rPr>
          <w:rFonts w:ascii="Arial" w:hAnsi="Arial" w:cs="Arial"/>
          <w:sz w:val="24"/>
          <w:szCs w:val="24"/>
        </w:rPr>
        <w:t>,</w:t>
      </w:r>
      <w:r w:rsidRPr="003919E6">
        <w:rPr>
          <w:rFonts w:ascii="Arial" w:hAnsi="Arial" w:cs="Arial"/>
          <w:sz w:val="24"/>
          <w:szCs w:val="24"/>
        </w:rPr>
        <w:t xml:space="preserve"> with an average payment of $65,000</w:t>
      </w:r>
      <w:r w:rsidR="00CE75CA">
        <w:rPr>
          <w:rFonts w:ascii="Arial" w:hAnsi="Arial" w:cs="Arial"/>
          <w:sz w:val="24"/>
          <w:szCs w:val="24"/>
        </w:rPr>
        <w:t xml:space="preserve"> </w:t>
      </w:r>
      <w:r w:rsidR="00B8280D">
        <w:rPr>
          <w:rFonts w:ascii="Arial" w:hAnsi="Arial" w:cs="Arial"/>
          <w:sz w:val="24"/>
          <w:szCs w:val="24"/>
        </w:rPr>
        <w:t>(p.23)</w:t>
      </w:r>
      <w:r w:rsidR="00CE75CA">
        <w:rPr>
          <w:rFonts w:ascii="Arial" w:hAnsi="Arial" w:cs="Arial"/>
          <w:sz w:val="24"/>
          <w:szCs w:val="24"/>
        </w:rPr>
        <w:t>.</w:t>
      </w:r>
      <w:r w:rsidR="003C1768">
        <w:rPr>
          <w:rFonts w:ascii="Arial" w:hAnsi="Arial" w:cs="Arial"/>
          <w:sz w:val="24"/>
          <w:szCs w:val="24"/>
        </w:rPr>
        <w:t xml:space="preserve">  </w:t>
      </w:r>
    </w:p>
    <w:p w14:paraId="0CFE31F8" w14:textId="77777777" w:rsidR="003919E6" w:rsidRDefault="003919E6" w:rsidP="003919E6">
      <w:pPr>
        <w:pStyle w:val="ListParagraph"/>
        <w:spacing w:after="0" w:line="240" w:lineRule="auto"/>
        <w:ind w:left="1134"/>
        <w:rPr>
          <w:rFonts w:ascii="Arial" w:eastAsia="Times New Roman" w:hAnsi="Arial" w:cs="Arial"/>
          <w:color w:val="1A1A1A"/>
          <w:sz w:val="24"/>
          <w:szCs w:val="24"/>
          <w:lang w:eastAsia="en-NZ"/>
        </w:rPr>
      </w:pPr>
    </w:p>
    <w:p w14:paraId="4724A282" w14:textId="5C69B4B7" w:rsidR="005021DB" w:rsidRPr="005021DB" w:rsidRDefault="005021DB" w:rsidP="00A3296A">
      <w:pPr>
        <w:pStyle w:val="ListParagraph"/>
        <w:numPr>
          <w:ilvl w:val="0"/>
          <w:numId w:val="6"/>
        </w:numPr>
        <w:ind w:left="1134" w:hanging="567"/>
        <w:rPr>
          <w:rFonts w:ascii="Arial" w:hAnsi="Arial" w:cs="Arial"/>
          <w:sz w:val="24"/>
          <w:szCs w:val="24"/>
        </w:rPr>
      </w:pPr>
      <w:r w:rsidRPr="005021DB">
        <w:rPr>
          <w:rFonts w:ascii="Arial" w:hAnsi="Arial" w:cs="Arial"/>
          <w:sz w:val="24"/>
          <w:szCs w:val="24"/>
        </w:rPr>
        <w:t>The Royal Commission considered</w:t>
      </w:r>
      <w:r>
        <w:rPr>
          <w:rFonts w:ascii="Arial" w:hAnsi="Arial" w:cs="Arial"/>
          <w:sz w:val="24"/>
          <w:szCs w:val="24"/>
        </w:rPr>
        <w:t xml:space="preserve"> however</w:t>
      </w:r>
      <w:r w:rsidRPr="005021DB">
        <w:rPr>
          <w:rFonts w:ascii="Arial" w:hAnsi="Arial" w:cs="Arial"/>
          <w:sz w:val="24"/>
          <w:szCs w:val="24"/>
        </w:rPr>
        <w:t xml:space="preserve"> </w:t>
      </w:r>
      <w:r w:rsidRPr="005021DB">
        <w:rPr>
          <w:rFonts w:ascii="Arial" w:hAnsi="Arial" w:cs="Arial"/>
          <w:i/>
          <w:iCs/>
          <w:sz w:val="24"/>
          <w:szCs w:val="24"/>
        </w:rPr>
        <w:t>“that attempting to prescribe a detailed redress scheme to apply to future abuse, potentially stretching decades into the future, is not now warranted or appropriate”</w:t>
      </w:r>
      <w:r w:rsidRPr="005021DB">
        <w:rPr>
          <w:rFonts w:ascii="Arial" w:hAnsi="Arial" w:cs="Arial"/>
          <w:sz w:val="24"/>
          <w:szCs w:val="24"/>
        </w:rPr>
        <w:t xml:space="preserve"> (p.6)</w:t>
      </w:r>
    </w:p>
    <w:p w14:paraId="1FBDDB98" w14:textId="77777777" w:rsidR="005021DB" w:rsidRDefault="005021DB" w:rsidP="005021DB">
      <w:pPr>
        <w:pStyle w:val="ListParagraph"/>
        <w:spacing w:after="0" w:line="240" w:lineRule="auto"/>
        <w:ind w:left="1134"/>
        <w:rPr>
          <w:rFonts w:ascii="Arial" w:eastAsia="Times New Roman" w:hAnsi="Arial" w:cs="Arial"/>
          <w:color w:val="1A1A1A"/>
          <w:sz w:val="24"/>
          <w:szCs w:val="24"/>
          <w:lang w:eastAsia="en-NZ"/>
        </w:rPr>
      </w:pPr>
    </w:p>
    <w:p w14:paraId="68E0E9E8" w14:textId="3464F2A8" w:rsidR="00AA2D33" w:rsidRDefault="00AA2D33" w:rsidP="00A3296A">
      <w:pPr>
        <w:pStyle w:val="ListParagraph"/>
        <w:numPr>
          <w:ilvl w:val="0"/>
          <w:numId w:val="6"/>
        </w:numPr>
        <w:spacing w:after="0" w:line="240" w:lineRule="auto"/>
        <w:ind w:left="1134"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With respect to civil litigation, the Royal Commission found:</w:t>
      </w:r>
    </w:p>
    <w:p w14:paraId="177A527C" w14:textId="77777777" w:rsidR="00AA2D33" w:rsidRPr="0057772F" w:rsidRDefault="00AA2D33" w:rsidP="00AA2D33">
      <w:pPr>
        <w:pStyle w:val="ListParagraph"/>
        <w:rPr>
          <w:rFonts w:ascii="Arial" w:eastAsia="Times New Roman" w:hAnsi="Arial" w:cs="Arial"/>
          <w:color w:val="1A1A1A"/>
          <w:sz w:val="24"/>
          <w:szCs w:val="24"/>
          <w:lang w:eastAsia="en-NZ"/>
        </w:rPr>
      </w:pPr>
    </w:p>
    <w:p w14:paraId="4ABB136C" w14:textId="3B12B7CC" w:rsidR="00AA2D33" w:rsidRDefault="00AA2D33" w:rsidP="00A3296A">
      <w:pPr>
        <w:pStyle w:val="ListParagraph"/>
        <w:numPr>
          <w:ilvl w:val="0"/>
          <w:numId w:val="7"/>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Current civil litigation systems and past and current redress processes had not provided justice for many survivors;</w:t>
      </w:r>
    </w:p>
    <w:p w14:paraId="5821DA36" w14:textId="698CD8D8" w:rsidR="008D16F1" w:rsidRDefault="008D16F1" w:rsidP="00A3296A">
      <w:pPr>
        <w:pStyle w:val="ListParagraph"/>
        <w:numPr>
          <w:ilvl w:val="0"/>
          <w:numId w:val="7"/>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While redress schemes may provide a suitable alternative to civil litigation, they do not offer monetary payments in the form of compensatory damages;</w:t>
      </w:r>
    </w:p>
    <w:p w14:paraId="05E4EECE" w14:textId="44F4DE28" w:rsidR="00AA2D33" w:rsidRDefault="008D16F1" w:rsidP="00A3296A">
      <w:pPr>
        <w:pStyle w:val="ListParagraph"/>
        <w:numPr>
          <w:ilvl w:val="0"/>
          <w:numId w:val="7"/>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Where survivors had already received redress through civil litigation, they should remain eligible to apply under any new redress scheme, provided that any previous payments were taken into account;</w:t>
      </w:r>
    </w:p>
    <w:p w14:paraId="00FB8258" w14:textId="52C378B5" w:rsidR="008D16F1" w:rsidRDefault="008D16F1" w:rsidP="00A3296A">
      <w:pPr>
        <w:pStyle w:val="ListParagraph"/>
        <w:numPr>
          <w:ilvl w:val="0"/>
          <w:numId w:val="7"/>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 xml:space="preserve">Current limitation periods are inappropriate given the length of time that many survivors take to disclose their abuse.  Limitation periods for commencing civil litigation relating to child sexual abuse should be removed, and such removal should be retrospective in operation;  </w:t>
      </w:r>
    </w:p>
    <w:p w14:paraId="25E77000" w14:textId="503FB6AC" w:rsidR="008D16F1" w:rsidRDefault="008D16F1" w:rsidP="00A3296A">
      <w:pPr>
        <w:pStyle w:val="ListParagraph"/>
        <w:numPr>
          <w:ilvl w:val="0"/>
          <w:numId w:val="7"/>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The aim of civil litigation should be to allow claims to be determined on their merits, but recognising national consistency is also desirable;</w:t>
      </w:r>
    </w:p>
    <w:p w14:paraId="374FB5A3" w14:textId="3D31490D" w:rsidR="008D16F1" w:rsidRDefault="008D16F1" w:rsidP="00A3296A">
      <w:pPr>
        <w:pStyle w:val="ListParagraph"/>
        <w:numPr>
          <w:ilvl w:val="0"/>
          <w:numId w:val="7"/>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Institutions can take steps to limit expensive and time-consuming civil litigation by offering effective redress and by moving quickly and fairly to investigate, accept and settle meritorious claims;</w:t>
      </w:r>
    </w:p>
    <w:p w14:paraId="26CC52D6" w14:textId="69AD1580" w:rsidR="008D16F1" w:rsidRDefault="008D16F1" w:rsidP="00A3296A">
      <w:pPr>
        <w:pStyle w:val="ListParagraph"/>
        <w:numPr>
          <w:ilvl w:val="0"/>
          <w:numId w:val="7"/>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State and territory governments should introduce legislation removing obstacles survivors encounter in identifying the proper defendant and/or who has sufficient assets to meet any liability arising from the proceedings;</w:t>
      </w:r>
    </w:p>
    <w:p w14:paraId="301EB554" w14:textId="080F949E" w:rsidR="008D16F1" w:rsidRDefault="008D16F1" w:rsidP="00A3296A">
      <w:pPr>
        <w:pStyle w:val="ListParagraph"/>
        <w:numPr>
          <w:ilvl w:val="0"/>
          <w:numId w:val="7"/>
        </w:numPr>
        <w:spacing w:after="0" w:line="240" w:lineRule="auto"/>
        <w:ind w:left="1701" w:hanging="567"/>
        <w:rPr>
          <w:rFonts w:ascii="Arial" w:eastAsia="Times New Roman" w:hAnsi="Arial" w:cs="Arial"/>
          <w:color w:val="1A1A1A"/>
          <w:sz w:val="24"/>
          <w:szCs w:val="24"/>
          <w:lang w:eastAsia="en-NZ"/>
        </w:rPr>
      </w:pPr>
      <w:r>
        <w:rPr>
          <w:rFonts w:ascii="Arial" w:eastAsia="Times New Roman" w:hAnsi="Arial" w:cs="Arial"/>
          <w:color w:val="1A1A1A"/>
          <w:sz w:val="24"/>
          <w:szCs w:val="24"/>
          <w:lang w:eastAsia="en-NZ"/>
        </w:rPr>
        <w:t>Governments are expected to act as model litigants</w:t>
      </w:r>
      <w:r w:rsidR="00D33DC4">
        <w:rPr>
          <w:rFonts w:ascii="Arial" w:eastAsia="Times New Roman" w:hAnsi="Arial" w:cs="Arial"/>
          <w:color w:val="1A1A1A"/>
          <w:sz w:val="24"/>
          <w:szCs w:val="24"/>
          <w:lang w:eastAsia="en-NZ"/>
        </w:rPr>
        <w:t>. As model litigants the governments</w:t>
      </w:r>
      <w:r w:rsidR="008C6E7F">
        <w:rPr>
          <w:rFonts w:ascii="Arial" w:eastAsia="Times New Roman" w:hAnsi="Arial" w:cs="Arial"/>
          <w:color w:val="1A1A1A"/>
          <w:sz w:val="24"/>
          <w:szCs w:val="24"/>
          <w:lang w:eastAsia="en-NZ"/>
        </w:rPr>
        <w:t xml:space="preserve"> are encouraged to adopt principles for how they will handle civil litigation in relation to child sexual abuse claims</w:t>
      </w:r>
      <w:r w:rsidR="00D33DC4">
        <w:rPr>
          <w:rFonts w:ascii="Arial" w:eastAsia="Times New Roman" w:hAnsi="Arial" w:cs="Arial"/>
          <w:color w:val="1A1A1A"/>
          <w:sz w:val="24"/>
          <w:szCs w:val="24"/>
          <w:lang w:eastAsia="en-NZ"/>
        </w:rPr>
        <w:t>. The governments</w:t>
      </w:r>
      <w:r w:rsidR="008C6E7F">
        <w:rPr>
          <w:rFonts w:ascii="Arial" w:eastAsia="Times New Roman" w:hAnsi="Arial" w:cs="Arial"/>
          <w:color w:val="1A1A1A"/>
          <w:sz w:val="24"/>
          <w:szCs w:val="24"/>
          <w:lang w:eastAsia="en-NZ"/>
        </w:rPr>
        <w:t xml:space="preserve"> should publish those guidelines or otherwise make them available to claimants and their legal representatives.  These guidelines should be designed to minimise potential re-</w:t>
      </w:r>
      <w:r w:rsidR="008C6E7F">
        <w:rPr>
          <w:rFonts w:ascii="Arial" w:eastAsia="Times New Roman" w:hAnsi="Arial" w:cs="Arial"/>
          <w:color w:val="1A1A1A"/>
          <w:sz w:val="24"/>
          <w:szCs w:val="24"/>
          <w:lang w:eastAsia="en-NZ"/>
        </w:rPr>
        <w:lastRenderedPageBreak/>
        <w:t>traumatisation of claimants and avoid unnecessarily adversarial responses to claims.</w:t>
      </w:r>
    </w:p>
    <w:p w14:paraId="3AA9FCC6" w14:textId="77777777" w:rsidR="00AA2D33" w:rsidRPr="005B6831" w:rsidRDefault="00AA2D33" w:rsidP="00AA2D33">
      <w:pPr>
        <w:pStyle w:val="ListParagraph"/>
        <w:rPr>
          <w:rFonts w:ascii="Arial" w:eastAsia="Times New Roman" w:hAnsi="Arial" w:cs="Arial"/>
          <w:color w:val="1A1A1A"/>
          <w:sz w:val="24"/>
          <w:szCs w:val="24"/>
          <w:lang w:eastAsia="en-NZ"/>
        </w:rPr>
      </w:pPr>
    </w:p>
    <w:p w14:paraId="0B9517FD" w14:textId="2AF53661" w:rsidR="005C409F" w:rsidRPr="009E21DE" w:rsidRDefault="005C409F" w:rsidP="009E21DE">
      <w:pPr>
        <w:spacing w:after="0" w:line="240" w:lineRule="auto"/>
        <w:ind w:left="567"/>
        <w:rPr>
          <w:rFonts w:ascii="Arial" w:eastAsia="Times New Roman" w:hAnsi="Arial" w:cs="Arial"/>
          <w:b/>
          <w:i/>
          <w:color w:val="000000"/>
          <w:sz w:val="24"/>
          <w:szCs w:val="24"/>
          <w:lang w:eastAsia="en-NZ"/>
        </w:rPr>
      </w:pPr>
      <w:r w:rsidRPr="009E21DE">
        <w:rPr>
          <w:rFonts w:ascii="Arial" w:eastAsia="Times New Roman" w:hAnsi="Arial" w:cs="Arial"/>
          <w:b/>
          <w:i/>
          <w:color w:val="000000"/>
          <w:sz w:val="24"/>
          <w:szCs w:val="24"/>
          <w:lang w:eastAsia="en-NZ"/>
        </w:rPr>
        <w:t xml:space="preserve">National Redress Scheme for Institutional Child Sexual Abuse </w:t>
      </w:r>
    </w:p>
    <w:p w14:paraId="71C6050C" w14:textId="77777777" w:rsidR="005C409F" w:rsidRPr="009E21DE" w:rsidRDefault="005C409F" w:rsidP="009E21DE">
      <w:pPr>
        <w:spacing w:after="0" w:line="240" w:lineRule="auto"/>
        <w:ind w:left="567"/>
        <w:rPr>
          <w:rFonts w:ascii="Arial" w:eastAsia="Times New Roman" w:hAnsi="Arial" w:cs="Arial"/>
          <w:b/>
          <w:i/>
          <w:color w:val="000000"/>
          <w:sz w:val="24"/>
          <w:szCs w:val="24"/>
          <w:lang w:eastAsia="en-NZ"/>
        </w:rPr>
      </w:pPr>
    </w:p>
    <w:p w14:paraId="300967C5" w14:textId="34990E10" w:rsidR="005021DB" w:rsidRDefault="005021DB" w:rsidP="00A3296A">
      <w:pPr>
        <w:pStyle w:val="ListParagraph"/>
        <w:numPr>
          <w:ilvl w:val="0"/>
          <w:numId w:val="6"/>
        </w:numPr>
        <w:spacing w:after="0" w:line="24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Australian Government has largely adopted the recommendations of the Royal Commission, with some modifications.  As a consequence, the National </w:t>
      </w:r>
      <w:r w:rsidRPr="005021DB">
        <w:rPr>
          <w:rFonts w:ascii="Arial" w:eastAsia="Times New Roman" w:hAnsi="Arial" w:cs="Arial"/>
          <w:color w:val="000000"/>
          <w:sz w:val="24"/>
          <w:szCs w:val="24"/>
          <w:lang w:eastAsia="en-NZ"/>
        </w:rPr>
        <w:t>Redress Scheme for Institutional Child Sexual Abuse Act 2018 (</w:t>
      </w:r>
      <w:r w:rsidRPr="005021DB">
        <w:rPr>
          <w:rFonts w:ascii="Arial" w:eastAsia="Times New Roman" w:hAnsi="Arial" w:cs="Arial"/>
          <w:b/>
          <w:bCs/>
          <w:color w:val="000000"/>
          <w:sz w:val="24"/>
          <w:szCs w:val="24"/>
          <w:lang w:eastAsia="en-NZ"/>
        </w:rPr>
        <w:t>the Act</w:t>
      </w:r>
      <w:r w:rsidRPr="005021DB">
        <w:rPr>
          <w:rFonts w:ascii="Arial" w:eastAsia="Times New Roman" w:hAnsi="Arial" w:cs="Arial"/>
          <w:color w:val="000000"/>
          <w:sz w:val="24"/>
          <w:szCs w:val="24"/>
          <w:lang w:eastAsia="en-NZ"/>
        </w:rPr>
        <w:t>)</w:t>
      </w:r>
      <w:r>
        <w:rPr>
          <w:rFonts w:ascii="Arial" w:eastAsia="Times New Roman" w:hAnsi="Arial" w:cs="Arial"/>
          <w:color w:val="000000"/>
          <w:sz w:val="24"/>
          <w:szCs w:val="24"/>
          <w:lang w:eastAsia="en-NZ"/>
        </w:rPr>
        <w:t xml:space="preserve"> has given statutory effect to the </w:t>
      </w:r>
      <w:r w:rsidR="006B4B42">
        <w:rPr>
          <w:rFonts w:ascii="Arial" w:eastAsia="Times New Roman" w:hAnsi="Arial" w:cs="Arial"/>
          <w:color w:val="000000"/>
          <w:sz w:val="24"/>
          <w:szCs w:val="24"/>
          <w:lang w:eastAsia="en-NZ"/>
        </w:rPr>
        <w:t xml:space="preserve">National Redress Scheme </w:t>
      </w:r>
      <w:r w:rsidR="00DE4D6D">
        <w:rPr>
          <w:rFonts w:ascii="Arial" w:eastAsia="Times New Roman" w:hAnsi="Arial" w:cs="Arial"/>
          <w:color w:val="000000"/>
          <w:sz w:val="24"/>
          <w:szCs w:val="24"/>
          <w:lang w:eastAsia="en-NZ"/>
        </w:rPr>
        <w:t xml:space="preserve">for Institutional Child Sexual Abuse </w:t>
      </w:r>
      <w:r w:rsidR="006B4B42">
        <w:rPr>
          <w:rFonts w:ascii="Arial" w:eastAsia="Times New Roman" w:hAnsi="Arial" w:cs="Arial"/>
          <w:color w:val="000000"/>
          <w:sz w:val="24"/>
          <w:szCs w:val="24"/>
          <w:lang w:eastAsia="en-NZ"/>
        </w:rPr>
        <w:t>(</w:t>
      </w:r>
      <w:r w:rsidRPr="006B4B42">
        <w:rPr>
          <w:rFonts w:ascii="Arial" w:eastAsia="Times New Roman" w:hAnsi="Arial" w:cs="Arial"/>
          <w:b/>
          <w:bCs/>
          <w:color w:val="000000"/>
          <w:sz w:val="24"/>
          <w:szCs w:val="24"/>
          <w:lang w:eastAsia="en-NZ"/>
        </w:rPr>
        <w:t>NRS</w:t>
      </w:r>
      <w:r w:rsidR="006B4B42">
        <w:rPr>
          <w:rFonts w:ascii="Arial" w:eastAsia="Times New Roman" w:hAnsi="Arial" w:cs="Arial"/>
          <w:color w:val="000000"/>
          <w:sz w:val="24"/>
          <w:szCs w:val="24"/>
          <w:lang w:eastAsia="en-NZ"/>
        </w:rPr>
        <w:t>)</w:t>
      </w:r>
      <w:r>
        <w:rPr>
          <w:rFonts w:ascii="Arial" w:eastAsia="Times New Roman" w:hAnsi="Arial" w:cs="Arial"/>
          <w:color w:val="000000"/>
          <w:sz w:val="24"/>
          <w:szCs w:val="24"/>
          <w:lang w:eastAsia="en-NZ"/>
        </w:rPr>
        <w:t xml:space="preserve">. </w:t>
      </w:r>
    </w:p>
    <w:p w14:paraId="406D3E7A" w14:textId="77777777" w:rsidR="005021DB" w:rsidRDefault="005021DB" w:rsidP="005021DB">
      <w:pPr>
        <w:pStyle w:val="ListParagraph"/>
        <w:spacing w:after="0" w:line="240" w:lineRule="auto"/>
        <w:ind w:left="1134"/>
        <w:rPr>
          <w:rFonts w:ascii="Arial" w:eastAsia="Times New Roman" w:hAnsi="Arial" w:cs="Arial"/>
          <w:color w:val="000000"/>
          <w:sz w:val="24"/>
          <w:szCs w:val="24"/>
          <w:lang w:eastAsia="en-NZ"/>
        </w:rPr>
      </w:pPr>
    </w:p>
    <w:p w14:paraId="54BC89C8" w14:textId="0859360C" w:rsidR="005C409F" w:rsidRDefault="005C409F" w:rsidP="00A3296A">
      <w:pPr>
        <w:pStyle w:val="ListParagraph"/>
        <w:numPr>
          <w:ilvl w:val="0"/>
          <w:numId w:val="6"/>
        </w:numPr>
        <w:spacing w:after="0" w:line="240" w:lineRule="auto"/>
        <w:ind w:left="1134" w:hanging="567"/>
        <w:rPr>
          <w:rFonts w:ascii="Arial" w:eastAsia="Times New Roman" w:hAnsi="Arial" w:cs="Arial"/>
          <w:color w:val="000000"/>
          <w:sz w:val="24"/>
          <w:szCs w:val="24"/>
          <w:lang w:eastAsia="en-NZ"/>
        </w:rPr>
      </w:pPr>
      <w:r w:rsidRPr="005021DB">
        <w:rPr>
          <w:rFonts w:ascii="Arial" w:eastAsia="Times New Roman" w:hAnsi="Arial" w:cs="Arial"/>
          <w:color w:val="000000"/>
          <w:sz w:val="24"/>
          <w:szCs w:val="24"/>
          <w:lang w:eastAsia="en-NZ"/>
        </w:rPr>
        <w:t>The Act has a sunset provision, which means that the Act ceases to have effect 10 years after commencement (depending on any further extension). The NRS is operated by an independent Government department.</w:t>
      </w:r>
    </w:p>
    <w:p w14:paraId="499F1EA6" w14:textId="77777777" w:rsidR="005021DB" w:rsidRPr="005021DB" w:rsidRDefault="005021DB" w:rsidP="005021DB">
      <w:pPr>
        <w:pStyle w:val="ListParagraph"/>
        <w:rPr>
          <w:rFonts w:ascii="Arial" w:eastAsia="Times New Roman" w:hAnsi="Arial" w:cs="Arial"/>
          <w:color w:val="000000"/>
          <w:sz w:val="24"/>
          <w:szCs w:val="24"/>
          <w:lang w:eastAsia="en-NZ"/>
        </w:rPr>
      </w:pPr>
    </w:p>
    <w:p w14:paraId="6F9A58AC" w14:textId="427CBE03" w:rsidR="005021DB" w:rsidRDefault="005021DB" w:rsidP="00A3296A">
      <w:pPr>
        <w:pStyle w:val="ListParagraph"/>
        <w:numPr>
          <w:ilvl w:val="0"/>
          <w:numId w:val="6"/>
        </w:numPr>
        <w:spacing w:after="0" w:line="24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NRS became operational on 1 July 2018.  Survivors of child sexual abuse can approach the NRS at any time until 30 June 2027 (unless extended).</w:t>
      </w:r>
    </w:p>
    <w:p w14:paraId="0F48C3C9" w14:textId="77777777" w:rsidR="005021DB" w:rsidRDefault="005021DB" w:rsidP="005021DB">
      <w:pPr>
        <w:pStyle w:val="ListParagraph"/>
        <w:spacing w:after="0" w:line="240" w:lineRule="auto"/>
        <w:ind w:left="1134"/>
        <w:rPr>
          <w:rFonts w:ascii="Arial" w:eastAsia="Times New Roman" w:hAnsi="Arial" w:cs="Arial"/>
          <w:color w:val="000000"/>
          <w:sz w:val="24"/>
          <w:szCs w:val="24"/>
          <w:lang w:eastAsia="en-NZ"/>
        </w:rPr>
      </w:pPr>
    </w:p>
    <w:p w14:paraId="73ABB159" w14:textId="52E35776" w:rsidR="006E3BFC" w:rsidRDefault="006E3BFC" w:rsidP="00A3296A">
      <w:pPr>
        <w:pStyle w:val="ListParagraph"/>
        <w:numPr>
          <w:ilvl w:val="0"/>
          <w:numId w:val="6"/>
        </w:numPr>
        <w:spacing w:after="0" w:line="24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NRS provides a legislative basis for:</w:t>
      </w:r>
    </w:p>
    <w:p w14:paraId="5368BA12" w14:textId="77777777" w:rsidR="006E3BFC" w:rsidRPr="006E3BFC" w:rsidRDefault="006E3BFC" w:rsidP="006E3BFC">
      <w:pPr>
        <w:pStyle w:val="ListParagraph"/>
        <w:rPr>
          <w:rFonts w:ascii="Arial" w:eastAsia="Times New Roman" w:hAnsi="Arial" w:cs="Arial"/>
          <w:color w:val="000000"/>
          <w:sz w:val="24"/>
          <w:szCs w:val="24"/>
          <w:lang w:eastAsia="en-NZ"/>
        </w:rPr>
      </w:pPr>
    </w:p>
    <w:p w14:paraId="769F2C05" w14:textId="05508E22"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Entitlements;</w:t>
      </w:r>
    </w:p>
    <w:p w14:paraId="7E695037" w14:textId="5DD92CE0"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Participant;</w:t>
      </w:r>
    </w:p>
    <w:p w14:paraId="6F9B6663" w14:textId="4920E262"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How to obtain access;</w:t>
      </w:r>
    </w:p>
    <w:p w14:paraId="0D99ABFC" w14:textId="714952BF"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Offers and acceptance of redress;</w:t>
      </w:r>
    </w:p>
    <w:p w14:paraId="24F86612" w14:textId="5B699316"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Provision of redress;</w:t>
      </w:r>
    </w:p>
    <w:p w14:paraId="7C3C9B84" w14:textId="195408C7"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Specialist support services, counselling and psychological care;</w:t>
      </w:r>
    </w:p>
    <w:p w14:paraId="35B8228D" w14:textId="707D94B3"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Funding;</w:t>
      </w:r>
    </w:p>
    <w:p w14:paraId="76441D03" w14:textId="77777777"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Funder of last resort; </w:t>
      </w:r>
    </w:p>
    <w:p w14:paraId="1CBE9A01" w14:textId="46FFB903"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Release from civil liability; and</w:t>
      </w:r>
    </w:p>
    <w:p w14:paraId="37863205" w14:textId="55D3A6D6" w:rsidR="006E3BFC" w:rsidRDefault="006E3BFC" w:rsidP="00A3296A">
      <w:pPr>
        <w:pStyle w:val="ListParagraph"/>
        <w:numPr>
          <w:ilvl w:val="0"/>
          <w:numId w:val="11"/>
        </w:numPr>
        <w:spacing w:after="0" w:line="240" w:lineRule="auto"/>
        <w:ind w:left="1701"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Other administrative matters</w:t>
      </w:r>
      <w:r w:rsidR="00287EAC">
        <w:rPr>
          <w:rFonts w:ascii="Arial" w:eastAsia="Times New Roman" w:hAnsi="Arial" w:cs="Arial"/>
          <w:color w:val="000000"/>
          <w:sz w:val="24"/>
          <w:szCs w:val="24"/>
          <w:lang w:eastAsia="en-NZ"/>
        </w:rPr>
        <w:t>.</w:t>
      </w:r>
    </w:p>
    <w:p w14:paraId="07B6FC10" w14:textId="77777777" w:rsidR="006E3BFC" w:rsidRDefault="006E3BFC" w:rsidP="00287EAC">
      <w:pPr>
        <w:pStyle w:val="ListParagraph"/>
        <w:spacing w:after="0" w:line="240" w:lineRule="auto"/>
        <w:ind w:left="1701"/>
        <w:rPr>
          <w:rFonts w:ascii="Arial" w:eastAsia="Times New Roman" w:hAnsi="Arial" w:cs="Arial"/>
          <w:color w:val="000000"/>
          <w:sz w:val="24"/>
          <w:szCs w:val="24"/>
          <w:lang w:eastAsia="en-NZ"/>
        </w:rPr>
      </w:pPr>
    </w:p>
    <w:p w14:paraId="44153FAC" w14:textId="5F9C8F83" w:rsidR="005C409F" w:rsidRPr="005021DB" w:rsidRDefault="005021DB" w:rsidP="00A3296A">
      <w:pPr>
        <w:pStyle w:val="ListParagraph"/>
        <w:numPr>
          <w:ilvl w:val="0"/>
          <w:numId w:val="6"/>
        </w:numPr>
        <w:spacing w:after="0" w:line="240" w:lineRule="auto"/>
        <w:ind w:left="1134" w:hanging="567"/>
        <w:rPr>
          <w:rFonts w:ascii="Arial" w:eastAsia="Times New Roman" w:hAnsi="Arial" w:cs="Arial"/>
          <w:color w:val="000000"/>
          <w:sz w:val="24"/>
          <w:szCs w:val="24"/>
          <w:lang w:eastAsia="en-NZ"/>
        </w:rPr>
      </w:pPr>
      <w:r w:rsidRPr="005021DB">
        <w:rPr>
          <w:rFonts w:ascii="Arial" w:eastAsia="Times New Roman" w:hAnsi="Arial" w:cs="Arial"/>
          <w:color w:val="000000"/>
          <w:sz w:val="24"/>
          <w:szCs w:val="24"/>
          <w:lang w:eastAsia="en-NZ"/>
        </w:rPr>
        <w:t>R</w:t>
      </w:r>
      <w:r w:rsidR="005C409F" w:rsidRPr="005021DB">
        <w:rPr>
          <w:rFonts w:ascii="Arial" w:eastAsia="Times New Roman" w:hAnsi="Arial" w:cs="Arial"/>
          <w:color w:val="000000"/>
          <w:sz w:val="24"/>
          <w:szCs w:val="24"/>
          <w:lang w:eastAsia="en-NZ"/>
        </w:rPr>
        <w:t>edress</w:t>
      </w:r>
      <w:r w:rsidR="00D33BE7">
        <w:rPr>
          <w:rFonts w:ascii="Arial" w:eastAsia="Times New Roman" w:hAnsi="Arial" w:cs="Arial"/>
          <w:color w:val="000000"/>
          <w:sz w:val="24"/>
          <w:szCs w:val="24"/>
          <w:lang w:eastAsia="en-NZ"/>
        </w:rPr>
        <w:t xml:space="preserve"> and rehabilitation</w:t>
      </w:r>
      <w:r w:rsidR="005C409F" w:rsidRPr="005021DB">
        <w:rPr>
          <w:rFonts w:ascii="Arial" w:eastAsia="Times New Roman" w:hAnsi="Arial" w:cs="Arial"/>
          <w:color w:val="000000"/>
          <w:sz w:val="24"/>
          <w:szCs w:val="24"/>
          <w:lang w:eastAsia="en-NZ"/>
        </w:rPr>
        <w:t xml:space="preserve"> under the NRS is comprised of:</w:t>
      </w:r>
    </w:p>
    <w:p w14:paraId="7E3883C5" w14:textId="77777777" w:rsidR="005C409F" w:rsidRPr="009E21DE" w:rsidRDefault="005C409F" w:rsidP="009E21DE">
      <w:pPr>
        <w:spacing w:after="0" w:line="240" w:lineRule="auto"/>
        <w:ind w:left="567"/>
        <w:rPr>
          <w:rFonts w:ascii="Arial" w:eastAsia="Times New Roman" w:hAnsi="Arial" w:cs="Arial"/>
          <w:color w:val="000000"/>
          <w:sz w:val="24"/>
          <w:szCs w:val="24"/>
          <w:lang w:eastAsia="en-NZ"/>
        </w:rPr>
      </w:pPr>
    </w:p>
    <w:p w14:paraId="5924180C" w14:textId="31546F9F" w:rsidR="005C409F" w:rsidRPr="009E21DE" w:rsidRDefault="005C409F" w:rsidP="00A3296A">
      <w:pPr>
        <w:pStyle w:val="ListParagraph"/>
        <w:numPr>
          <w:ilvl w:val="0"/>
          <w:numId w:val="10"/>
        </w:numPr>
        <w:ind w:left="1701" w:hanging="567"/>
        <w:rPr>
          <w:rFonts w:ascii="Arial" w:hAnsi="Arial" w:cs="Arial"/>
          <w:sz w:val="24"/>
          <w:szCs w:val="24"/>
        </w:rPr>
      </w:pPr>
      <w:r w:rsidRPr="009E21DE">
        <w:rPr>
          <w:rFonts w:ascii="Arial" w:hAnsi="Arial" w:cs="Arial"/>
          <w:sz w:val="24"/>
          <w:szCs w:val="24"/>
        </w:rPr>
        <w:t>a maximum payment of $150,000</w:t>
      </w:r>
      <w:r w:rsidR="005021DB">
        <w:rPr>
          <w:rFonts w:ascii="Arial" w:hAnsi="Arial" w:cs="Arial"/>
          <w:sz w:val="24"/>
          <w:szCs w:val="24"/>
        </w:rPr>
        <w:t>;</w:t>
      </w:r>
    </w:p>
    <w:p w14:paraId="58BB6B62" w14:textId="0F4AF537" w:rsidR="005C409F" w:rsidRPr="009E21DE" w:rsidRDefault="005C409F" w:rsidP="00A3296A">
      <w:pPr>
        <w:pStyle w:val="ListParagraph"/>
        <w:numPr>
          <w:ilvl w:val="0"/>
          <w:numId w:val="10"/>
        </w:numPr>
        <w:ind w:left="1701" w:hanging="567"/>
        <w:rPr>
          <w:rFonts w:ascii="Arial" w:hAnsi="Arial" w:cs="Arial"/>
          <w:sz w:val="24"/>
          <w:szCs w:val="24"/>
        </w:rPr>
      </w:pPr>
      <w:r w:rsidRPr="009E21DE">
        <w:rPr>
          <w:rFonts w:ascii="Arial" w:hAnsi="Arial" w:cs="Arial"/>
          <w:sz w:val="24"/>
          <w:szCs w:val="24"/>
        </w:rPr>
        <w:t>access to counselling and psychological services up to a maximum value of $5,000 (or cash of a similar value if specific services are unavailable in that location)</w:t>
      </w:r>
      <w:r w:rsidR="005021DB">
        <w:rPr>
          <w:rFonts w:ascii="Arial" w:hAnsi="Arial" w:cs="Arial"/>
          <w:sz w:val="24"/>
          <w:szCs w:val="24"/>
        </w:rPr>
        <w:t>;</w:t>
      </w:r>
    </w:p>
    <w:p w14:paraId="29138571" w14:textId="77777777" w:rsidR="005C409F" w:rsidRPr="009E21DE" w:rsidRDefault="005C409F" w:rsidP="00A3296A">
      <w:pPr>
        <w:pStyle w:val="ListParagraph"/>
        <w:numPr>
          <w:ilvl w:val="0"/>
          <w:numId w:val="10"/>
        </w:numPr>
        <w:ind w:left="1701" w:hanging="567"/>
        <w:rPr>
          <w:rFonts w:ascii="Arial" w:hAnsi="Arial" w:cs="Arial"/>
          <w:sz w:val="24"/>
          <w:szCs w:val="24"/>
        </w:rPr>
      </w:pPr>
      <w:r w:rsidRPr="009E21DE">
        <w:rPr>
          <w:rFonts w:ascii="Arial" w:hAnsi="Arial" w:cs="Arial"/>
          <w:sz w:val="24"/>
          <w:szCs w:val="24"/>
        </w:rPr>
        <w:t>a direct personal response to the survivor from the participating responsible institution (if the survivor requests such a meeting).</w:t>
      </w:r>
    </w:p>
    <w:p w14:paraId="090FB956" w14:textId="77777777" w:rsidR="00287EAC" w:rsidRDefault="00287EAC" w:rsidP="00287EAC">
      <w:pPr>
        <w:pStyle w:val="ListParagraph"/>
        <w:ind w:left="1134" w:hanging="567"/>
        <w:rPr>
          <w:rFonts w:ascii="Arial" w:hAnsi="Arial" w:cs="Arial"/>
          <w:sz w:val="24"/>
          <w:szCs w:val="24"/>
        </w:rPr>
      </w:pPr>
    </w:p>
    <w:p w14:paraId="6CF2F6AC" w14:textId="1C6C7D4D" w:rsidR="005C409F" w:rsidRPr="008C1454" w:rsidRDefault="005C409F" w:rsidP="00A3296A">
      <w:pPr>
        <w:pStyle w:val="ListParagraph"/>
        <w:numPr>
          <w:ilvl w:val="0"/>
          <w:numId w:val="6"/>
        </w:numPr>
        <w:ind w:left="1134" w:hanging="567"/>
        <w:rPr>
          <w:rFonts w:ascii="Arial" w:hAnsi="Arial" w:cs="Arial"/>
          <w:sz w:val="24"/>
          <w:szCs w:val="24"/>
        </w:rPr>
      </w:pPr>
      <w:r w:rsidRPr="008C1454">
        <w:rPr>
          <w:rFonts w:ascii="Arial" w:hAnsi="Arial" w:cs="Arial"/>
          <w:sz w:val="24"/>
          <w:szCs w:val="24"/>
        </w:rPr>
        <w:t>State and Territorial governments and institutions implicated in sexual abuse were provided an opportunity to sign up to the scheme, with participating State and Territorial governments and institutions contributing to the costs. Institutions are required to pay a proportion of the redress depending on whether they are found to be primarily or equally responsible for the abuse that occurred.</w:t>
      </w:r>
    </w:p>
    <w:p w14:paraId="180C9B15" w14:textId="77777777" w:rsidR="00287EAC" w:rsidRDefault="00287EAC" w:rsidP="00287EAC">
      <w:pPr>
        <w:pStyle w:val="ListParagraph"/>
        <w:ind w:left="927"/>
        <w:rPr>
          <w:rFonts w:ascii="Arial" w:hAnsi="Arial" w:cs="Arial"/>
          <w:sz w:val="24"/>
          <w:szCs w:val="24"/>
        </w:rPr>
      </w:pPr>
    </w:p>
    <w:p w14:paraId="3FEE0E49" w14:textId="7E7A47C9" w:rsidR="005C409F" w:rsidRPr="00287EAC" w:rsidRDefault="005C409F" w:rsidP="00A3296A">
      <w:pPr>
        <w:pStyle w:val="ListParagraph"/>
        <w:numPr>
          <w:ilvl w:val="0"/>
          <w:numId w:val="6"/>
        </w:numPr>
        <w:ind w:left="1134" w:hanging="567"/>
        <w:rPr>
          <w:rFonts w:ascii="Arial" w:hAnsi="Arial" w:cs="Arial"/>
          <w:sz w:val="24"/>
          <w:szCs w:val="24"/>
        </w:rPr>
      </w:pPr>
      <w:r w:rsidRPr="00287EAC">
        <w:rPr>
          <w:rFonts w:ascii="Arial" w:hAnsi="Arial" w:cs="Arial"/>
          <w:sz w:val="24"/>
          <w:szCs w:val="24"/>
        </w:rPr>
        <w:t xml:space="preserve">Redress is provided for the sexual abuse and related non-sexual abuse of a person that is within the scope of the scheme. Redress is not provided if no sexual abuse occurred. </w:t>
      </w:r>
    </w:p>
    <w:p w14:paraId="760497FD" w14:textId="77777777" w:rsidR="0013317A" w:rsidRDefault="0013317A" w:rsidP="0013317A">
      <w:pPr>
        <w:pStyle w:val="ListParagraph"/>
        <w:ind w:left="927"/>
        <w:rPr>
          <w:rFonts w:ascii="Arial" w:hAnsi="Arial" w:cs="Arial"/>
          <w:sz w:val="24"/>
          <w:szCs w:val="24"/>
        </w:rPr>
      </w:pPr>
    </w:p>
    <w:p w14:paraId="2AA6CC48" w14:textId="5F5FB737" w:rsidR="005C409F" w:rsidRPr="0013317A" w:rsidRDefault="005C409F" w:rsidP="00A3296A">
      <w:pPr>
        <w:pStyle w:val="ListParagraph"/>
        <w:numPr>
          <w:ilvl w:val="0"/>
          <w:numId w:val="6"/>
        </w:numPr>
        <w:ind w:left="1134" w:hanging="567"/>
        <w:rPr>
          <w:rFonts w:ascii="Arial" w:hAnsi="Arial" w:cs="Arial"/>
          <w:sz w:val="24"/>
          <w:szCs w:val="24"/>
        </w:rPr>
      </w:pPr>
      <w:r w:rsidRPr="0013317A">
        <w:rPr>
          <w:rFonts w:ascii="Arial" w:hAnsi="Arial" w:cs="Arial"/>
          <w:sz w:val="24"/>
          <w:szCs w:val="24"/>
        </w:rPr>
        <w:t>Applications must be in writing. The claimant must provide the operating agency with any relevant supporting information to support the application. No oral hearings or interviews are held with the claimant. The agency that operates the NRS has the power to require the claimant to produce additional information. The operator may also require participating agencies to provide relevant information.</w:t>
      </w:r>
    </w:p>
    <w:p w14:paraId="22C425B4" w14:textId="77777777" w:rsidR="0013317A" w:rsidRDefault="0013317A" w:rsidP="0013317A">
      <w:pPr>
        <w:pStyle w:val="ListParagraph"/>
        <w:ind w:left="927"/>
        <w:rPr>
          <w:rFonts w:ascii="Arial" w:hAnsi="Arial" w:cs="Arial"/>
          <w:sz w:val="24"/>
          <w:szCs w:val="24"/>
        </w:rPr>
      </w:pPr>
    </w:p>
    <w:p w14:paraId="5BF79DC0" w14:textId="40E4C0C5" w:rsidR="005C409F" w:rsidRPr="0013317A" w:rsidRDefault="005C409F" w:rsidP="00A3296A">
      <w:pPr>
        <w:pStyle w:val="ListParagraph"/>
        <w:numPr>
          <w:ilvl w:val="0"/>
          <w:numId w:val="6"/>
        </w:numPr>
        <w:ind w:left="1134" w:hanging="567"/>
        <w:rPr>
          <w:rFonts w:ascii="Arial" w:hAnsi="Arial" w:cs="Arial"/>
          <w:sz w:val="24"/>
          <w:szCs w:val="24"/>
        </w:rPr>
      </w:pPr>
      <w:r w:rsidRPr="0013317A">
        <w:rPr>
          <w:rFonts w:ascii="Arial" w:hAnsi="Arial" w:cs="Arial"/>
          <w:sz w:val="24"/>
          <w:szCs w:val="24"/>
        </w:rPr>
        <w:t>A survivor may be eligible for redress if:</w:t>
      </w:r>
    </w:p>
    <w:p w14:paraId="11ACAF5B" w14:textId="77777777" w:rsidR="0013317A" w:rsidRDefault="0013317A" w:rsidP="0013317A">
      <w:pPr>
        <w:pStyle w:val="ListParagraph"/>
        <w:spacing w:after="0" w:line="240" w:lineRule="auto"/>
        <w:ind w:left="1701"/>
        <w:rPr>
          <w:rFonts w:ascii="Arial" w:hAnsi="Arial" w:cs="Arial"/>
          <w:color w:val="000000"/>
          <w:sz w:val="24"/>
          <w:szCs w:val="24"/>
        </w:rPr>
      </w:pPr>
    </w:p>
    <w:p w14:paraId="456BC669" w14:textId="28CFF18E" w:rsidR="005C409F" w:rsidRPr="009E21DE" w:rsidRDefault="005C409F" w:rsidP="00A3296A">
      <w:pPr>
        <w:pStyle w:val="ListParagraph"/>
        <w:numPr>
          <w:ilvl w:val="0"/>
          <w:numId w:val="12"/>
        </w:numPr>
        <w:spacing w:after="0" w:line="240" w:lineRule="auto"/>
        <w:ind w:left="1701" w:hanging="567"/>
        <w:rPr>
          <w:rFonts w:ascii="Arial" w:hAnsi="Arial" w:cs="Arial"/>
          <w:color w:val="000000"/>
          <w:sz w:val="24"/>
          <w:szCs w:val="24"/>
        </w:rPr>
      </w:pPr>
      <w:r w:rsidRPr="009E21DE">
        <w:rPr>
          <w:rFonts w:ascii="Arial" w:hAnsi="Arial" w:cs="Arial"/>
          <w:color w:val="000000"/>
          <w:sz w:val="24"/>
          <w:szCs w:val="24"/>
        </w:rPr>
        <w:t>the person was sexually abused</w:t>
      </w:r>
      <w:r w:rsidR="0013317A">
        <w:rPr>
          <w:rFonts w:ascii="Arial" w:hAnsi="Arial" w:cs="Arial"/>
          <w:color w:val="000000"/>
          <w:sz w:val="24"/>
          <w:szCs w:val="24"/>
        </w:rPr>
        <w:t>;</w:t>
      </w:r>
    </w:p>
    <w:p w14:paraId="52A7870E" w14:textId="4C72909A" w:rsidR="005C409F" w:rsidRPr="009E21DE" w:rsidRDefault="005C409F" w:rsidP="00A3296A">
      <w:pPr>
        <w:pStyle w:val="ListParagraph"/>
        <w:numPr>
          <w:ilvl w:val="0"/>
          <w:numId w:val="12"/>
        </w:numPr>
        <w:spacing w:after="0" w:line="240" w:lineRule="auto"/>
        <w:ind w:left="1701" w:hanging="567"/>
        <w:rPr>
          <w:rFonts w:ascii="Arial" w:hAnsi="Arial" w:cs="Arial"/>
          <w:color w:val="000000"/>
          <w:sz w:val="24"/>
          <w:szCs w:val="24"/>
        </w:rPr>
      </w:pPr>
      <w:r w:rsidRPr="009E21DE">
        <w:rPr>
          <w:rFonts w:ascii="Arial" w:hAnsi="Arial" w:cs="Arial"/>
          <w:color w:val="000000"/>
          <w:sz w:val="24"/>
          <w:szCs w:val="24"/>
        </w:rPr>
        <w:t>the abuse is within the scope of the scheme</w:t>
      </w:r>
      <w:r w:rsidR="0013317A">
        <w:rPr>
          <w:rFonts w:ascii="Arial" w:hAnsi="Arial" w:cs="Arial"/>
          <w:color w:val="000000"/>
          <w:sz w:val="24"/>
          <w:szCs w:val="24"/>
        </w:rPr>
        <w:t>;</w:t>
      </w:r>
    </w:p>
    <w:p w14:paraId="7FF506EA" w14:textId="622250BD" w:rsidR="005C409F" w:rsidRPr="009E21DE" w:rsidRDefault="005C409F" w:rsidP="00A3296A">
      <w:pPr>
        <w:pStyle w:val="ListParagraph"/>
        <w:numPr>
          <w:ilvl w:val="0"/>
          <w:numId w:val="12"/>
        </w:numPr>
        <w:spacing w:after="0" w:line="240" w:lineRule="auto"/>
        <w:ind w:left="1701" w:hanging="567"/>
        <w:rPr>
          <w:rFonts w:ascii="Arial" w:hAnsi="Arial" w:cs="Arial"/>
          <w:color w:val="000000"/>
          <w:sz w:val="24"/>
          <w:szCs w:val="24"/>
        </w:rPr>
      </w:pPr>
      <w:r w:rsidRPr="009E21DE">
        <w:rPr>
          <w:rFonts w:ascii="Arial" w:hAnsi="Arial" w:cs="Arial"/>
          <w:color w:val="000000"/>
          <w:sz w:val="24"/>
          <w:szCs w:val="24"/>
        </w:rPr>
        <w:t>the abuse is of a kind where the maximum redress payment would be more than nil</w:t>
      </w:r>
      <w:r w:rsidR="0013317A">
        <w:rPr>
          <w:rFonts w:ascii="Arial" w:hAnsi="Arial" w:cs="Arial"/>
          <w:color w:val="000000"/>
          <w:sz w:val="24"/>
          <w:szCs w:val="24"/>
        </w:rPr>
        <w:t>;</w:t>
      </w:r>
    </w:p>
    <w:p w14:paraId="76172F3F" w14:textId="33C08F5B" w:rsidR="005C409F" w:rsidRPr="009E21DE" w:rsidRDefault="005C409F" w:rsidP="00A3296A">
      <w:pPr>
        <w:pStyle w:val="ListParagraph"/>
        <w:numPr>
          <w:ilvl w:val="0"/>
          <w:numId w:val="12"/>
        </w:numPr>
        <w:spacing w:after="0" w:line="240" w:lineRule="auto"/>
        <w:ind w:left="1701" w:hanging="567"/>
        <w:rPr>
          <w:rFonts w:ascii="Arial" w:hAnsi="Arial" w:cs="Arial"/>
          <w:color w:val="000000"/>
          <w:sz w:val="24"/>
          <w:szCs w:val="24"/>
        </w:rPr>
      </w:pPr>
      <w:r w:rsidRPr="009E21DE">
        <w:rPr>
          <w:rFonts w:ascii="Arial" w:hAnsi="Arial" w:cs="Arial"/>
          <w:color w:val="000000"/>
          <w:sz w:val="24"/>
          <w:szCs w:val="24"/>
        </w:rPr>
        <w:t>one or more participating institutions w</w:t>
      </w:r>
      <w:r w:rsidR="0013317A">
        <w:rPr>
          <w:rFonts w:ascii="Arial" w:hAnsi="Arial" w:cs="Arial"/>
          <w:color w:val="000000"/>
          <w:sz w:val="24"/>
          <w:szCs w:val="24"/>
        </w:rPr>
        <w:t>as</w:t>
      </w:r>
      <w:r w:rsidRPr="009E21DE">
        <w:rPr>
          <w:rFonts w:ascii="Arial" w:hAnsi="Arial" w:cs="Arial"/>
          <w:color w:val="000000"/>
          <w:sz w:val="24"/>
          <w:szCs w:val="24"/>
        </w:rPr>
        <w:t xml:space="preserve"> responsible for the abuse</w:t>
      </w:r>
      <w:r w:rsidR="0013317A">
        <w:rPr>
          <w:rFonts w:ascii="Arial" w:hAnsi="Arial" w:cs="Arial"/>
          <w:color w:val="000000"/>
          <w:sz w:val="24"/>
          <w:szCs w:val="24"/>
        </w:rPr>
        <w:t>; and</w:t>
      </w:r>
      <w:r w:rsidRPr="009E21DE">
        <w:rPr>
          <w:rFonts w:ascii="Arial" w:hAnsi="Arial" w:cs="Arial"/>
          <w:color w:val="000000"/>
          <w:sz w:val="24"/>
          <w:szCs w:val="24"/>
        </w:rPr>
        <w:t xml:space="preserve"> </w:t>
      </w:r>
    </w:p>
    <w:p w14:paraId="727C87FC" w14:textId="1F0ACAA3" w:rsidR="005C409F" w:rsidRPr="009E21DE" w:rsidRDefault="005C409F" w:rsidP="00A3296A">
      <w:pPr>
        <w:pStyle w:val="ListParagraph"/>
        <w:numPr>
          <w:ilvl w:val="0"/>
          <w:numId w:val="12"/>
        </w:numPr>
        <w:ind w:left="1701" w:hanging="567"/>
        <w:rPr>
          <w:rFonts w:ascii="Arial" w:hAnsi="Arial" w:cs="Arial"/>
          <w:sz w:val="24"/>
          <w:szCs w:val="24"/>
        </w:rPr>
      </w:pPr>
      <w:r w:rsidRPr="009E21DE">
        <w:rPr>
          <w:rFonts w:ascii="Arial" w:hAnsi="Arial" w:cs="Arial"/>
          <w:color w:val="000000"/>
          <w:sz w:val="24"/>
          <w:szCs w:val="24"/>
        </w:rPr>
        <w:t>the claimant was an Australian citizen or permanent resident</w:t>
      </w:r>
      <w:r w:rsidR="0013317A">
        <w:rPr>
          <w:rFonts w:ascii="Arial" w:hAnsi="Arial" w:cs="Arial"/>
          <w:color w:val="000000"/>
          <w:sz w:val="24"/>
          <w:szCs w:val="24"/>
        </w:rPr>
        <w:t xml:space="preserve"> at the time of the abuse</w:t>
      </w:r>
      <w:r w:rsidRPr="009E21DE">
        <w:rPr>
          <w:rFonts w:ascii="Arial" w:hAnsi="Arial" w:cs="Arial"/>
          <w:color w:val="000000"/>
          <w:sz w:val="24"/>
          <w:szCs w:val="24"/>
        </w:rPr>
        <w:t>.</w:t>
      </w:r>
    </w:p>
    <w:p w14:paraId="65A48E78" w14:textId="4881F5C5" w:rsidR="0013317A" w:rsidRDefault="0013317A" w:rsidP="0013317A">
      <w:pPr>
        <w:pStyle w:val="ListParagraph"/>
        <w:ind w:left="927"/>
        <w:rPr>
          <w:rFonts w:ascii="Arial" w:hAnsi="Arial" w:cs="Arial"/>
          <w:sz w:val="24"/>
          <w:szCs w:val="24"/>
        </w:rPr>
      </w:pPr>
    </w:p>
    <w:p w14:paraId="2E79B161" w14:textId="5478A2BA" w:rsidR="005C409F" w:rsidRPr="0013317A" w:rsidRDefault="005C409F" w:rsidP="00A3296A">
      <w:pPr>
        <w:pStyle w:val="ListParagraph"/>
        <w:numPr>
          <w:ilvl w:val="0"/>
          <w:numId w:val="6"/>
        </w:numPr>
        <w:ind w:left="1134" w:hanging="567"/>
        <w:rPr>
          <w:rFonts w:ascii="Arial" w:hAnsi="Arial" w:cs="Arial"/>
          <w:sz w:val="24"/>
          <w:szCs w:val="24"/>
        </w:rPr>
      </w:pPr>
      <w:r w:rsidRPr="0013317A">
        <w:rPr>
          <w:rFonts w:ascii="Arial" w:hAnsi="Arial" w:cs="Arial"/>
          <w:sz w:val="24"/>
          <w:szCs w:val="24"/>
        </w:rPr>
        <w:t xml:space="preserve">A claimant who accepts any offer under the NRS is unable to pursue a claim for damages </w:t>
      </w:r>
      <w:r w:rsidR="0013317A">
        <w:rPr>
          <w:rFonts w:ascii="Arial" w:hAnsi="Arial" w:cs="Arial"/>
          <w:sz w:val="24"/>
          <w:szCs w:val="24"/>
        </w:rPr>
        <w:t xml:space="preserve">through civil litigation </w:t>
      </w:r>
      <w:r w:rsidRPr="0013317A">
        <w:rPr>
          <w:rFonts w:ascii="Arial" w:hAnsi="Arial" w:cs="Arial"/>
          <w:sz w:val="24"/>
          <w:szCs w:val="24"/>
        </w:rPr>
        <w:t xml:space="preserve">against the same institution for the same events. A claimant is also not able to lodge a new application if they have rejected an earlier offer. </w:t>
      </w:r>
    </w:p>
    <w:p w14:paraId="0D96A032" w14:textId="67DD5159" w:rsidR="005C409F" w:rsidRPr="005709AA" w:rsidRDefault="00F43966" w:rsidP="009E21DE">
      <w:pPr>
        <w:pStyle w:val="Heading2"/>
        <w:ind w:left="567"/>
        <w:rPr>
          <w:rFonts w:ascii="Arial" w:hAnsi="Arial" w:cs="Arial"/>
          <w:b/>
          <w:i/>
          <w:color w:val="000000" w:themeColor="text1"/>
          <w:sz w:val="24"/>
          <w:szCs w:val="24"/>
          <w:lang w:val="en-NZ"/>
        </w:rPr>
      </w:pPr>
      <w:r>
        <w:rPr>
          <w:rFonts w:ascii="Arial" w:hAnsi="Arial" w:cs="Arial"/>
          <w:b/>
          <w:i/>
          <w:color w:val="000000" w:themeColor="text1"/>
          <w:sz w:val="24"/>
          <w:szCs w:val="24"/>
          <w:lang w:val="en-NZ"/>
        </w:rPr>
        <w:t xml:space="preserve">Legislative amendments: </w:t>
      </w:r>
      <w:r w:rsidR="0091772E">
        <w:rPr>
          <w:rFonts w:ascii="Arial" w:hAnsi="Arial" w:cs="Arial"/>
          <w:b/>
          <w:i/>
          <w:color w:val="000000" w:themeColor="text1"/>
          <w:sz w:val="24"/>
          <w:szCs w:val="24"/>
          <w:lang w:val="en-NZ"/>
        </w:rPr>
        <w:t>Limitation periods</w:t>
      </w:r>
    </w:p>
    <w:p w14:paraId="668C5C5A" w14:textId="77777777" w:rsidR="005C409F" w:rsidRPr="009E21DE" w:rsidRDefault="005C409F" w:rsidP="009E21DE">
      <w:pPr>
        <w:pStyle w:val="Heading2"/>
        <w:ind w:left="567"/>
        <w:rPr>
          <w:rFonts w:ascii="Arial" w:hAnsi="Arial" w:cs="Arial"/>
          <w:b/>
          <w:color w:val="000000" w:themeColor="text1"/>
          <w:sz w:val="24"/>
          <w:szCs w:val="24"/>
          <w:lang w:val="en-NZ"/>
        </w:rPr>
      </w:pPr>
    </w:p>
    <w:p w14:paraId="3B9D574E" w14:textId="23D10C0B" w:rsidR="00917019" w:rsidRPr="00917019" w:rsidRDefault="00917019" w:rsidP="00A3296A">
      <w:pPr>
        <w:pStyle w:val="ListParagraph"/>
        <w:numPr>
          <w:ilvl w:val="0"/>
          <w:numId w:val="16"/>
        </w:numPr>
        <w:spacing w:after="0"/>
        <w:ind w:left="1134" w:hanging="567"/>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w:t>
      </w:r>
      <w:r w:rsidRPr="00917019">
        <w:rPr>
          <w:rFonts w:ascii="Arial" w:eastAsia="Times New Roman" w:hAnsi="Arial" w:cs="Arial"/>
          <w:color w:val="000000"/>
          <w:sz w:val="24"/>
          <w:szCs w:val="24"/>
          <w:lang w:eastAsia="en-NZ"/>
        </w:rPr>
        <w:t xml:space="preserve">he </w:t>
      </w:r>
      <w:r>
        <w:rPr>
          <w:rFonts w:ascii="Arial" w:eastAsia="Times New Roman" w:hAnsi="Arial" w:cs="Arial"/>
          <w:color w:val="000000"/>
          <w:sz w:val="24"/>
          <w:szCs w:val="24"/>
          <w:lang w:eastAsia="en-NZ"/>
        </w:rPr>
        <w:t xml:space="preserve">Royal </w:t>
      </w:r>
      <w:r w:rsidRPr="00917019">
        <w:rPr>
          <w:rFonts w:ascii="Arial" w:eastAsia="Times New Roman" w:hAnsi="Arial" w:cs="Arial"/>
          <w:color w:val="000000"/>
          <w:sz w:val="24"/>
          <w:szCs w:val="24"/>
          <w:lang w:eastAsia="en-NZ"/>
        </w:rPr>
        <w:t>Commission made the following recommendations</w:t>
      </w:r>
      <w:r>
        <w:rPr>
          <w:rFonts w:ascii="Arial" w:eastAsia="Times New Roman" w:hAnsi="Arial" w:cs="Arial"/>
          <w:color w:val="000000"/>
          <w:sz w:val="24"/>
          <w:szCs w:val="24"/>
          <w:lang w:eastAsia="en-NZ"/>
        </w:rPr>
        <w:t xml:space="preserve"> relating to </w:t>
      </w:r>
      <w:r>
        <w:rPr>
          <w:rFonts w:ascii="Arial" w:eastAsia="Times New Roman" w:hAnsi="Arial" w:cs="Arial"/>
          <w:color w:val="1A1A1A"/>
          <w:sz w:val="24"/>
          <w:szCs w:val="24"/>
          <w:lang w:eastAsia="en-NZ"/>
        </w:rPr>
        <w:t>l</w:t>
      </w:r>
      <w:r w:rsidRPr="00F43966">
        <w:rPr>
          <w:rFonts w:ascii="Arial" w:eastAsia="Times New Roman" w:hAnsi="Arial" w:cs="Arial"/>
          <w:color w:val="1A1A1A"/>
          <w:sz w:val="24"/>
          <w:szCs w:val="24"/>
          <w:lang w:eastAsia="en-NZ"/>
        </w:rPr>
        <w:t>imitation periods for commencing civil litigation relating to child sexual abuse</w:t>
      </w:r>
      <w:r w:rsidR="0070067D">
        <w:rPr>
          <w:rFonts w:ascii="Arial" w:eastAsia="Times New Roman" w:hAnsi="Arial" w:cs="Arial"/>
          <w:color w:val="1A1A1A"/>
          <w:sz w:val="24"/>
          <w:szCs w:val="24"/>
          <w:lang w:eastAsia="en-NZ"/>
        </w:rPr>
        <w:t>:</w:t>
      </w:r>
    </w:p>
    <w:p w14:paraId="7EA879A7" w14:textId="77777777" w:rsidR="0070067D" w:rsidRDefault="0070067D" w:rsidP="0070067D">
      <w:pPr>
        <w:pStyle w:val="ListParagraph"/>
        <w:spacing w:after="0"/>
        <w:ind w:left="1928"/>
        <w:contextualSpacing w:val="0"/>
        <w:rPr>
          <w:rFonts w:ascii="Arial" w:eastAsia="Times New Roman" w:hAnsi="Arial" w:cs="Arial"/>
          <w:color w:val="000000"/>
          <w:sz w:val="24"/>
          <w:szCs w:val="24"/>
          <w:lang w:eastAsia="en-NZ"/>
        </w:rPr>
      </w:pPr>
    </w:p>
    <w:p w14:paraId="25248F87" w14:textId="37842B80" w:rsidR="00917019" w:rsidRDefault="00917019" w:rsidP="00A3296A">
      <w:pPr>
        <w:pStyle w:val="ListParagraph"/>
        <w:numPr>
          <w:ilvl w:val="1"/>
          <w:numId w:val="18"/>
        </w:numPr>
        <w:spacing w:after="0"/>
        <w:ind w:left="1928" w:hanging="794"/>
        <w:contextualSpacing w:val="0"/>
        <w:rPr>
          <w:rFonts w:ascii="Arial" w:eastAsia="Times New Roman" w:hAnsi="Arial" w:cs="Arial"/>
          <w:color w:val="000000"/>
          <w:sz w:val="24"/>
          <w:szCs w:val="24"/>
          <w:lang w:eastAsia="en-NZ"/>
        </w:rPr>
      </w:pPr>
      <w:r w:rsidRPr="00917019">
        <w:rPr>
          <w:rFonts w:ascii="Arial" w:eastAsia="Times New Roman" w:hAnsi="Arial" w:cs="Arial"/>
          <w:color w:val="000000"/>
          <w:sz w:val="24"/>
          <w:szCs w:val="24"/>
          <w:lang w:eastAsia="en-NZ"/>
        </w:rPr>
        <w:t>that the State and Territory governments progress legislation to remove any limitation periods that apply to claims for damages for personal injury caused by sexual abuse in an institutional context when the person was a child</w:t>
      </w:r>
      <w:r w:rsidR="0070067D">
        <w:rPr>
          <w:rFonts w:ascii="Arial" w:eastAsia="Times New Roman" w:hAnsi="Arial" w:cs="Arial"/>
          <w:color w:val="000000"/>
          <w:sz w:val="24"/>
          <w:szCs w:val="24"/>
          <w:lang w:eastAsia="en-NZ"/>
        </w:rPr>
        <w:t>;</w:t>
      </w:r>
      <w:r w:rsidRPr="00917019">
        <w:rPr>
          <w:rFonts w:ascii="Arial" w:eastAsia="Times New Roman" w:hAnsi="Arial" w:cs="Arial"/>
          <w:color w:val="000000"/>
          <w:sz w:val="24"/>
          <w:szCs w:val="24"/>
          <w:lang w:eastAsia="en-NZ"/>
        </w:rPr>
        <w:t xml:space="preserve"> </w:t>
      </w:r>
    </w:p>
    <w:p w14:paraId="78663F35" w14:textId="762F6940" w:rsidR="00917019" w:rsidRPr="00917019" w:rsidRDefault="00917019" w:rsidP="00A3296A">
      <w:pPr>
        <w:pStyle w:val="ListParagraph"/>
        <w:numPr>
          <w:ilvl w:val="1"/>
          <w:numId w:val="18"/>
        </w:numPr>
        <w:spacing w:after="0"/>
        <w:ind w:left="1928" w:hanging="794"/>
        <w:contextualSpacing w:val="0"/>
        <w:rPr>
          <w:rFonts w:ascii="Arial" w:eastAsia="Times New Roman" w:hAnsi="Arial" w:cs="Arial"/>
          <w:color w:val="000000"/>
          <w:sz w:val="24"/>
          <w:szCs w:val="24"/>
          <w:lang w:eastAsia="en-NZ"/>
        </w:rPr>
      </w:pPr>
      <w:r w:rsidRPr="00917019">
        <w:rPr>
          <w:rFonts w:ascii="Arial" w:eastAsia="Times New Roman" w:hAnsi="Arial" w:cs="Arial"/>
          <w:color w:val="000000"/>
          <w:sz w:val="24"/>
          <w:szCs w:val="24"/>
          <w:lang w:eastAsia="en-NZ"/>
        </w:rPr>
        <w:t>that the legislation should apply retrospectively and regardless of whether the person had made a claim, which was subject to a limitation period previously</w:t>
      </w:r>
      <w:r w:rsidR="0070067D">
        <w:rPr>
          <w:rFonts w:ascii="Arial" w:eastAsia="Times New Roman" w:hAnsi="Arial" w:cs="Arial"/>
          <w:color w:val="000000"/>
          <w:sz w:val="24"/>
          <w:szCs w:val="24"/>
          <w:lang w:eastAsia="en-NZ"/>
        </w:rPr>
        <w:t>;</w:t>
      </w:r>
      <w:r w:rsidRPr="00917019">
        <w:rPr>
          <w:rFonts w:ascii="Arial" w:eastAsia="Times New Roman" w:hAnsi="Arial" w:cs="Arial"/>
          <w:color w:val="000000"/>
          <w:sz w:val="24"/>
          <w:szCs w:val="24"/>
          <w:lang w:eastAsia="en-NZ"/>
        </w:rPr>
        <w:t xml:space="preserve"> </w:t>
      </w:r>
    </w:p>
    <w:p w14:paraId="0593C0AE" w14:textId="437A95A1" w:rsidR="00917019" w:rsidRPr="00917019" w:rsidRDefault="00917019" w:rsidP="00A3296A">
      <w:pPr>
        <w:pStyle w:val="ListParagraph"/>
        <w:numPr>
          <w:ilvl w:val="1"/>
          <w:numId w:val="18"/>
        </w:numPr>
        <w:spacing w:after="0"/>
        <w:ind w:left="1928" w:hanging="794"/>
        <w:rPr>
          <w:rFonts w:ascii="Arial" w:eastAsia="Times New Roman" w:hAnsi="Arial" w:cs="Arial"/>
          <w:color w:val="000000"/>
          <w:sz w:val="24"/>
          <w:szCs w:val="24"/>
          <w:lang w:eastAsia="en-NZ"/>
        </w:rPr>
      </w:pPr>
      <w:r w:rsidRPr="00917019">
        <w:rPr>
          <w:rFonts w:ascii="Arial" w:eastAsia="Times New Roman" w:hAnsi="Arial" w:cs="Arial"/>
          <w:color w:val="000000"/>
          <w:sz w:val="24"/>
          <w:szCs w:val="24"/>
          <w:lang w:eastAsia="en-NZ"/>
        </w:rPr>
        <w:t>that the courts should also retain the power to stay proceedings if such an act was necessary in</w:t>
      </w:r>
      <w:r w:rsidR="0070067D">
        <w:rPr>
          <w:rFonts w:ascii="Arial" w:eastAsia="Times New Roman" w:hAnsi="Arial" w:cs="Arial"/>
          <w:color w:val="000000"/>
          <w:sz w:val="24"/>
          <w:szCs w:val="24"/>
          <w:lang w:eastAsia="en-NZ"/>
        </w:rPr>
        <w:t xml:space="preserve"> the</w:t>
      </w:r>
      <w:r w:rsidRPr="00917019">
        <w:rPr>
          <w:rFonts w:ascii="Arial" w:eastAsia="Times New Roman" w:hAnsi="Arial" w:cs="Arial"/>
          <w:color w:val="000000"/>
          <w:sz w:val="24"/>
          <w:szCs w:val="24"/>
          <w:lang w:eastAsia="en-NZ"/>
        </w:rPr>
        <w:t xml:space="preserve"> interests of justice.</w:t>
      </w:r>
    </w:p>
    <w:p w14:paraId="3D7BED29" w14:textId="2BEE5581" w:rsidR="00917019" w:rsidRDefault="00917019" w:rsidP="00C34ADF">
      <w:pPr>
        <w:spacing w:after="0"/>
        <w:ind w:left="1134" w:hanging="567"/>
        <w:rPr>
          <w:rFonts w:ascii="Arial" w:eastAsiaTheme="majorEastAsia" w:hAnsi="Arial" w:cs="Arial"/>
          <w:b/>
          <w:color w:val="000000" w:themeColor="text1"/>
          <w:sz w:val="24"/>
          <w:szCs w:val="24"/>
        </w:rPr>
      </w:pPr>
    </w:p>
    <w:p w14:paraId="05D2DB30" w14:textId="77777777" w:rsidR="000435E8" w:rsidRPr="000435E8" w:rsidRDefault="00C34ADF" w:rsidP="00A3296A">
      <w:pPr>
        <w:pStyle w:val="ListParagraph"/>
        <w:numPr>
          <w:ilvl w:val="2"/>
          <w:numId w:val="19"/>
        </w:numPr>
        <w:ind w:left="1134" w:hanging="567"/>
        <w:contextualSpacing w:val="0"/>
        <w:rPr>
          <w:rFonts w:ascii="Arial" w:hAnsi="Arial" w:cs="Arial"/>
          <w:b/>
          <w:color w:val="000000" w:themeColor="text1"/>
          <w:sz w:val="24"/>
          <w:szCs w:val="24"/>
        </w:rPr>
      </w:pPr>
      <w:r w:rsidRPr="00C34ADF">
        <w:rPr>
          <w:rFonts w:ascii="Arial" w:eastAsiaTheme="majorEastAsia" w:hAnsi="Arial" w:cs="Arial"/>
          <w:color w:val="000000" w:themeColor="text1"/>
          <w:sz w:val="24"/>
          <w:szCs w:val="24"/>
        </w:rPr>
        <w:t>As a consequence</w:t>
      </w:r>
      <w:r>
        <w:rPr>
          <w:rFonts w:ascii="Arial" w:hAnsi="Arial" w:cs="Arial"/>
          <w:b/>
          <w:color w:val="000000" w:themeColor="text1"/>
          <w:sz w:val="24"/>
          <w:szCs w:val="24"/>
        </w:rPr>
        <w:t xml:space="preserve"> </w:t>
      </w:r>
      <w:r w:rsidRPr="00C34ADF">
        <w:rPr>
          <w:rFonts w:ascii="Arial" w:hAnsi="Arial" w:cs="Arial"/>
          <w:color w:val="000000" w:themeColor="text1"/>
          <w:sz w:val="24"/>
          <w:szCs w:val="24"/>
        </w:rPr>
        <w:t>of the Royal Commission recommendations</w:t>
      </w:r>
      <w:r w:rsidR="009953B7">
        <w:rPr>
          <w:rFonts w:ascii="Arial" w:hAnsi="Arial" w:cs="Arial"/>
          <w:color w:val="000000" w:themeColor="text1"/>
          <w:sz w:val="24"/>
          <w:szCs w:val="24"/>
        </w:rPr>
        <w:t xml:space="preserve"> all </w:t>
      </w:r>
      <w:r w:rsidR="000435E8">
        <w:rPr>
          <w:rFonts w:ascii="Arial" w:hAnsi="Arial" w:cs="Arial"/>
          <w:color w:val="000000" w:themeColor="text1"/>
          <w:sz w:val="24"/>
          <w:szCs w:val="24"/>
        </w:rPr>
        <w:t xml:space="preserve">State governments (except for Tasmania) and Territories have enacted </w:t>
      </w:r>
      <w:r w:rsidR="000435E8">
        <w:rPr>
          <w:rFonts w:ascii="Arial" w:hAnsi="Arial" w:cs="Arial"/>
          <w:color w:val="000000" w:themeColor="text1"/>
          <w:sz w:val="24"/>
          <w:szCs w:val="24"/>
        </w:rPr>
        <w:lastRenderedPageBreak/>
        <w:t xml:space="preserve">legislation that removes limitation periods. In each case the legislation applies retrospectively. </w:t>
      </w:r>
    </w:p>
    <w:p w14:paraId="4FBFAA9C" w14:textId="77777777" w:rsidR="000435E8" w:rsidRDefault="000435E8" w:rsidP="00A3296A">
      <w:pPr>
        <w:pStyle w:val="ListParagraph"/>
        <w:numPr>
          <w:ilvl w:val="2"/>
          <w:numId w:val="19"/>
        </w:numPr>
        <w:ind w:left="1134" w:hanging="567"/>
        <w:contextualSpacing w:val="0"/>
        <w:rPr>
          <w:rFonts w:ascii="Arial" w:hAnsi="Arial" w:cs="Arial"/>
          <w:sz w:val="24"/>
          <w:szCs w:val="24"/>
          <w:lang w:val="en"/>
        </w:rPr>
      </w:pPr>
      <w:r w:rsidRPr="000435E8">
        <w:rPr>
          <w:rFonts w:ascii="Arial" w:hAnsi="Arial" w:cs="Arial"/>
          <w:color w:val="000000" w:themeColor="text1"/>
          <w:sz w:val="24"/>
          <w:szCs w:val="24"/>
        </w:rPr>
        <w:t>The scope of that legislation differs amongst States and Territories. In some cases (NSW, Queensland, and Western Australia) the removal of the time limit only applies in the case of child sexual abuse. In the case of the remaining States and Territories limitation periods</w:t>
      </w:r>
      <w:r w:rsidR="00C34ADF" w:rsidRPr="000435E8">
        <w:rPr>
          <w:rFonts w:ascii="Arial" w:hAnsi="Arial" w:cs="Arial"/>
          <w:sz w:val="24"/>
          <w:szCs w:val="24"/>
          <w:lang w:val="en"/>
        </w:rPr>
        <w:t xml:space="preserve"> do not apply to injuries from sexual abuse, physical abuse or psychological abuse that arise from sexual or physical abuse of a minor.</w:t>
      </w:r>
    </w:p>
    <w:p w14:paraId="0C8FE28B" w14:textId="717FE161" w:rsidR="00C36C05" w:rsidRPr="000435E8" w:rsidRDefault="00C36C05" w:rsidP="00A3296A">
      <w:pPr>
        <w:pStyle w:val="ListParagraph"/>
        <w:numPr>
          <w:ilvl w:val="2"/>
          <w:numId w:val="19"/>
        </w:numPr>
        <w:ind w:left="1134" w:hanging="567"/>
        <w:contextualSpacing w:val="0"/>
        <w:rPr>
          <w:rFonts w:ascii="Arial" w:hAnsi="Arial" w:cs="Arial"/>
          <w:sz w:val="24"/>
          <w:szCs w:val="24"/>
          <w:lang w:val="en"/>
        </w:rPr>
      </w:pPr>
      <w:r w:rsidRPr="000435E8">
        <w:rPr>
          <w:rFonts w:ascii="Arial" w:hAnsi="Arial" w:cs="Arial"/>
          <w:sz w:val="24"/>
          <w:szCs w:val="24"/>
          <w:lang w:val="en"/>
        </w:rPr>
        <w:t xml:space="preserve">The State of Tasmania is currently undertaking consultation on </w:t>
      </w:r>
      <w:r w:rsidR="00C43452">
        <w:rPr>
          <w:rFonts w:ascii="Arial" w:hAnsi="Arial" w:cs="Arial"/>
          <w:sz w:val="24"/>
          <w:szCs w:val="24"/>
          <w:lang w:val="en"/>
        </w:rPr>
        <w:t>its’ proposed approach</w:t>
      </w:r>
      <w:r w:rsidRPr="000435E8">
        <w:rPr>
          <w:rFonts w:ascii="Arial" w:hAnsi="Arial" w:cs="Arial"/>
          <w:sz w:val="24"/>
          <w:szCs w:val="24"/>
          <w:lang w:val="en"/>
        </w:rPr>
        <w:t>.</w:t>
      </w:r>
    </w:p>
    <w:p w14:paraId="678CF1B0" w14:textId="77777777" w:rsidR="00493627" w:rsidRDefault="00493627" w:rsidP="00773A85">
      <w:pPr>
        <w:pStyle w:val="Heading2"/>
        <w:ind w:left="567"/>
        <w:rPr>
          <w:rFonts w:ascii="Arial" w:hAnsi="Arial" w:cs="Arial"/>
          <w:b/>
          <w:i/>
          <w:color w:val="000000" w:themeColor="text1"/>
          <w:sz w:val="24"/>
          <w:szCs w:val="24"/>
          <w:lang w:val="en-NZ"/>
        </w:rPr>
      </w:pPr>
    </w:p>
    <w:p w14:paraId="28158449" w14:textId="26A6C980" w:rsidR="00DC092D" w:rsidRDefault="00DC092D" w:rsidP="00773A85">
      <w:pPr>
        <w:pStyle w:val="Heading2"/>
        <w:ind w:left="567"/>
        <w:rPr>
          <w:rFonts w:ascii="Arial" w:hAnsi="Arial" w:cs="Arial"/>
          <w:b/>
          <w:i/>
          <w:color w:val="000000" w:themeColor="text1"/>
          <w:sz w:val="24"/>
          <w:szCs w:val="24"/>
          <w:lang w:val="en-NZ"/>
        </w:rPr>
      </w:pPr>
      <w:r>
        <w:rPr>
          <w:rFonts w:ascii="Arial" w:hAnsi="Arial" w:cs="Arial"/>
          <w:b/>
          <w:i/>
          <w:color w:val="000000" w:themeColor="text1"/>
          <w:sz w:val="24"/>
          <w:szCs w:val="24"/>
          <w:lang w:val="en-NZ"/>
        </w:rPr>
        <w:t xml:space="preserve">Legislative amendments: </w:t>
      </w:r>
      <w:r w:rsidR="005F0275">
        <w:rPr>
          <w:rFonts w:ascii="Arial" w:hAnsi="Arial" w:cs="Arial"/>
          <w:b/>
          <w:i/>
          <w:color w:val="000000" w:themeColor="text1"/>
          <w:sz w:val="24"/>
          <w:szCs w:val="24"/>
          <w:lang w:val="en-NZ"/>
        </w:rPr>
        <w:t>Identifying a Proper Defendant</w:t>
      </w:r>
    </w:p>
    <w:p w14:paraId="20A63C0D" w14:textId="77777777" w:rsidR="006E6F56" w:rsidRDefault="006E6F56" w:rsidP="006E6F56">
      <w:pPr>
        <w:pStyle w:val="ListParagraph"/>
        <w:autoSpaceDE w:val="0"/>
        <w:autoSpaceDN w:val="0"/>
        <w:adjustRightInd w:val="0"/>
        <w:spacing w:after="280"/>
        <w:ind w:left="1134"/>
        <w:contextualSpacing w:val="0"/>
        <w:rPr>
          <w:rFonts w:ascii="Arial" w:hAnsi="Arial" w:cs="Arial"/>
          <w:color w:val="000000"/>
          <w:sz w:val="24"/>
          <w:szCs w:val="24"/>
          <w:lang w:eastAsia="en-NZ"/>
        </w:rPr>
      </w:pPr>
    </w:p>
    <w:p w14:paraId="114DF212" w14:textId="0B4CE97E" w:rsidR="005F0275" w:rsidRPr="005F0275" w:rsidRDefault="005F0275" w:rsidP="00A3296A">
      <w:pPr>
        <w:pStyle w:val="ListParagraph"/>
        <w:numPr>
          <w:ilvl w:val="0"/>
          <w:numId w:val="20"/>
        </w:numPr>
        <w:autoSpaceDE w:val="0"/>
        <w:autoSpaceDN w:val="0"/>
        <w:adjustRightInd w:val="0"/>
        <w:spacing w:after="280"/>
        <w:ind w:left="1134" w:hanging="567"/>
        <w:contextualSpacing w:val="0"/>
        <w:rPr>
          <w:rFonts w:ascii="Arial" w:hAnsi="Arial" w:cs="Arial"/>
          <w:color w:val="000000"/>
          <w:sz w:val="24"/>
          <w:szCs w:val="24"/>
          <w:lang w:eastAsia="en-NZ"/>
        </w:rPr>
      </w:pPr>
      <w:r>
        <w:rPr>
          <w:rFonts w:ascii="Arial" w:hAnsi="Arial" w:cs="Arial"/>
          <w:color w:val="000000"/>
          <w:sz w:val="24"/>
          <w:szCs w:val="24"/>
          <w:lang w:eastAsia="en-NZ"/>
        </w:rPr>
        <w:t>T</w:t>
      </w:r>
      <w:r w:rsidRPr="005F0275">
        <w:rPr>
          <w:rFonts w:ascii="Arial" w:hAnsi="Arial" w:cs="Arial"/>
          <w:color w:val="000000"/>
          <w:sz w:val="24"/>
          <w:szCs w:val="24"/>
          <w:lang w:eastAsia="en-NZ"/>
        </w:rPr>
        <w:t>he Royal Commission made the following recommendation:</w:t>
      </w:r>
    </w:p>
    <w:p w14:paraId="764C59E7" w14:textId="65698837" w:rsidR="005F0275" w:rsidRPr="00C43452" w:rsidRDefault="005F0275" w:rsidP="00A3296A">
      <w:pPr>
        <w:pStyle w:val="ListParagraph"/>
        <w:numPr>
          <w:ilvl w:val="1"/>
          <w:numId w:val="23"/>
        </w:numPr>
        <w:autoSpaceDE w:val="0"/>
        <w:autoSpaceDN w:val="0"/>
        <w:adjustRightInd w:val="0"/>
        <w:spacing w:after="0"/>
        <w:ind w:left="1928" w:hanging="794"/>
        <w:rPr>
          <w:rFonts w:ascii="Arial" w:hAnsi="Arial" w:cs="Arial"/>
          <w:color w:val="000000"/>
          <w:sz w:val="24"/>
          <w:szCs w:val="24"/>
          <w:lang w:eastAsia="en-NZ"/>
        </w:rPr>
      </w:pPr>
      <w:r w:rsidRPr="00C43452">
        <w:rPr>
          <w:rFonts w:ascii="Arial" w:hAnsi="Arial" w:cs="Arial"/>
          <w:color w:val="000000"/>
          <w:sz w:val="24"/>
          <w:szCs w:val="24"/>
          <w:lang w:eastAsia="en-NZ"/>
        </w:rPr>
        <w:t>State and territory governments should introduce legislation to provide that, where a survivor wishes to commence proceedings for damages in respect of institutional child sexual abuse where the institution is alleged to be an institution with which a property trust is associated, then unless the institution nominates a proper defendant to sue that has sufficient assets to meet any liability arising from the proceedings</w:t>
      </w:r>
      <w:r w:rsidR="004A1009">
        <w:rPr>
          <w:rFonts w:ascii="Arial" w:hAnsi="Arial" w:cs="Arial"/>
          <w:color w:val="000000"/>
          <w:sz w:val="24"/>
          <w:szCs w:val="24"/>
          <w:lang w:eastAsia="en-NZ"/>
        </w:rPr>
        <w:t>, then</w:t>
      </w:r>
      <w:r w:rsidRPr="00C43452">
        <w:rPr>
          <w:rFonts w:ascii="Arial" w:hAnsi="Arial" w:cs="Arial"/>
          <w:color w:val="000000"/>
          <w:sz w:val="24"/>
          <w:szCs w:val="24"/>
          <w:lang w:eastAsia="en-NZ"/>
        </w:rPr>
        <w:t xml:space="preserve">: </w:t>
      </w:r>
    </w:p>
    <w:p w14:paraId="2D7C5404" w14:textId="77777777" w:rsidR="004A1009" w:rsidRDefault="004A1009" w:rsidP="008029F9">
      <w:pPr>
        <w:autoSpaceDE w:val="0"/>
        <w:autoSpaceDN w:val="0"/>
        <w:adjustRightInd w:val="0"/>
        <w:spacing w:after="0"/>
        <w:ind w:left="2722" w:hanging="794"/>
        <w:rPr>
          <w:rFonts w:ascii="Arial" w:hAnsi="Arial" w:cs="Arial"/>
          <w:color w:val="000000"/>
          <w:sz w:val="24"/>
          <w:szCs w:val="24"/>
          <w:lang w:eastAsia="en-NZ"/>
        </w:rPr>
      </w:pPr>
    </w:p>
    <w:p w14:paraId="6A21EA0D" w14:textId="747BE2D3" w:rsidR="005F0275" w:rsidRPr="005F0275" w:rsidRDefault="002F09E3" w:rsidP="00DE3B17">
      <w:pPr>
        <w:autoSpaceDE w:val="0"/>
        <w:autoSpaceDN w:val="0"/>
        <w:adjustRightInd w:val="0"/>
        <w:spacing w:after="0"/>
        <w:ind w:left="2410" w:hanging="567"/>
        <w:rPr>
          <w:rFonts w:ascii="Arial" w:hAnsi="Arial" w:cs="Arial"/>
          <w:color w:val="000000"/>
          <w:sz w:val="24"/>
          <w:szCs w:val="24"/>
          <w:lang w:eastAsia="en-NZ"/>
        </w:rPr>
      </w:pPr>
      <w:r>
        <w:rPr>
          <w:rFonts w:ascii="Arial" w:hAnsi="Arial" w:cs="Arial"/>
          <w:color w:val="000000"/>
          <w:sz w:val="24"/>
          <w:szCs w:val="24"/>
          <w:lang w:eastAsia="en-NZ"/>
        </w:rPr>
        <w:t>a.</w:t>
      </w:r>
      <w:r>
        <w:rPr>
          <w:rFonts w:ascii="Arial" w:hAnsi="Arial" w:cs="Arial"/>
          <w:color w:val="000000"/>
          <w:sz w:val="24"/>
          <w:szCs w:val="24"/>
          <w:lang w:eastAsia="en-NZ"/>
        </w:rPr>
        <w:tab/>
      </w:r>
      <w:r w:rsidR="005F0275" w:rsidRPr="005F0275">
        <w:rPr>
          <w:rFonts w:ascii="Arial" w:hAnsi="Arial" w:cs="Arial"/>
          <w:color w:val="000000"/>
          <w:sz w:val="24"/>
          <w:szCs w:val="24"/>
          <w:lang w:eastAsia="en-NZ"/>
        </w:rPr>
        <w:t>the property trust is a proper defendant to the litigation</w:t>
      </w:r>
      <w:r w:rsidR="004A1009">
        <w:rPr>
          <w:rFonts w:ascii="Arial" w:hAnsi="Arial" w:cs="Arial"/>
          <w:color w:val="000000"/>
          <w:sz w:val="24"/>
          <w:szCs w:val="24"/>
          <w:lang w:eastAsia="en-NZ"/>
        </w:rPr>
        <w:t>; and</w:t>
      </w:r>
      <w:r w:rsidR="005F0275" w:rsidRPr="005F0275">
        <w:rPr>
          <w:rFonts w:ascii="Arial" w:hAnsi="Arial" w:cs="Arial"/>
          <w:color w:val="000000"/>
          <w:sz w:val="24"/>
          <w:szCs w:val="24"/>
          <w:lang w:eastAsia="en-NZ"/>
        </w:rPr>
        <w:t xml:space="preserve"> </w:t>
      </w:r>
    </w:p>
    <w:p w14:paraId="321CEDBC" w14:textId="49F3F59F" w:rsidR="005F0275" w:rsidRPr="005F0275" w:rsidRDefault="005F0275" w:rsidP="00DE3B17">
      <w:pPr>
        <w:autoSpaceDE w:val="0"/>
        <w:autoSpaceDN w:val="0"/>
        <w:adjustRightInd w:val="0"/>
        <w:spacing w:after="0"/>
        <w:ind w:left="2410" w:hanging="567"/>
        <w:rPr>
          <w:rFonts w:ascii="Arial" w:hAnsi="Arial" w:cs="Arial"/>
          <w:color w:val="000000"/>
          <w:sz w:val="24"/>
          <w:szCs w:val="24"/>
          <w:lang w:eastAsia="en-NZ"/>
        </w:rPr>
      </w:pPr>
      <w:r w:rsidRPr="005F0275">
        <w:rPr>
          <w:rFonts w:ascii="Arial" w:hAnsi="Arial" w:cs="Arial"/>
          <w:color w:val="000000"/>
          <w:sz w:val="24"/>
          <w:szCs w:val="24"/>
          <w:lang w:eastAsia="en-NZ"/>
        </w:rPr>
        <w:t xml:space="preserve">b. </w:t>
      </w:r>
      <w:r w:rsidR="002F09E3">
        <w:rPr>
          <w:rFonts w:ascii="Arial" w:hAnsi="Arial" w:cs="Arial"/>
          <w:color w:val="000000"/>
          <w:sz w:val="24"/>
          <w:szCs w:val="24"/>
          <w:lang w:eastAsia="en-NZ"/>
        </w:rPr>
        <w:tab/>
      </w:r>
      <w:r w:rsidRPr="005F0275">
        <w:rPr>
          <w:rFonts w:ascii="Arial" w:hAnsi="Arial" w:cs="Arial"/>
          <w:color w:val="000000"/>
          <w:sz w:val="24"/>
          <w:szCs w:val="24"/>
          <w:lang w:eastAsia="en-NZ"/>
        </w:rPr>
        <w:t xml:space="preserve">any liability of the institution with which the property trust is associated that arises from the proceedings can be met from the assets of the trust. </w:t>
      </w:r>
    </w:p>
    <w:p w14:paraId="3D2CC825" w14:textId="60266943" w:rsidR="00C34ADF" w:rsidRDefault="00C34ADF" w:rsidP="008029F9">
      <w:pPr>
        <w:rPr>
          <w:rFonts w:ascii="Arial" w:hAnsi="Arial" w:cs="Arial"/>
          <w:b/>
          <w:color w:val="000000" w:themeColor="text1"/>
          <w:sz w:val="24"/>
          <w:szCs w:val="24"/>
        </w:rPr>
      </w:pPr>
    </w:p>
    <w:p w14:paraId="3CA10CED" w14:textId="0465892C" w:rsidR="008029F9" w:rsidRPr="008029F9" w:rsidRDefault="008029F9" w:rsidP="00A3296A">
      <w:pPr>
        <w:pStyle w:val="ListParagraph"/>
        <w:numPr>
          <w:ilvl w:val="0"/>
          <w:numId w:val="21"/>
        </w:numPr>
        <w:ind w:left="1134" w:hanging="567"/>
        <w:contextualSpacing w:val="0"/>
        <w:rPr>
          <w:rFonts w:ascii="Arial" w:hAnsi="Arial" w:cs="Arial"/>
          <w:color w:val="000000" w:themeColor="text1"/>
          <w:sz w:val="24"/>
          <w:szCs w:val="24"/>
        </w:rPr>
      </w:pPr>
      <w:r w:rsidRPr="008029F9">
        <w:rPr>
          <w:rFonts w:ascii="Arial" w:hAnsi="Arial" w:cs="Arial"/>
          <w:color w:val="000000" w:themeColor="text1"/>
          <w:sz w:val="24"/>
          <w:szCs w:val="24"/>
        </w:rPr>
        <w:t>Australian</w:t>
      </w:r>
      <w:r>
        <w:rPr>
          <w:rFonts w:ascii="Arial" w:hAnsi="Arial" w:cs="Arial"/>
          <w:color w:val="000000" w:themeColor="text1"/>
          <w:sz w:val="24"/>
          <w:szCs w:val="24"/>
        </w:rPr>
        <w:t xml:space="preserve"> State Governments have taken </w:t>
      </w:r>
      <w:r w:rsidR="00172C10">
        <w:rPr>
          <w:rFonts w:ascii="Arial" w:hAnsi="Arial" w:cs="Arial"/>
          <w:color w:val="000000" w:themeColor="text1"/>
          <w:sz w:val="24"/>
          <w:szCs w:val="24"/>
        </w:rPr>
        <w:t>varying</w:t>
      </w:r>
      <w:r>
        <w:rPr>
          <w:rFonts w:ascii="Arial" w:hAnsi="Arial" w:cs="Arial"/>
          <w:color w:val="000000" w:themeColor="text1"/>
          <w:sz w:val="24"/>
          <w:szCs w:val="24"/>
        </w:rPr>
        <w:t xml:space="preserve"> approaches to implementing th</w:t>
      </w:r>
      <w:r w:rsidR="00172C10">
        <w:rPr>
          <w:rFonts w:ascii="Arial" w:hAnsi="Arial" w:cs="Arial"/>
          <w:color w:val="000000" w:themeColor="text1"/>
          <w:sz w:val="24"/>
          <w:szCs w:val="24"/>
        </w:rPr>
        <w:t>is</w:t>
      </w:r>
      <w:r>
        <w:rPr>
          <w:rFonts w:ascii="Arial" w:hAnsi="Arial" w:cs="Arial"/>
          <w:color w:val="000000" w:themeColor="text1"/>
          <w:sz w:val="24"/>
          <w:szCs w:val="24"/>
        </w:rPr>
        <w:t xml:space="preserve"> recommendation</w:t>
      </w:r>
      <w:r w:rsidR="00E9247C">
        <w:rPr>
          <w:rFonts w:ascii="Arial" w:hAnsi="Arial" w:cs="Arial"/>
          <w:color w:val="000000" w:themeColor="text1"/>
          <w:sz w:val="24"/>
          <w:szCs w:val="24"/>
        </w:rPr>
        <w:t>:</w:t>
      </w:r>
      <w:r w:rsidR="00172C10">
        <w:rPr>
          <w:rFonts w:ascii="Arial" w:hAnsi="Arial" w:cs="Arial"/>
          <w:color w:val="000000" w:themeColor="text1"/>
          <w:sz w:val="24"/>
          <w:szCs w:val="24"/>
        </w:rPr>
        <w:t xml:space="preserve"> </w:t>
      </w:r>
    </w:p>
    <w:p w14:paraId="72DA3062" w14:textId="0470F503" w:rsidR="008029F9" w:rsidRPr="008163F1" w:rsidRDefault="008029F9" w:rsidP="00DE3B17">
      <w:pPr>
        <w:pStyle w:val="ListParagraph"/>
        <w:numPr>
          <w:ilvl w:val="0"/>
          <w:numId w:val="22"/>
        </w:numPr>
        <w:spacing w:after="120"/>
        <w:ind w:left="1701" w:hanging="567"/>
        <w:contextualSpacing w:val="0"/>
        <w:rPr>
          <w:rFonts w:ascii="Arial" w:hAnsi="Arial" w:cs="Arial"/>
          <w:sz w:val="24"/>
          <w:szCs w:val="24"/>
        </w:rPr>
      </w:pPr>
      <w:r w:rsidRPr="008163F1">
        <w:rPr>
          <w:rFonts w:ascii="Arial" w:hAnsi="Arial" w:cs="Arial"/>
          <w:sz w:val="24"/>
          <w:szCs w:val="24"/>
        </w:rPr>
        <w:t>The State of Victoria has legislated to allow</w:t>
      </w:r>
      <w:r w:rsidRPr="008163F1">
        <w:rPr>
          <w:rFonts w:ascii="Arial" w:hAnsi="Arial" w:cs="Arial"/>
          <w:i/>
          <w:sz w:val="24"/>
          <w:szCs w:val="24"/>
        </w:rPr>
        <w:t xml:space="preserve"> </w:t>
      </w:r>
      <w:r w:rsidRPr="008163F1">
        <w:rPr>
          <w:rFonts w:ascii="Arial" w:hAnsi="Arial" w:cs="Arial"/>
          <w:sz w:val="24"/>
          <w:szCs w:val="24"/>
        </w:rPr>
        <w:t xml:space="preserve">child abuse survivors to sue an organisational defendant in respect of unincorporated non-governmental organisations (NGO) that use trusts to conduct their activities. </w:t>
      </w:r>
      <w:r w:rsidR="009F41CE" w:rsidRPr="008163F1">
        <w:rPr>
          <w:rFonts w:ascii="Arial" w:hAnsi="Arial" w:cs="Arial"/>
          <w:sz w:val="24"/>
          <w:szCs w:val="24"/>
        </w:rPr>
        <w:t xml:space="preserve">The Act </w:t>
      </w:r>
      <w:r w:rsidRPr="008163F1">
        <w:rPr>
          <w:rFonts w:ascii="Arial" w:hAnsi="Arial" w:cs="Arial"/>
          <w:sz w:val="24"/>
          <w:szCs w:val="24"/>
        </w:rPr>
        <w:t>also provides that an entity that is not capable of being sued can nominate another legal party to be the defendant for the purposes of a claim brought under the Act. The legal party must consent to the nomination. The legal person incurs any liability arising from the claim.</w:t>
      </w:r>
    </w:p>
    <w:p w14:paraId="377F04FB" w14:textId="29ECEED5" w:rsidR="008029F9" w:rsidRPr="009F41CE" w:rsidRDefault="009F41CE" w:rsidP="00A3296A">
      <w:pPr>
        <w:pStyle w:val="ListParagraph"/>
        <w:numPr>
          <w:ilvl w:val="0"/>
          <w:numId w:val="22"/>
        </w:numPr>
        <w:spacing w:after="120"/>
        <w:ind w:left="1701" w:hanging="567"/>
        <w:contextualSpacing w:val="0"/>
        <w:rPr>
          <w:rFonts w:ascii="Arial" w:hAnsi="Arial" w:cs="Arial"/>
          <w:sz w:val="24"/>
          <w:szCs w:val="24"/>
        </w:rPr>
      </w:pPr>
      <w:r>
        <w:rPr>
          <w:rFonts w:ascii="Arial" w:hAnsi="Arial" w:cs="Arial"/>
          <w:sz w:val="24"/>
          <w:szCs w:val="24"/>
        </w:rPr>
        <w:t>The State of New South Wales</w:t>
      </w:r>
      <w:r w:rsidR="004E1E59">
        <w:rPr>
          <w:rFonts w:ascii="Arial" w:hAnsi="Arial" w:cs="Arial"/>
          <w:sz w:val="24"/>
          <w:szCs w:val="24"/>
        </w:rPr>
        <w:t xml:space="preserve"> now</w:t>
      </w:r>
      <w:r w:rsidR="008029F9" w:rsidRPr="009F41CE">
        <w:rPr>
          <w:rFonts w:ascii="Arial" w:hAnsi="Arial" w:cs="Arial"/>
          <w:i/>
          <w:sz w:val="24"/>
          <w:szCs w:val="24"/>
        </w:rPr>
        <w:t xml:space="preserve"> </w:t>
      </w:r>
      <w:r w:rsidR="008029F9" w:rsidRPr="009F41CE">
        <w:rPr>
          <w:rFonts w:ascii="Arial" w:hAnsi="Arial" w:cs="Arial"/>
          <w:sz w:val="24"/>
          <w:szCs w:val="24"/>
        </w:rPr>
        <w:t>permits</w:t>
      </w:r>
      <w:r w:rsidR="008029F9" w:rsidRPr="009F41CE">
        <w:rPr>
          <w:rFonts w:ascii="Arial" w:hAnsi="Arial" w:cs="Arial"/>
          <w:i/>
          <w:sz w:val="24"/>
          <w:szCs w:val="24"/>
        </w:rPr>
        <w:t xml:space="preserve"> </w:t>
      </w:r>
      <w:r w:rsidR="008029F9" w:rsidRPr="009F41CE">
        <w:rPr>
          <w:rFonts w:ascii="Arial" w:hAnsi="Arial" w:cs="Arial"/>
          <w:sz w:val="24"/>
          <w:szCs w:val="24"/>
        </w:rPr>
        <w:t>child abuse proceeding</w:t>
      </w:r>
      <w:r w:rsidR="004E1E59">
        <w:rPr>
          <w:rFonts w:ascii="Arial" w:hAnsi="Arial" w:cs="Arial"/>
          <w:sz w:val="24"/>
          <w:szCs w:val="24"/>
        </w:rPr>
        <w:t>s</w:t>
      </w:r>
      <w:r w:rsidR="008029F9" w:rsidRPr="009F41CE">
        <w:rPr>
          <w:rFonts w:ascii="Arial" w:hAnsi="Arial" w:cs="Arial"/>
          <w:sz w:val="24"/>
          <w:szCs w:val="24"/>
        </w:rPr>
        <w:t xml:space="preserve"> to commence or continue against an unincorporated organisation in the name of the organisation. The organisation has 120 days within which to appoint a legal person as a proper defendant. If no proper </w:t>
      </w:r>
      <w:r w:rsidR="008029F9" w:rsidRPr="009F41CE">
        <w:rPr>
          <w:rFonts w:ascii="Arial" w:hAnsi="Arial" w:cs="Arial"/>
          <w:sz w:val="24"/>
          <w:szCs w:val="24"/>
        </w:rPr>
        <w:lastRenderedPageBreak/>
        <w:t>defendant is appointed after this time, the court may appoint an associated trust or former associated trust of the organisation as the proper defendant.</w:t>
      </w:r>
    </w:p>
    <w:p w14:paraId="4D5C66A1" w14:textId="1EF1474D" w:rsidR="008029F9" w:rsidRDefault="009F41CE" w:rsidP="00DE3B17">
      <w:pPr>
        <w:pStyle w:val="ListParagraph"/>
        <w:numPr>
          <w:ilvl w:val="0"/>
          <w:numId w:val="22"/>
        </w:numPr>
        <w:ind w:left="1701" w:hanging="567"/>
      </w:pPr>
      <w:r w:rsidRPr="002C5E94">
        <w:rPr>
          <w:rFonts w:ascii="Arial" w:hAnsi="Arial" w:cs="Arial"/>
          <w:sz w:val="24"/>
          <w:szCs w:val="24"/>
        </w:rPr>
        <w:t>The State of Queensland</w:t>
      </w:r>
      <w:r w:rsidR="004E1E59" w:rsidRPr="002C5E94">
        <w:rPr>
          <w:rFonts w:ascii="Arial" w:hAnsi="Arial" w:cs="Arial"/>
          <w:sz w:val="24"/>
          <w:szCs w:val="24"/>
        </w:rPr>
        <w:t xml:space="preserve"> has enacted</w:t>
      </w:r>
      <w:r w:rsidRPr="002C5E94">
        <w:rPr>
          <w:rFonts w:ascii="Arial" w:hAnsi="Arial" w:cs="Arial"/>
          <w:sz w:val="24"/>
          <w:szCs w:val="24"/>
        </w:rPr>
        <w:t xml:space="preserve"> legislation</w:t>
      </w:r>
      <w:r w:rsidR="008029F9" w:rsidRPr="002C5E94">
        <w:rPr>
          <w:rFonts w:ascii="Arial" w:hAnsi="Arial" w:cs="Arial"/>
          <w:i/>
          <w:sz w:val="24"/>
          <w:szCs w:val="24"/>
        </w:rPr>
        <w:t xml:space="preserve"> </w:t>
      </w:r>
      <w:r w:rsidR="008029F9" w:rsidRPr="002C5E94">
        <w:rPr>
          <w:rFonts w:ascii="Arial" w:hAnsi="Arial" w:cs="Arial"/>
          <w:sz w:val="24"/>
          <w:szCs w:val="24"/>
        </w:rPr>
        <w:t xml:space="preserve">that </w:t>
      </w:r>
      <w:r w:rsidR="004E1E59" w:rsidRPr="002C5E94">
        <w:rPr>
          <w:rFonts w:ascii="Arial" w:hAnsi="Arial" w:cs="Arial"/>
          <w:sz w:val="24"/>
          <w:szCs w:val="24"/>
        </w:rPr>
        <w:t xml:space="preserve">provides </w:t>
      </w:r>
      <w:r w:rsidR="008029F9" w:rsidRPr="002C5E94">
        <w:rPr>
          <w:rFonts w:ascii="Arial" w:hAnsi="Arial" w:cs="Arial"/>
          <w:sz w:val="24"/>
          <w:szCs w:val="24"/>
        </w:rPr>
        <w:t>if an institution is not capable of being sued - or is not in a financial position to meet a current or future claim - the institution must nominate a proper defendant who is capable under law of being sued and has the financial capability to meet the claim. The nominee must be related to or associated with the institution.</w:t>
      </w:r>
      <w:r w:rsidR="002C5E94" w:rsidRPr="002C5E94">
        <w:rPr>
          <w:rFonts w:ascii="Arial" w:hAnsi="Arial" w:cs="Arial"/>
          <w:sz w:val="24"/>
          <w:szCs w:val="24"/>
        </w:rPr>
        <w:t xml:space="preserve">  </w:t>
      </w:r>
      <w:r w:rsidR="008029F9" w:rsidRPr="002C5E94">
        <w:rPr>
          <w:rFonts w:ascii="Arial" w:hAnsi="Arial" w:cs="Arial"/>
          <w:sz w:val="24"/>
          <w:szCs w:val="24"/>
        </w:rPr>
        <w:t>If the institution fails to nominate a proper defendant a trustee of an associated trust may be considered responsible for any liability arising out of the breach of duty of care. In such cases the trustee is only liable to the value of the trust property</w:t>
      </w:r>
      <w:r w:rsidR="008029F9">
        <w:t>.</w:t>
      </w:r>
    </w:p>
    <w:p w14:paraId="3791E142" w14:textId="77777777" w:rsidR="00FB157D" w:rsidRPr="00FB157D" w:rsidRDefault="00FB157D" w:rsidP="00FB157D">
      <w:pPr>
        <w:pStyle w:val="ListParagraph"/>
        <w:ind w:left="1701"/>
        <w:rPr>
          <w:rFonts w:cstheme="minorHAnsi"/>
          <w:sz w:val="23"/>
          <w:szCs w:val="23"/>
          <w:lang w:val="en"/>
        </w:rPr>
      </w:pPr>
    </w:p>
    <w:p w14:paraId="252EB9E7" w14:textId="77777777" w:rsidR="00FB157D" w:rsidRPr="00FB157D" w:rsidRDefault="00FB157D" w:rsidP="00DE3B17">
      <w:pPr>
        <w:pStyle w:val="ListParagraph"/>
        <w:numPr>
          <w:ilvl w:val="0"/>
          <w:numId w:val="22"/>
        </w:numPr>
        <w:ind w:left="1701" w:hanging="567"/>
        <w:contextualSpacing w:val="0"/>
        <w:rPr>
          <w:rFonts w:ascii="Arial" w:hAnsi="Arial" w:cs="Arial"/>
          <w:sz w:val="24"/>
          <w:szCs w:val="24"/>
        </w:rPr>
      </w:pPr>
      <w:r w:rsidRPr="00FB157D">
        <w:rPr>
          <w:rFonts w:ascii="Arial" w:hAnsi="Arial" w:cs="Arial"/>
          <w:sz w:val="24"/>
          <w:szCs w:val="24"/>
          <w:lang w:val="en"/>
        </w:rPr>
        <w:t>The</w:t>
      </w:r>
      <w:r w:rsidR="009F41CE" w:rsidRPr="00FB157D">
        <w:rPr>
          <w:rFonts w:ascii="Arial" w:hAnsi="Arial" w:cs="Arial"/>
          <w:sz w:val="24"/>
          <w:szCs w:val="24"/>
          <w:lang w:val="en"/>
        </w:rPr>
        <w:t xml:space="preserve"> State of Western Australia has enacted legislation that</w:t>
      </w:r>
      <w:r w:rsidR="008029F9" w:rsidRPr="00FB157D">
        <w:rPr>
          <w:rFonts w:ascii="Arial" w:hAnsi="Arial" w:cs="Arial"/>
          <w:i/>
          <w:sz w:val="24"/>
          <w:szCs w:val="24"/>
          <w:lang w:val="en"/>
        </w:rPr>
        <w:t xml:space="preserve"> </w:t>
      </w:r>
      <w:r w:rsidR="008029F9" w:rsidRPr="00FB157D">
        <w:rPr>
          <w:rFonts w:ascii="Arial" w:hAnsi="Arial" w:cs="Arial"/>
          <w:sz w:val="24"/>
          <w:szCs w:val="24"/>
          <w:lang w:val="en"/>
        </w:rPr>
        <w:t>provides that proceedings may be commenced against the holder of office of an unincorporated organisation and any liability arising out of the proceedings would be held by the holder of the office. The assets of the institution, including the assets of any trust of the institution, can be used to satisfy the liability but the personal assets of the holder of office cannot be used for this purpose.</w:t>
      </w:r>
      <w:r w:rsidR="00B95558" w:rsidRPr="00FB157D">
        <w:rPr>
          <w:rFonts w:ascii="Arial" w:hAnsi="Arial" w:cs="Arial"/>
          <w:sz w:val="24"/>
          <w:szCs w:val="24"/>
          <w:lang w:val="en"/>
        </w:rPr>
        <w:t xml:space="preserve">  </w:t>
      </w:r>
      <w:r w:rsidR="008029F9" w:rsidRPr="00FB157D">
        <w:rPr>
          <w:rFonts w:ascii="Arial" w:hAnsi="Arial" w:cs="Arial"/>
          <w:sz w:val="24"/>
          <w:szCs w:val="24"/>
          <w:lang w:val="en"/>
        </w:rPr>
        <w:t>The Act also protects the interests of the plaintiff in the event that the form and structure of the institution has changed since the time the cause of action accrued. This protection applies even if the successor institution is substantially different</w:t>
      </w:r>
      <w:r w:rsidR="008029F9" w:rsidRPr="00FB157D">
        <w:rPr>
          <w:rFonts w:cstheme="minorHAnsi"/>
          <w:sz w:val="23"/>
          <w:szCs w:val="23"/>
          <w:lang w:val="en"/>
        </w:rPr>
        <w:t xml:space="preserve">. </w:t>
      </w:r>
    </w:p>
    <w:p w14:paraId="0C9E8D24" w14:textId="77777777" w:rsidR="00FB157D" w:rsidRPr="00FB157D" w:rsidRDefault="00FB157D" w:rsidP="00FB157D">
      <w:pPr>
        <w:pStyle w:val="ListParagraph"/>
        <w:rPr>
          <w:rFonts w:ascii="Arial" w:hAnsi="Arial" w:cs="Arial"/>
          <w:sz w:val="24"/>
          <w:szCs w:val="24"/>
        </w:rPr>
      </w:pPr>
    </w:p>
    <w:p w14:paraId="4D0AF5BA" w14:textId="0A8EC261" w:rsidR="008029F9" w:rsidRPr="00FB157D" w:rsidRDefault="00590088" w:rsidP="00DE3B17">
      <w:pPr>
        <w:pStyle w:val="ListParagraph"/>
        <w:numPr>
          <w:ilvl w:val="0"/>
          <w:numId w:val="22"/>
        </w:numPr>
        <w:ind w:left="1701" w:hanging="567"/>
        <w:contextualSpacing w:val="0"/>
        <w:rPr>
          <w:rFonts w:ascii="Arial" w:hAnsi="Arial" w:cs="Arial"/>
          <w:sz w:val="24"/>
          <w:szCs w:val="24"/>
        </w:rPr>
      </w:pPr>
      <w:r w:rsidRPr="00FB157D">
        <w:rPr>
          <w:rFonts w:ascii="Arial" w:hAnsi="Arial" w:cs="Arial"/>
          <w:sz w:val="24"/>
          <w:szCs w:val="24"/>
        </w:rPr>
        <w:t>T</w:t>
      </w:r>
      <w:r w:rsidR="008029F9" w:rsidRPr="00FB157D">
        <w:rPr>
          <w:rFonts w:ascii="Arial" w:hAnsi="Arial" w:cs="Arial"/>
          <w:sz w:val="24"/>
          <w:szCs w:val="24"/>
        </w:rPr>
        <w:t xml:space="preserve">he Tasmanian Government released an exposure Bill seeking feedback on proposals that would allow child abuse proceedings to be brought against unincorporated institutions. Such institutions would be able to </w:t>
      </w:r>
      <w:r w:rsidR="008220B4">
        <w:rPr>
          <w:rFonts w:ascii="Arial" w:hAnsi="Arial" w:cs="Arial"/>
          <w:sz w:val="24"/>
          <w:szCs w:val="24"/>
        </w:rPr>
        <w:t xml:space="preserve">satisfy any </w:t>
      </w:r>
      <w:r w:rsidR="008029F9" w:rsidRPr="00FB157D">
        <w:rPr>
          <w:rFonts w:ascii="Arial" w:hAnsi="Arial" w:cs="Arial"/>
          <w:sz w:val="24"/>
          <w:szCs w:val="24"/>
        </w:rPr>
        <w:t>liabilities from those proceedings using assets from an associated trust.</w:t>
      </w:r>
    </w:p>
    <w:p w14:paraId="28D9E23A" w14:textId="3395E112" w:rsidR="00DA2CC4" w:rsidRPr="00373676" w:rsidRDefault="00DA2CC4" w:rsidP="00CC6CDA">
      <w:pPr>
        <w:shd w:val="clear" w:color="auto" w:fill="FFFFFF"/>
        <w:spacing w:before="100" w:beforeAutospacing="1" w:after="100" w:afterAutospacing="1"/>
        <w:ind w:left="567"/>
        <w:rPr>
          <w:rFonts w:eastAsia="Times New Roman" w:cstheme="minorHAnsi"/>
          <w:b/>
          <w:color w:val="333333"/>
          <w:sz w:val="28"/>
          <w:lang w:val="en" w:eastAsia="en-NZ"/>
        </w:rPr>
      </w:pPr>
      <w:r>
        <w:rPr>
          <w:rFonts w:ascii="Arial" w:hAnsi="Arial" w:cs="Arial"/>
          <w:b/>
          <w:i/>
          <w:color w:val="000000" w:themeColor="text1"/>
          <w:sz w:val="24"/>
          <w:szCs w:val="24"/>
        </w:rPr>
        <w:t xml:space="preserve">Legislative amendments: </w:t>
      </w:r>
      <w:r w:rsidR="00C5063E">
        <w:rPr>
          <w:rFonts w:eastAsia="Times New Roman" w:cstheme="minorHAnsi"/>
          <w:b/>
          <w:i/>
          <w:color w:val="333333"/>
          <w:sz w:val="28"/>
          <w:lang w:val="en" w:eastAsia="en-NZ"/>
        </w:rPr>
        <w:t>Duty of institutions</w:t>
      </w:r>
      <w:r w:rsidRPr="00373676">
        <w:rPr>
          <w:rFonts w:eastAsia="Times New Roman" w:cstheme="minorHAnsi"/>
          <w:b/>
          <w:color w:val="333333"/>
          <w:sz w:val="28"/>
          <w:lang w:val="en" w:eastAsia="en-NZ"/>
        </w:rPr>
        <w:t xml:space="preserve"> </w:t>
      </w:r>
    </w:p>
    <w:p w14:paraId="533EF77A" w14:textId="70367579" w:rsidR="008029F9" w:rsidRPr="00633841" w:rsidRDefault="00DA2CC4" w:rsidP="00A3296A">
      <w:pPr>
        <w:pStyle w:val="ListParagraph"/>
        <w:numPr>
          <w:ilvl w:val="2"/>
          <w:numId w:val="29"/>
        </w:numPr>
        <w:ind w:left="1134" w:hanging="567"/>
        <w:contextualSpacing w:val="0"/>
        <w:rPr>
          <w:rFonts w:ascii="Arial" w:hAnsi="Arial" w:cs="Arial"/>
          <w:color w:val="000000" w:themeColor="text1"/>
          <w:sz w:val="24"/>
          <w:szCs w:val="24"/>
        </w:rPr>
      </w:pPr>
      <w:r>
        <w:rPr>
          <w:rFonts w:ascii="Arial" w:eastAsia="Times New Roman" w:hAnsi="Arial" w:cs="Arial"/>
          <w:color w:val="333333"/>
          <w:sz w:val="24"/>
          <w:szCs w:val="24"/>
          <w:lang w:val="en" w:eastAsia="en-NZ"/>
        </w:rPr>
        <w:t>T</w:t>
      </w:r>
      <w:r w:rsidRPr="00DA2CC4">
        <w:rPr>
          <w:rFonts w:ascii="Arial" w:eastAsia="Times New Roman" w:hAnsi="Arial" w:cs="Arial"/>
          <w:color w:val="333333"/>
          <w:sz w:val="24"/>
          <w:szCs w:val="24"/>
          <w:lang w:val="en" w:eastAsia="en-NZ"/>
        </w:rPr>
        <w:t xml:space="preserve">he </w:t>
      </w:r>
      <w:r w:rsidR="004E1E59">
        <w:rPr>
          <w:rFonts w:ascii="Arial" w:eastAsia="Times New Roman" w:hAnsi="Arial" w:cs="Arial"/>
          <w:color w:val="333333"/>
          <w:sz w:val="24"/>
          <w:szCs w:val="24"/>
          <w:lang w:val="en" w:eastAsia="en-NZ"/>
        </w:rPr>
        <w:t xml:space="preserve">Royal </w:t>
      </w:r>
      <w:r w:rsidRPr="00DA2CC4">
        <w:rPr>
          <w:rFonts w:ascii="Arial" w:eastAsia="Times New Roman" w:hAnsi="Arial" w:cs="Arial"/>
          <w:color w:val="333333"/>
          <w:sz w:val="24"/>
          <w:szCs w:val="24"/>
          <w:lang w:val="en" w:eastAsia="en-NZ"/>
        </w:rPr>
        <w:t xml:space="preserve">Commission </w:t>
      </w:r>
      <w:r w:rsidR="00633841">
        <w:rPr>
          <w:rFonts w:ascii="Arial" w:eastAsia="Times New Roman" w:hAnsi="Arial" w:cs="Arial"/>
          <w:color w:val="333333"/>
          <w:sz w:val="24"/>
          <w:szCs w:val="24"/>
          <w:lang w:val="en" w:eastAsia="en-NZ"/>
        </w:rPr>
        <w:t xml:space="preserve">also </w:t>
      </w:r>
      <w:r w:rsidRPr="00DA2CC4">
        <w:rPr>
          <w:rFonts w:ascii="Arial" w:eastAsia="Times New Roman" w:hAnsi="Arial" w:cs="Arial"/>
          <w:color w:val="333333"/>
          <w:sz w:val="24"/>
          <w:szCs w:val="24"/>
          <w:lang w:val="en" w:eastAsia="en-NZ"/>
        </w:rPr>
        <w:t xml:space="preserve">made recommendations </w:t>
      </w:r>
      <w:r w:rsidRPr="00DA2CC4">
        <w:rPr>
          <w:rFonts w:ascii="Arial" w:hAnsi="Arial" w:cs="Arial"/>
          <w:sz w:val="24"/>
          <w:szCs w:val="24"/>
        </w:rPr>
        <w:t>to hold the institution liable to compensate survivors of child sexual abuse for deliberate criminal acts of its members or employees.</w:t>
      </w:r>
    </w:p>
    <w:p w14:paraId="74459D2A" w14:textId="294F0FAC" w:rsidR="00633841" w:rsidRPr="00DA2CC4" w:rsidRDefault="00633841" w:rsidP="00A3296A">
      <w:pPr>
        <w:pStyle w:val="ListParagraph"/>
        <w:numPr>
          <w:ilvl w:val="2"/>
          <w:numId w:val="29"/>
        </w:numPr>
        <w:ind w:left="1134" w:hanging="567"/>
        <w:contextualSpacing w:val="0"/>
        <w:rPr>
          <w:rFonts w:ascii="Arial" w:hAnsi="Arial" w:cs="Arial"/>
          <w:color w:val="000000" w:themeColor="text1"/>
          <w:sz w:val="24"/>
          <w:szCs w:val="24"/>
        </w:rPr>
      </w:pPr>
      <w:r>
        <w:rPr>
          <w:rFonts w:ascii="Arial" w:hAnsi="Arial" w:cs="Arial"/>
          <w:color w:val="000000" w:themeColor="text1"/>
          <w:sz w:val="24"/>
          <w:szCs w:val="24"/>
        </w:rPr>
        <w:t>These recommendations included that:</w:t>
      </w:r>
    </w:p>
    <w:p w14:paraId="2D945C7D" w14:textId="5BC890F6" w:rsidR="004A464D" w:rsidRPr="001C6426" w:rsidRDefault="00DA2CC4" w:rsidP="00A3296A">
      <w:pPr>
        <w:pStyle w:val="ListParagraph"/>
        <w:numPr>
          <w:ilvl w:val="1"/>
          <w:numId w:val="31"/>
        </w:numPr>
        <w:shd w:val="clear" w:color="auto" w:fill="FFFFFF"/>
        <w:spacing w:before="100" w:beforeAutospacing="1" w:after="100" w:afterAutospacing="1" w:line="240" w:lineRule="auto"/>
        <w:ind w:left="1928" w:hanging="794"/>
        <w:rPr>
          <w:rFonts w:ascii="Arial" w:eastAsia="Times New Roman" w:hAnsi="Arial" w:cs="Arial"/>
          <w:color w:val="333333"/>
          <w:sz w:val="24"/>
          <w:szCs w:val="24"/>
          <w:lang w:val="en" w:eastAsia="en-NZ"/>
        </w:rPr>
      </w:pPr>
      <w:r w:rsidRPr="001C6426">
        <w:rPr>
          <w:rFonts w:ascii="Arial" w:eastAsia="Times New Roman" w:hAnsi="Arial" w:cs="Arial"/>
          <w:color w:val="333333"/>
          <w:sz w:val="24"/>
          <w:szCs w:val="24"/>
          <w:lang w:val="en" w:eastAsia="en-NZ"/>
        </w:rPr>
        <w:t>State and territory governments should introduce legislation to impose a non-delegable duty on certain institutions</w:t>
      </w:r>
      <w:r w:rsidR="00633841">
        <w:rPr>
          <w:rStyle w:val="FootnoteReference"/>
          <w:rFonts w:ascii="Arial" w:eastAsia="Times New Roman" w:hAnsi="Arial" w:cs="Arial"/>
          <w:color w:val="333333"/>
          <w:sz w:val="24"/>
          <w:szCs w:val="24"/>
          <w:lang w:val="en" w:eastAsia="en-NZ"/>
        </w:rPr>
        <w:footnoteReference w:id="10"/>
      </w:r>
      <w:r w:rsidRPr="001C6426">
        <w:rPr>
          <w:rFonts w:ascii="Arial" w:eastAsia="Times New Roman" w:hAnsi="Arial" w:cs="Arial"/>
          <w:color w:val="333333"/>
          <w:sz w:val="24"/>
          <w:szCs w:val="24"/>
          <w:lang w:val="en" w:eastAsia="en-NZ"/>
        </w:rPr>
        <w:t xml:space="preserve"> for institutional child sexual abuse despite it being the deliberate criminal act of a person associated with the institution</w:t>
      </w:r>
      <w:r w:rsidR="001D74F5">
        <w:rPr>
          <w:rFonts w:ascii="Arial" w:eastAsia="Times New Roman" w:hAnsi="Arial" w:cs="Arial"/>
          <w:color w:val="333333"/>
          <w:sz w:val="24"/>
          <w:szCs w:val="24"/>
          <w:lang w:val="en" w:eastAsia="en-NZ"/>
        </w:rPr>
        <w:t>.</w:t>
      </w:r>
    </w:p>
    <w:p w14:paraId="74161DD4" w14:textId="264D9FA4" w:rsidR="004A464D" w:rsidRPr="001C6426" w:rsidRDefault="00633841" w:rsidP="00A3296A">
      <w:pPr>
        <w:pStyle w:val="ListParagraph"/>
        <w:numPr>
          <w:ilvl w:val="1"/>
          <w:numId w:val="31"/>
        </w:numPr>
        <w:shd w:val="clear" w:color="auto" w:fill="FFFFFF"/>
        <w:spacing w:after="0" w:line="240" w:lineRule="auto"/>
        <w:ind w:left="1928" w:hanging="794"/>
        <w:rPr>
          <w:rFonts w:ascii="Arial" w:eastAsia="Times New Roman" w:hAnsi="Arial" w:cs="Arial"/>
          <w:color w:val="333333"/>
          <w:sz w:val="24"/>
          <w:szCs w:val="24"/>
          <w:lang w:val="en" w:eastAsia="en-NZ"/>
        </w:rPr>
      </w:pPr>
      <w:r w:rsidRPr="001C6426">
        <w:rPr>
          <w:rFonts w:ascii="Arial" w:eastAsia="Times New Roman" w:hAnsi="Arial" w:cs="Arial"/>
          <w:color w:val="333333"/>
          <w:sz w:val="24"/>
          <w:szCs w:val="24"/>
          <w:lang w:val="en" w:eastAsia="en-NZ"/>
        </w:rPr>
        <w:lastRenderedPageBreak/>
        <w:t>S</w:t>
      </w:r>
      <w:r w:rsidR="00DA2CC4" w:rsidRPr="001C6426">
        <w:rPr>
          <w:rFonts w:ascii="Arial" w:eastAsia="Times New Roman" w:hAnsi="Arial" w:cs="Arial"/>
          <w:color w:val="333333"/>
          <w:sz w:val="24"/>
          <w:szCs w:val="24"/>
          <w:lang w:val="en" w:eastAsia="en-NZ"/>
        </w:rPr>
        <w:t>tate and territory governments should introduce legislation to make institutions liable for institutional child sexual abuse by persons associated with the institution unless the institution proves it took reasonable steps to prevent the abuse.</w:t>
      </w:r>
      <w:r w:rsidR="004A464D">
        <w:rPr>
          <w:rStyle w:val="FootnoteReference"/>
          <w:rFonts w:ascii="Arial" w:eastAsia="Times New Roman" w:hAnsi="Arial" w:cs="Arial"/>
          <w:color w:val="333333"/>
          <w:sz w:val="24"/>
          <w:szCs w:val="24"/>
          <w:lang w:val="en" w:eastAsia="en-NZ"/>
        </w:rPr>
        <w:footnoteReference w:id="11"/>
      </w:r>
      <w:r w:rsidR="00DA2CC4" w:rsidRPr="001C6426">
        <w:rPr>
          <w:rFonts w:ascii="Arial" w:eastAsia="Times New Roman" w:hAnsi="Arial" w:cs="Arial"/>
          <w:color w:val="333333"/>
          <w:sz w:val="24"/>
          <w:szCs w:val="24"/>
          <w:lang w:val="en" w:eastAsia="en-NZ"/>
        </w:rPr>
        <w:t xml:space="preserve"> </w:t>
      </w:r>
    </w:p>
    <w:p w14:paraId="23F684A0" w14:textId="495C4330" w:rsidR="00C653B3" w:rsidRPr="00C653B3" w:rsidRDefault="00507371" w:rsidP="00C653B3">
      <w:pPr>
        <w:spacing w:after="0"/>
        <w:ind w:left="567"/>
        <w:rPr>
          <w:rFonts w:ascii="Arial" w:hAnsi="Arial" w:cs="Arial"/>
          <w:sz w:val="24"/>
          <w:szCs w:val="24"/>
        </w:rPr>
      </w:pPr>
      <w:r>
        <w:rPr>
          <w:rFonts w:ascii="Arial" w:hAnsi="Arial" w:cs="Arial"/>
          <w:sz w:val="24"/>
          <w:szCs w:val="24"/>
        </w:rPr>
        <w:t xml:space="preserve"> </w:t>
      </w:r>
    </w:p>
    <w:p w14:paraId="5942ABCE" w14:textId="2E9263C4" w:rsidR="00C653B3" w:rsidRPr="00C653B3" w:rsidRDefault="00C653B3" w:rsidP="00A3296A">
      <w:pPr>
        <w:pStyle w:val="ListParagraph"/>
        <w:numPr>
          <w:ilvl w:val="0"/>
          <w:numId w:val="30"/>
        </w:numPr>
        <w:spacing w:after="120"/>
        <w:ind w:left="1134" w:hanging="567"/>
        <w:contextualSpacing w:val="0"/>
        <w:rPr>
          <w:rFonts w:ascii="Arial" w:hAnsi="Arial" w:cs="Arial"/>
          <w:sz w:val="24"/>
          <w:szCs w:val="24"/>
        </w:rPr>
      </w:pPr>
      <w:r>
        <w:rPr>
          <w:rFonts w:ascii="Arial" w:hAnsi="Arial" w:cs="Arial"/>
          <w:sz w:val="24"/>
          <w:szCs w:val="24"/>
        </w:rPr>
        <w:t>The recommendations have been implemented by</w:t>
      </w:r>
      <w:r w:rsidR="00507371">
        <w:rPr>
          <w:rFonts w:ascii="Arial" w:hAnsi="Arial" w:cs="Arial"/>
          <w:sz w:val="24"/>
          <w:szCs w:val="24"/>
        </w:rPr>
        <w:t xml:space="preserve"> t</w:t>
      </w:r>
      <w:r w:rsidR="0097160E">
        <w:rPr>
          <w:rFonts w:ascii="Arial" w:hAnsi="Arial" w:cs="Arial"/>
          <w:sz w:val="24"/>
          <w:szCs w:val="24"/>
        </w:rPr>
        <w:t>wo</w:t>
      </w:r>
      <w:r w:rsidR="00507371">
        <w:rPr>
          <w:rFonts w:ascii="Arial" w:hAnsi="Arial" w:cs="Arial"/>
          <w:sz w:val="24"/>
          <w:szCs w:val="24"/>
        </w:rPr>
        <w:t xml:space="preserve"> State governments with other State governments and Territories taking steps to introduce similar legislation.</w:t>
      </w:r>
    </w:p>
    <w:p w14:paraId="6A52942D" w14:textId="3A2A55BA" w:rsidR="00DA2CC4" w:rsidRPr="00507371" w:rsidRDefault="00507371" w:rsidP="00A3296A">
      <w:pPr>
        <w:pStyle w:val="ListParagraph"/>
        <w:numPr>
          <w:ilvl w:val="0"/>
          <w:numId w:val="22"/>
        </w:numPr>
        <w:ind w:left="1928" w:hanging="794"/>
        <w:contextualSpacing w:val="0"/>
        <w:rPr>
          <w:rFonts w:ascii="Arial" w:hAnsi="Arial" w:cs="Arial"/>
          <w:sz w:val="24"/>
          <w:szCs w:val="24"/>
        </w:rPr>
      </w:pPr>
      <w:r>
        <w:rPr>
          <w:rFonts w:ascii="Arial" w:hAnsi="Arial" w:cs="Arial"/>
          <w:sz w:val="24"/>
          <w:szCs w:val="24"/>
        </w:rPr>
        <w:t>The State of Victoria has enacted legislation that</w:t>
      </w:r>
      <w:r w:rsidR="00DA2CC4" w:rsidRPr="00507371">
        <w:rPr>
          <w:rFonts w:ascii="Arial" w:hAnsi="Arial" w:cs="Arial"/>
          <w:sz w:val="24"/>
          <w:szCs w:val="24"/>
        </w:rPr>
        <w:t>:</w:t>
      </w:r>
      <w:r w:rsidR="00DA2CC4" w:rsidRPr="00507371">
        <w:rPr>
          <w:rStyle w:val="FootnoteReference"/>
          <w:rFonts w:ascii="Arial" w:hAnsi="Arial" w:cs="Arial"/>
          <w:sz w:val="24"/>
          <w:szCs w:val="24"/>
        </w:rPr>
        <w:footnoteReference w:id="12"/>
      </w:r>
      <w:r w:rsidR="00DA2CC4" w:rsidRPr="00507371">
        <w:rPr>
          <w:rFonts w:ascii="Arial" w:hAnsi="Arial" w:cs="Arial"/>
          <w:sz w:val="24"/>
          <w:szCs w:val="24"/>
        </w:rPr>
        <w:t xml:space="preserve"> </w:t>
      </w:r>
    </w:p>
    <w:p w14:paraId="7D0B8475" w14:textId="101762FA" w:rsidR="00DA2CC4" w:rsidRPr="00507371" w:rsidRDefault="00DA2CC4" w:rsidP="00A3296A">
      <w:pPr>
        <w:pStyle w:val="ListParagraph"/>
        <w:keepLines/>
        <w:numPr>
          <w:ilvl w:val="0"/>
          <w:numId w:val="24"/>
        </w:numPr>
        <w:spacing w:before="80" w:after="80" w:line="240" w:lineRule="auto"/>
        <w:ind w:left="2200" w:hanging="357"/>
        <w:rPr>
          <w:rFonts w:ascii="Arial" w:hAnsi="Arial" w:cs="Arial"/>
          <w:sz w:val="24"/>
          <w:szCs w:val="24"/>
        </w:rPr>
      </w:pPr>
      <w:r w:rsidRPr="00507371">
        <w:rPr>
          <w:rFonts w:ascii="Arial" w:hAnsi="Arial" w:cs="Arial"/>
          <w:sz w:val="24"/>
          <w:szCs w:val="24"/>
        </w:rPr>
        <w:t xml:space="preserve">Imposes a statutory duty on organisations to prevent the abuse of a child </w:t>
      </w:r>
      <w:r w:rsidR="00507371">
        <w:rPr>
          <w:rFonts w:ascii="Arial" w:hAnsi="Arial" w:cs="Arial"/>
          <w:sz w:val="24"/>
          <w:szCs w:val="24"/>
        </w:rPr>
        <w:t xml:space="preserve">while </w:t>
      </w:r>
      <w:r w:rsidRPr="00507371">
        <w:rPr>
          <w:rFonts w:ascii="Arial" w:hAnsi="Arial" w:cs="Arial"/>
          <w:sz w:val="24"/>
          <w:szCs w:val="24"/>
        </w:rPr>
        <w:t>the child is under the care, supervision or authority of that organisation</w:t>
      </w:r>
      <w:r w:rsidR="00AD105F">
        <w:rPr>
          <w:rFonts w:ascii="Arial" w:hAnsi="Arial" w:cs="Arial"/>
          <w:sz w:val="24"/>
          <w:szCs w:val="24"/>
        </w:rPr>
        <w:t>.</w:t>
      </w:r>
    </w:p>
    <w:p w14:paraId="3DE579A2" w14:textId="35A86B4A" w:rsidR="00DA2CC4" w:rsidRPr="00D73083" w:rsidRDefault="00D73083" w:rsidP="00A3296A">
      <w:pPr>
        <w:pStyle w:val="ListParagraph"/>
        <w:keepLines/>
        <w:numPr>
          <w:ilvl w:val="0"/>
          <w:numId w:val="24"/>
        </w:numPr>
        <w:spacing w:before="80" w:after="80" w:line="240" w:lineRule="auto"/>
        <w:ind w:left="2171" w:hanging="357"/>
        <w:contextualSpacing w:val="0"/>
        <w:rPr>
          <w:rFonts w:ascii="Arial" w:hAnsi="Arial" w:cs="Arial"/>
          <w:sz w:val="24"/>
          <w:szCs w:val="24"/>
        </w:rPr>
      </w:pPr>
      <w:r>
        <w:rPr>
          <w:rFonts w:ascii="Arial" w:hAnsi="Arial" w:cs="Arial"/>
          <w:sz w:val="24"/>
          <w:szCs w:val="24"/>
        </w:rPr>
        <w:t>Requires organisations to prove that they took steps to prevent the abuse in situations w</w:t>
      </w:r>
      <w:r w:rsidR="00DA2CC4" w:rsidRPr="00D73083">
        <w:rPr>
          <w:rFonts w:ascii="Arial" w:hAnsi="Arial" w:cs="Arial"/>
          <w:sz w:val="24"/>
          <w:szCs w:val="24"/>
        </w:rPr>
        <w:t>here there is proof that abuse has occurred and committed by an individual associated with the relevant organisation</w:t>
      </w:r>
      <w:r>
        <w:rPr>
          <w:rFonts w:ascii="Arial" w:hAnsi="Arial" w:cs="Arial"/>
          <w:sz w:val="24"/>
          <w:szCs w:val="24"/>
        </w:rPr>
        <w:t>.</w:t>
      </w:r>
    </w:p>
    <w:p w14:paraId="506FE74E" w14:textId="77777777" w:rsidR="003547A3" w:rsidRDefault="003547A3" w:rsidP="003547A3">
      <w:pPr>
        <w:pStyle w:val="ListParagraph"/>
        <w:ind w:left="1928"/>
        <w:contextualSpacing w:val="0"/>
        <w:rPr>
          <w:rFonts w:ascii="Arial" w:hAnsi="Arial" w:cs="Arial"/>
          <w:sz w:val="24"/>
          <w:szCs w:val="24"/>
        </w:rPr>
      </w:pPr>
    </w:p>
    <w:p w14:paraId="46DEE236" w14:textId="52638EF3" w:rsidR="00DA2CC4" w:rsidRPr="00D73083" w:rsidRDefault="00D73083" w:rsidP="00A3296A">
      <w:pPr>
        <w:pStyle w:val="ListParagraph"/>
        <w:numPr>
          <w:ilvl w:val="0"/>
          <w:numId w:val="22"/>
        </w:numPr>
        <w:ind w:left="1928" w:hanging="794"/>
        <w:contextualSpacing w:val="0"/>
        <w:rPr>
          <w:rFonts w:ascii="Arial" w:hAnsi="Arial" w:cs="Arial"/>
          <w:sz w:val="24"/>
          <w:szCs w:val="24"/>
        </w:rPr>
      </w:pPr>
      <w:r>
        <w:rPr>
          <w:rFonts w:ascii="Arial" w:hAnsi="Arial" w:cs="Arial"/>
          <w:sz w:val="24"/>
          <w:szCs w:val="24"/>
        </w:rPr>
        <w:t>The State of New South Wales has enacted legislation that:</w:t>
      </w:r>
    </w:p>
    <w:p w14:paraId="5481FE43" w14:textId="32054AE8" w:rsidR="00A1500F" w:rsidRDefault="00D73083" w:rsidP="00A3296A">
      <w:pPr>
        <w:pStyle w:val="ListParagraph"/>
        <w:keepLines/>
        <w:numPr>
          <w:ilvl w:val="0"/>
          <w:numId w:val="25"/>
        </w:numPr>
        <w:tabs>
          <w:tab w:val="left" w:pos="3261"/>
        </w:tabs>
        <w:spacing w:before="80" w:after="80" w:line="240" w:lineRule="auto"/>
        <w:ind w:left="2200" w:hanging="357"/>
        <w:contextualSpacing w:val="0"/>
        <w:rPr>
          <w:rFonts w:ascii="Arial" w:hAnsi="Arial" w:cs="Arial"/>
          <w:sz w:val="24"/>
          <w:szCs w:val="24"/>
        </w:rPr>
      </w:pPr>
      <w:r>
        <w:rPr>
          <w:rFonts w:ascii="Arial" w:hAnsi="Arial" w:cs="Arial"/>
          <w:sz w:val="24"/>
          <w:szCs w:val="24"/>
        </w:rPr>
        <w:t xml:space="preserve">Imposes a duty on </w:t>
      </w:r>
      <w:r w:rsidR="00DA2CC4" w:rsidRPr="00D73083">
        <w:rPr>
          <w:rFonts w:ascii="Arial" w:hAnsi="Arial" w:cs="Arial"/>
          <w:sz w:val="24"/>
          <w:szCs w:val="24"/>
        </w:rPr>
        <w:t>organisation</w:t>
      </w:r>
      <w:r>
        <w:rPr>
          <w:rFonts w:ascii="Arial" w:hAnsi="Arial" w:cs="Arial"/>
          <w:sz w:val="24"/>
          <w:szCs w:val="24"/>
        </w:rPr>
        <w:t xml:space="preserve">s </w:t>
      </w:r>
      <w:r w:rsidR="00DA2CC4" w:rsidRPr="00D73083">
        <w:rPr>
          <w:rFonts w:ascii="Arial" w:hAnsi="Arial" w:cs="Arial"/>
          <w:sz w:val="24"/>
          <w:szCs w:val="24"/>
        </w:rPr>
        <w:t xml:space="preserve">if it (or any part of it) exercises care, supervision or authority over </w:t>
      </w:r>
      <w:r>
        <w:rPr>
          <w:rFonts w:ascii="Arial" w:hAnsi="Arial" w:cs="Arial"/>
          <w:sz w:val="24"/>
          <w:szCs w:val="24"/>
        </w:rPr>
        <w:t xml:space="preserve">a </w:t>
      </w:r>
      <w:r w:rsidR="00DA2CC4" w:rsidRPr="00D73083">
        <w:rPr>
          <w:rFonts w:ascii="Arial" w:hAnsi="Arial" w:cs="Arial"/>
          <w:sz w:val="24"/>
          <w:szCs w:val="24"/>
        </w:rPr>
        <w:t>child</w:t>
      </w:r>
      <w:r w:rsidR="00AD105F">
        <w:rPr>
          <w:rFonts w:ascii="Arial" w:hAnsi="Arial" w:cs="Arial"/>
          <w:sz w:val="24"/>
          <w:szCs w:val="24"/>
        </w:rPr>
        <w:t xml:space="preserve"> (</w:t>
      </w:r>
      <w:r w:rsidR="00AD105F">
        <w:rPr>
          <w:rFonts w:ascii="Arial" w:hAnsi="Arial" w:cs="Arial"/>
          <w:b/>
          <w:bCs/>
          <w:sz w:val="24"/>
          <w:szCs w:val="24"/>
        </w:rPr>
        <w:t>care</w:t>
      </w:r>
      <w:r w:rsidR="00AD105F">
        <w:rPr>
          <w:rFonts w:ascii="Arial" w:hAnsi="Arial" w:cs="Arial"/>
          <w:sz w:val="24"/>
          <w:szCs w:val="24"/>
        </w:rPr>
        <w:t>)</w:t>
      </w:r>
      <w:r w:rsidR="00DA2CC4" w:rsidRPr="00D73083">
        <w:rPr>
          <w:rFonts w:ascii="Arial" w:hAnsi="Arial" w:cs="Arial"/>
          <w:sz w:val="24"/>
          <w:szCs w:val="24"/>
        </w:rPr>
        <w:t xml:space="preserve"> </w:t>
      </w:r>
      <w:r w:rsidR="00A1500F" w:rsidRPr="00A1500F">
        <w:rPr>
          <w:rFonts w:ascii="Arial" w:hAnsi="Arial" w:cs="Arial"/>
          <w:sz w:val="24"/>
          <w:szCs w:val="24"/>
        </w:rPr>
        <w:t>to tak</w:t>
      </w:r>
      <w:r w:rsidR="00AD105F">
        <w:rPr>
          <w:rFonts w:ascii="Arial" w:hAnsi="Arial" w:cs="Arial"/>
          <w:sz w:val="24"/>
          <w:szCs w:val="24"/>
        </w:rPr>
        <w:t>e</w:t>
      </w:r>
      <w:r w:rsidR="00A1500F" w:rsidRPr="00A1500F">
        <w:rPr>
          <w:rFonts w:ascii="Arial" w:hAnsi="Arial" w:cs="Arial"/>
          <w:sz w:val="24"/>
          <w:szCs w:val="24"/>
        </w:rPr>
        <w:t xml:space="preserve"> reasonable precautions to prevent an individual associated with the organisation perpetrating child abuse </w:t>
      </w:r>
      <w:r w:rsidR="00A1500F">
        <w:rPr>
          <w:rFonts w:ascii="Arial" w:hAnsi="Arial" w:cs="Arial"/>
          <w:sz w:val="24"/>
          <w:szCs w:val="24"/>
        </w:rPr>
        <w:t>even if the organisation has delegated the exercise of that care to another organisation</w:t>
      </w:r>
      <w:r w:rsidR="00DA2CC4" w:rsidRPr="00D73083">
        <w:rPr>
          <w:rFonts w:ascii="Arial" w:hAnsi="Arial" w:cs="Arial"/>
          <w:sz w:val="24"/>
          <w:szCs w:val="24"/>
        </w:rPr>
        <w:t xml:space="preserve">. </w:t>
      </w:r>
    </w:p>
    <w:p w14:paraId="464188E5" w14:textId="218D902B" w:rsidR="00EB07B1" w:rsidRDefault="00EB07B1" w:rsidP="00A3296A">
      <w:pPr>
        <w:pStyle w:val="ListParagraph"/>
        <w:keepLines/>
        <w:numPr>
          <w:ilvl w:val="0"/>
          <w:numId w:val="24"/>
        </w:numPr>
        <w:spacing w:after="120" w:line="240" w:lineRule="auto"/>
        <w:ind w:left="2171" w:hanging="357"/>
        <w:contextualSpacing w:val="0"/>
        <w:rPr>
          <w:rFonts w:ascii="Arial" w:hAnsi="Arial" w:cs="Arial"/>
          <w:sz w:val="24"/>
          <w:szCs w:val="24"/>
        </w:rPr>
      </w:pPr>
      <w:r>
        <w:rPr>
          <w:rFonts w:ascii="Arial" w:hAnsi="Arial" w:cs="Arial"/>
          <w:sz w:val="24"/>
          <w:szCs w:val="24"/>
        </w:rPr>
        <w:t xml:space="preserve">Prescribes factors that the courts can </w:t>
      </w:r>
      <w:r w:rsidR="000B243E">
        <w:rPr>
          <w:rFonts w:ascii="Arial" w:hAnsi="Arial" w:cs="Arial"/>
          <w:sz w:val="24"/>
          <w:szCs w:val="24"/>
        </w:rPr>
        <w:t>consider</w:t>
      </w:r>
      <w:r>
        <w:rPr>
          <w:rFonts w:ascii="Arial" w:hAnsi="Arial" w:cs="Arial"/>
          <w:sz w:val="24"/>
          <w:szCs w:val="24"/>
        </w:rPr>
        <w:t xml:space="preserve"> when determining whether an </w:t>
      </w:r>
      <w:r w:rsidR="00DA2CC4" w:rsidRPr="00EB07B1">
        <w:rPr>
          <w:rFonts w:ascii="Arial" w:hAnsi="Arial" w:cs="Arial"/>
          <w:sz w:val="24"/>
          <w:szCs w:val="24"/>
        </w:rPr>
        <w:t>organisation</w:t>
      </w:r>
      <w:r>
        <w:rPr>
          <w:rFonts w:ascii="Arial" w:hAnsi="Arial" w:cs="Arial"/>
          <w:sz w:val="24"/>
          <w:szCs w:val="24"/>
        </w:rPr>
        <w:t xml:space="preserve"> took reasonable steps</w:t>
      </w:r>
      <w:r w:rsidR="00DA2CC4" w:rsidRPr="00EB07B1">
        <w:rPr>
          <w:rFonts w:ascii="Arial" w:hAnsi="Arial" w:cs="Arial"/>
          <w:sz w:val="24"/>
          <w:szCs w:val="24"/>
        </w:rPr>
        <w:t xml:space="preserve"> </w:t>
      </w:r>
      <w:r>
        <w:rPr>
          <w:rFonts w:ascii="Arial" w:hAnsi="Arial" w:cs="Arial"/>
          <w:sz w:val="24"/>
          <w:szCs w:val="24"/>
        </w:rPr>
        <w:t>to prevent the abuse in situations w</w:t>
      </w:r>
      <w:r w:rsidRPr="00D73083">
        <w:rPr>
          <w:rFonts w:ascii="Arial" w:hAnsi="Arial" w:cs="Arial"/>
          <w:sz w:val="24"/>
          <w:szCs w:val="24"/>
        </w:rPr>
        <w:t>here there is proof that abuse has occurred and committed by an individual associated with the relevant organisation</w:t>
      </w:r>
      <w:r>
        <w:rPr>
          <w:rFonts w:ascii="Arial" w:hAnsi="Arial" w:cs="Arial"/>
          <w:sz w:val="24"/>
          <w:szCs w:val="24"/>
        </w:rPr>
        <w:t>.</w:t>
      </w:r>
    </w:p>
    <w:p w14:paraId="2A513EBE" w14:textId="77777777" w:rsidR="000B243E" w:rsidRDefault="000B243E" w:rsidP="00A3296A">
      <w:pPr>
        <w:pStyle w:val="ListParagraph"/>
        <w:numPr>
          <w:ilvl w:val="0"/>
          <w:numId w:val="24"/>
        </w:numPr>
        <w:ind w:left="2200" w:hanging="357"/>
        <w:contextualSpacing w:val="0"/>
        <w:rPr>
          <w:rFonts w:ascii="Arial" w:hAnsi="Arial" w:cs="Arial"/>
          <w:sz w:val="24"/>
          <w:szCs w:val="24"/>
        </w:rPr>
      </w:pPr>
      <w:r>
        <w:rPr>
          <w:rFonts w:ascii="Arial" w:hAnsi="Arial" w:cs="Arial"/>
          <w:sz w:val="24"/>
          <w:szCs w:val="24"/>
        </w:rPr>
        <w:t>P</w:t>
      </w:r>
      <w:r w:rsidR="00DA2CC4" w:rsidRPr="00EB07B1">
        <w:rPr>
          <w:rFonts w:ascii="Arial" w:hAnsi="Arial" w:cs="Arial"/>
          <w:sz w:val="24"/>
          <w:szCs w:val="24"/>
        </w:rPr>
        <w:t>rovides that organisations might be held vicariously liable for child abuse committed by an employee of the organisation if the organisation places the employee into a position that supplies the opportunity for the perpetration of the abuse and the employee takes advantage of the opportunity to perpetrate the abuse.</w:t>
      </w:r>
      <w:r>
        <w:rPr>
          <w:rStyle w:val="FootnoteReference"/>
          <w:rFonts w:ascii="Arial" w:hAnsi="Arial" w:cs="Arial"/>
          <w:sz w:val="24"/>
          <w:szCs w:val="24"/>
        </w:rPr>
        <w:footnoteReference w:id="13"/>
      </w:r>
      <w:r w:rsidR="00DA2CC4" w:rsidRPr="00EB07B1">
        <w:rPr>
          <w:rFonts w:ascii="Arial" w:hAnsi="Arial" w:cs="Arial"/>
          <w:sz w:val="24"/>
          <w:szCs w:val="24"/>
        </w:rPr>
        <w:t xml:space="preserve"> </w:t>
      </w:r>
    </w:p>
    <w:p w14:paraId="19407D6F" w14:textId="77777777" w:rsidR="008C3132" w:rsidRDefault="000B243E" w:rsidP="00A3296A">
      <w:pPr>
        <w:pStyle w:val="ListParagraph"/>
        <w:numPr>
          <w:ilvl w:val="0"/>
          <w:numId w:val="24"/>
        </w:numPr>
        <w:ind w:left="2200" w:hanging="357"/>
        <w:contextualSpacing w:val="0"/>
        <w:rPr>
          <w:rFonts w:ascii="Arial" w:hAnsi="Arial" w:cs="Arial"/>
          <w:sz w:val="24"/>
          <w:szCs w:val="24"/>
        </w:rPr>
      </w:pPr>
      <w:r>
        <w:rPr>
          <w:rFonts w:ascii="Arial" w:hAnsi="Arial" w:cs="Arial"/>
          <w:sz w:val="24"/>
          <w:szCs w:val="24"/>
        </w:rPr>
        <w:lastRenderedPageBreak/>
        <w:t xml:space="preserve">Defines an “employee” </w:t>
      </w:r>
      <w:r w:rsidR="00DA2CC4" w:rsidRPr="00D73083">
        <w:rPr>
          <w:rFonts w:ascii="Arial" w:hAnsi="Arial" w:cs="Arial"/>
          <w:sz w:val="24"/>
          <w:szCs w:val="24"/>
        </w:rPr>
        <w:t xml:space="preserve">to include persons in a relationship with the organisation akin to an employee. </w:t>
      </w:r>
    </w:p>
    <w:p w14:paraId="4A79F749" w14:textId="2DD6A5C1" w:rsidR="00DA2CC4" w:rsidRPr="00486CD5" w:rsidRDefault="00486CD5" w:rsidP="00A3296A">
      <w:pPr>
        <w:pStyle w:val="ListParagraph"/>
        <w:numPr>
          <w:ilvl w:val="0"/>
          <w:numId w:val="22"/>
        </w:numPr>
        <w:ind w:left="1928" w:hanging="794"/>
        <w:contextualSpacing w:val="0"/>
        <w:rPr>
          <w:rFonts w:ascii="Arial" w:hAnsi="Arial" w:cs="Arial"/>
          <w:sz w:val="24"/>
          <w:szCs w:val="24"/>
        </w:rPr>
      </w:pPr>
      <w:r>
        <w:rPr>
          <w:rFonts w:ascii="Arial" w:hAnsi="Arial" w:cs="Arial"/>
          <w:sz w:val="24"/>
          <w:szCs w:val="24"/>
        </w:rPr>
        <w:t xml:space="preserve">A Private Members’ Bill was introduced into the Queensland Parliament on 31 October 2018 but has not progressed to date. </w:t>
      </w:r>
      <w:r w:rsidR="00DA2CC4" w:rsidRPr="00486CD5">
        <w:rPr>
          <w:rFonts w:ascii="Arial" w:hAnsi="Arial" w:cs="Arial"/>
          <w:sz w:val="24"/>
          <w:szCs w:val="24"/>
        </w:rPr>
        <w:t>The proposals in the Bill are intended to operate retrospectively</w:t>
      </w:r>
      <w:r>
        <w:rPr>
          <w:rFonts w:ascii="Arial" w:hAnsi="Arial" w:cs="Arial"/>
          <w:sz w:val="24"/>
          <w:szCs w:val="24"/>
        </w:rPr>
        <w:t>. The Bill proposes to amend the Queensland Civil Liability Act by:</w:t>
      </w:r>
    </w:p>
    <w:p w14:paraId="300E7645" w14:textId="55E14FB4" w:rsidR="00FF0F87" w:rsidRDefault="00486CD5" w:rsidP="00A3296A">
      <w:pPr>
        <w:pStyle w:val="ListParagraph"/>
        <w:keepLines/>
        <w:numPr>
          <w:ilvl w:val="0"/>
          <w:numId w:val="26"/>
        </w:numPr>
        <w:spacing w:before="80" w:after="80" w:line="240" w:lineRule="auto"/>
        <w:ind w:left="2203"/>
        <w:rPr>
          <w:rFonts w:ascii="Arial" w:hAnsi="Arial" w:cs="Arial"/>
          <w:sz w:val="24"/>
          <w:szCs w:val="24"/>
        </w:rPr>
      </w:pPr>
      <w:r w:rsidRPr="00FF0F87">
        <w:rPr>
          <w:rFonts w:ascii="Arial" w:hAnsi="Arial" w:cs="Arial"/>
          <w:sz w:val="24"/>
          <w:szCs w:val="24"/>
        </w:rPr>
        <w:t>I</w:t>
      </w:r>
      <w:r w:rsidR="00DA2CC4" w:rsidRPr="00FF0F87">
        <w:rPr>
          <w:rFonts w:ascii="Arial" w:hAnsi="Arial" w:cs="Arial"/>
          <w:sz w:val="24"/>
          <w:szCs w:val="24"/>
        </w:rPr>
        <w:t>ntroduc</w:t>
      </w:r>
      <w:r w:rsidRPr="00FF0F87">
        <w:rPr>
          <w:rFonts w:ascii="Arial" w:hAnsi="Arial" w:cs="Arial"/>
          <w:sz w:val="24"/>
          <w:szCs w:val="24"/>
        </w:rPr>
        <w:t>ing</w:t>
      </w:r>
      <w:r w:rsidR="00DA2CC4" w:rsidRPr="00FF0F87">
        <w:rPr>
          <w:rFonts w:ascii="Arial" w:hAnsi="Arial" w:cs="Arial"/>
          <w:sz w:val="24"/>
          <w:szCs w:val="24"/>
        </w:rPr>
        <w:t xml:space="preserve"> a statutory duty for institutions to</w:t>
      </w:r>
      <w:r w:rsidR="00FF0F87" w:rsidRPr="00FF0F87">
        <w:rPr>
          <w:rFonts w:ascii="Arial" w:hAnsi="Arial" w:cs="Arial"/>
          <w:sz w:val="24"/>
          <w:szCs w:val="24"/>
        </w:rPr>
        <w:t xml:space="preserve"> take steps to</w:t>
      </w:r>
      <w:r w:rsidR="00DA2CC4" w:rsidRPr="00FF0F87">
        <w:rPr>
          <w:rFonts w:ascii="Arial" w:hAnsi="Arial" w:cs="Arial"/>
          <w:sz w:val="24"/>
          <w:szCs w:val="24"/>
        </w:rPr>
        <w:t xml:space="preserve"> ensure that a child </w:t>
      </w:r>
      <w:r w:rsidR="00FF0F87" w:rsidRPr="00FF0F87">
        <w:rPr>
          <w:rFonts w:ascii="Arial" w:hAnsi="Arial" w:cs="Arial"/>
          <w:sz w:val="24"/>
          <w:szCs w:val="24"/>
        </w:rPr>
        <w:t>who is either</w:t>
      </w:r>
      <w:r w:rsidR="00FF0F87">
        <w:rPr>
          <w:rFonts w:ascii="Arial" w:hAnsi="Arial" w:cs="Arial"/>
          <w:sz w:val="24"/>
          <w:szCs w:val="24"/>
        </w:rPr>
        <w:t xml:space="preserve"> –</w:t>
      </w:r>
    </w:p>
    <w:p w14:paraId="215EF0AF" w14:textId="77777777" w:rsidR="00FF0F87" w:rsidRDefault="00DA2CC4" w:rsidP="00A3296A">
      <w:pPr>
        <w:pStyle w:val="ListParagraph"/>
        <w:keepLines/>
        <w:numPr>
          <w:ilvl w:val="0"/>
          <w:numId w:val="27"/>
        </w:numPr>
        <w:spacing w:before="80" w:after="80" w:line="240" w:lineRule="auto"/>
        <w:ind w:left="2571"/>
        <w:rPr>
          <w:rFonts w:ascii="Arial" w:hAnsi="Arial" w:cs="Arial"/>
          <w:sz w:val="24"/>
          <w:szCs w:val="24"/>
        </w:rPr>
      </w:pPr>
      <w:r w:rsidRPr="00FF0F87">
        <w:rPr>
          <w:rFonts w:ascii="Arial" w:hAnsi="Arial" w:cs="Arial"/>
          <w:sz w:val="24"/>
          <w:szCs w:val="24"/>
        </w:rPr>
        <w:t>involved in activities, facilities, programs, or services of any kind provided by the institution</w:t>
      </w:r>
      <w:r w:rsidR="00FF0F87">
        <w:rPr>
          <w:rFonts w:ascii="Arial" w:hAnsi="Arial" w:cs="Arial"/>
          <w:sz w:val="24"/>
          <w:szCs w:val="24"/>
        </w:rPr>
        <w:t>,</w:t>
      </w:r>
      <w:r w:rsidRPr="00FF0F87">
        <w:rPr>
          <w:rFonts w:ascii="Arial" w:hAnsi="Arial" w:cs="Arial"/>
          <w:sz w:val="24"/>
          <w:szCs w:val="24"/>
        </w:rPr>
        <w:t xml:space="preserve"> </w:t>
      </w:r>
    </w:p>
    <w:p w14:paraId="0FB8E9C4" w14:textId="77777777" w:rsidR="00FF0F87" w:rsidRDefault="00DA2CC4" w:rsidP="00A3296A">
      <w:pPr>
        <w:pStyle w:val="ListParagraph"/>
        <w:keepLines/>
        <w:numPr>
          <w:ilvl w:val="0"/>
          <w:numId w:val="27"/>
        </w:numPr>
        <w:spacing w:before="80" w:after="80" w:line="240" w:lineRule="auto"/>
        <w:ind w:left="2571"/>
        <w:rPr>
          <w:rFonts w:ascii="Arial" w:hAnsi="Arial" w:cs="Arial"/>
          <w:sz w:val="24"/>
          <w:szCs w:val="24"/>
        </w:rPr>
      </w:pPr>
      <w:r w:rsidRPr="00FF0F87">
        <w:rPr>
          <w:rFonts w:ascii="Arial" w:hAnsi="Arial" w:cs="Arial"/>
          <w:sz w:val="24"/>
          <w:szCs w:val="24"/>
        </w:rPr>
        <w:t>who is otherwise in the care, or under the supervision or authority of the institution, and</w:t>
      </w:r>
      <w:r w:rsidR="00FF0F87" w:rsidRPr="00FF0F87">
        <w:rPr>
          <w:rFonts w:ascii="Arial" w:hAnsi="Arial" w:cs="Arial"/>
          <w:sz w:val="24"/>
          <w:szCs w:val="24"/>
        </w:rPr>
        <w:t xml:space="preserve"> </w:t>
      </w:r>
    </w:p>
    <w:p w14:paraId="6BD2C021" w14:textId="4844BAA3" w:rsidR="00DA2CC4" w:rsidRPr="00FF0F87" w:rsidRDefault="00DA2CC4" w:rsidP="00A3296A">
      <w:pPr>
        <w:pStyle w:val="ListParagraph"/>
        <w:keepLines/>
        <w:numPr>
          <w:ilvl w:val="0"/>
          <w:numId w:val="27"/>
        </w:numPr>
        <w:spacing w:before="80" w:after="80" w:line="240" w:lineRule="auto"/>
        <w:ind w:left="2571"/>
        <w:rPr>
          <w:rFonts w:ascii="Arial" w:hAnsi="Arial" w:cs="Arial"/>
          <w:sz w:val="24"/>
          <w:szCs w:val="24"/>
        </w:rPr>
      </w:pPr>
      <w:r w:rsidRPr="00FF0F87">
        <w:rPr>
          <w:rFonts w:ascii="Arial" w:hAnsi="Arial" w:cs="Arial"/>
          <w:sz w:val="24"/>
          <w:szCs w:val="24"/>
        </w:rPr>
        <w:t>who is under the care, supervision, or authority of another individual or organisation as a result of the delegated authority of the institution -</w:t>
      </w:r>
    </w:p>
    <w:p w14:paraId="0F219486" w14:textId="77777777" w:rsidR="00DA2CC4" w:rsidRPr="008C3132" w:rsidRDefault="00DA2CC4" w:rsidP="00FF0F87">
      <w:pPr>
        <w:ind w:left="2211"/>
        <w:rPr>
          <w:rFonts w:ascii="Arial" w:hAnsi="Arial" w:cs="Arial"/>
          <w:sz w:val="24"/>
          <w:szCs w:val="24"/>
        </w:rPr>
      </w:pPr>
      <w:r w:rsidRPr="008C3132">
        <w:rPr>
          <w:rFonts w:ascii="Arial" w:hAnsi="Arial" w:cs="Arial"/>
          <w:sz w:val="24"/>
          <w:szCs w:val="24"/>
        </w:rPr>
        <w:t>does not suffer child abuse perpetrated by an official of the institution.</w:t>
      </w:r>
    </w:p>
    <w:p w14:paraId="69970822" w14:textId="3B7536A9" w:rsidR="00DA2CC4" w:rsidRPr="00FF0F87" w:rsidRDefault="00FF0F87" w:rsidP="00A3296A">
      <w:pPr>
        <w:pStyle w:val="ListParagraph"/>
        <w:numPr>
          <w:ilvl w:val="0"/>
          <w:numId w:val="26"/>
        </w:numPr>
        <w:ind w:left="2200" w:hanging="357"/>
        <w:contextualSpacing w:val="0"/>
        <w:rPr>
          <w:rFonts w:ascii="Arial" w:hAnsi="Arial" w:cs="Arial"/>
          <w:sz w:val="24"/>
          <w:szCs w:val="24"/>
        </w:rPr>
      </w:pPr>
      <w:r>
        <w:rPr>
          <w:rFonts w:ascii="Arial" w:hAnsi="Arial" w:cs="Arial"/>
          <w:sz w:val="24"/>
          <w:szCs w:val="24"/>
        </w:rPr>
        <w:t>P</w:t>
      </w:r>
      <w:r w:rsidR="00DA2CC4" w:rsidRPr="00FF0F87">
        <w:rPr>
          <w:rFonts w:ascii="Arial" w:hAnsi="Arial" w:cs="Arial"/>
          <w:sz w:val="24"/>
          <w:szCs w:val="24"/>
        </w:rPr>
        <w:t>rovid</w:t>
      </w:r>
      <w:r>
        <w:rPr>
          <w:rFonts w:ascii="Arial" w:hAnsi="Arial" w:cs="Arial"/>
          <w:sz w:val="24"/>
          <w:szCs w:val="24"/>
        </w:rPr>
        <w:t>ing</w:t>
      </w:r>
      <w:r w:rsidR="00DA2CC4" w:rsidRPr="00FF0F87">
        <w:rPr>
          <w:rFonts w:ascii="Arial" w:hAnsi="Arial" w:cs="Arial"/>
          <w:sz w:val="24"/>
          <w:szCs w:val="24"/>
        </w:rPr>
        <w:t xml:space="preserve"> institution</w:t>
      </w:r>
      <w:r>
        <w:rPr>
          <w:rFonts w:ascii="Arial" w:hAnsi="Arial" w:cs="Arial"/>
          <w:sz w:val="24"/>
          <w:szCs w:val="24"/>
        </w:rPr>
        <w:t>s with</w:t>
      </w:r>
      <w:r w:rsidR="00DA2CC4" w:rsidRPr="00FF0F87">
        <w:rPr>
          <w:rFonts w:ascii="Arial" w:hAnsi="Arial" w:cs="Arial"/>
          <w:sz w:val="24"/>
          <w:szCs w:val="24"/>
        </w:rPr>
        <w:t xml:space="preserve"> a defence if the institution can prove that it took reasonable precautions and exercised due diligence to prevent the child suffering child abuse. The Bill provides the courts with guidelines as to when the institution may have taken reasonable precautions and exercised due diligence.</w:t>
      </w:r>
    </w:p>
    <w:p w14:paraId="428719FE" w14:textId="77777777" w:rsidR="00860543" w:rsidRDefault="00860543" w:rsidP="00A3296A">
      <w:pPr>
        <w:pStyle w:val="ListParagraph"/>
        <w:numPr>
          <w:ilvl w:val="0"/>
          <w:numId w:val="22"/>
        </w:numPr>
        <w:ind w:left="1928" w:hanging="794"/>
        <w:rPr>
          <w:rFonts w:ascii="Arial" w:hAnsi="Arial" w:cs="Arial"/>
          <w:sz w:val="24"/>
          <w:szCs w:val="24"/>
        </w:rPr>
      </w:pPr>
      <w:r>
        <w:rPr>
          <w:rFonts w:ascii="Arial" w:hAnsi="Arial" w:cs="Arial"/>
          <w:sz w:val="24"/>
          <w:szCs w:val="24"/>
        </w:rPr>
        <w:t xml:space="preserve">The Governments of Tasmania, Western Australia, and Northern Territory have all </w:t>
      </w:r>
      <w:r w:rsidR="00DA2CC4" w:rsidRPr="00860543">
        <w:rPr>
          <w:rFonts w:ascii="Arial" w:hAnsi="Arial" w:cs="Arial"/>
          <w:sz w:val="24"/>
          <w:szCs w:val="24"/>
        </w:rPr>
        <w:t>released discussion paper</w:t>
      </w:r>
      <w:r>
        <w:rPr>
          <w:rFonts w:ascii="Arial" w:hAnsi="Arial" w:cs="Arial"/>
          <w:sz w:val="24"/>
          <w:szCs w:val="24"/>
        </w:rPr>
        <w:t>s</w:t>
      </w:r>
      <w:r w:rsidR="00DA2CC4" w:rsidRPr="00860543">
        <w:rPr>
          <w:rFonts w:ascii="Arial" w:hAnsi="Arial" w:cs="Arial"/>
          <w:sz w:val="24"/>
          <w:szCs w:val="24"/>
        </w:rPr>
        <w:t xml:space="preserve"> on proposals to respond to the Royal Commission’s recommendations</w:t>
      </w:r>
      <w:r>
        <w:rPr>
          <w:rFonts w:ascii="Arial" w:hAnsi="Arial" w:cs="Arial"/>
          <w:sz w:val="24"/>
          <w:szCs w:val="24"/>
        </w:rPr>
        <w:t>.</w:t>
      </w:r>
    </w:p>
    <w:p w14:paraId="5B63C4A4" w14:textId="77777777" w:rsidR="00493627" w:rsidRDefault="00493627" w:rsidP="00493627">
      <w:pPr>
        <w:rPr>
          <w:rFonts w:ascii="Arial" w:hAnsi="Arial" w:cs="Arial"/>
          <w:b/>
          <w:i/>
          <w:color w:val="000000" w:themeColor="text1"/>
          <w:sz w:val="24"/>
          <w:szCs w:val="24"/>
        </w:rPr>
      </w:pPr>
    </w:p>
    <w:p w14:paraId="3B1544CC" w14:textId="600FDB7A" w:rsidR="00DA2CC4" w:rsidRPr="0091772E" w:rsidRDefault="0091772E" w:rsidP="00266D9B">
      <w:pPr>
        <w:ind w:left="567"/>
        <w:rPr>
          <w:rFonts w:ascii="Arial" w:hAnsi="Arial" w:cs="Arial"/>
          <w:b/>
          <w:i/>
          <w:color w:val="000000" w:themeColor="text1"/>
          <w:sz w:val="24"/>
          <w:szCs w:val="24"/>
        </w:rPr>
      </w:pPr>
      <w:r w:rsidRPr="0091772E">
        <w:rPr>
          <w:rFonts w:ascii="Arial" w:hAnsi="Arial" w:cs="Arial"/>
          <w:b/>
          <w:i/>
          <w:color w:val="000000" w:themeColor="text1"/>
          <w:sz w:val="24"/>
          <w:szCs w:val="24"/>
        </w:rPr>
        <w:t>Civil Litigation: Model Litigant guidelines</w:t>
      </w:r>
    </w:p>
    <w:p w14:paraId="2E6F0BA2" w14:textId="77777777" w:rsidR="00036CA0" w:rsidRDefault="00266E87" w:rsidP="00A3296A">
      <w:pPr>
        <w:pStyle w:val="ListParagraph"/>
        <w:numPr>
          <w:ilvl w:val="0"/>
          <w:numId w:val="30"/>
        </w:numPr>
        <w:ind w:left="1134" w:hanging="567"/>
        <w:contextualSpacing w:val="0"/>
        <w:rPr>
          <w:rFonts w:ascii="Arial" w:hAnsi="Arial" w:cs="Arial"/>
          <w:color w:val="000000" w:themeColor="text1"/>
          <w:sz w:val="24"/>
          <w:szCs w:val="24"/>
        </w:rPr>
      </w:pPr>
      <w:r w:rsidRPr="00266E87">
        <w:rPr>
          <w:rFonts w:ascii="Arial" w:hAnsi="Arial" w:cs="Arial"/>
          <w:color w:val="000000" w:themeColor="text1"/>
          <w:sz w:val="24"/>
          <w:szCs w:val="24"/>
        </w:rPr>
        <w:t xml:space="preserve">The Royal Commission </w:t>
      </w:r>
      <w:r>
        <w:rPr>
          <w:rFonts w:ascii="Arial" w:hAnsi="Arial" w:cs="Arial"/>
          <w:color w:val="000000" w:themeColor="text1"/>
          <w:sz w:val="24"/>
          <w:szCs w:val="24"/>
        </w:rPr>
        <w:t>recommended that appropriate Government and non-government institutions should adopt guidelines for responding to claims for compensation arising from allegations of child sexual abuse</w:t>
      </w:r>
      <w:r w:rsidR="00036CA0">
        <w:rPr>
          <w:rFonts w:ascii="Arial" w:hAnsi="Arial" w:cs="Arial"/>
          <w:color w:val="000000" w:themeColor="text1"/>
          <w:sz w:val="24"/>
          <w:szCs w:val="24"/>
        </w:rPr>
        <w:t xml:space="preserve"> and make these guidelines accessible</w:t>
      </w:r>
      <w:r>
        <w:rPr>
          <w:rFonts w:ascii="Arial" w:hAnsi="Arial" w:cs="Arial"/>
          <w:color w:val="000000" w:themeColor="text1"/>
          <w:sz w:val="24"/>
          <w:szCs w:val="24"/>
        </w:rPr>
        <w:t>.</w:t>
      </w:r>
    </w:p>
    <w:p w14:paraId="2EC5AC77" w14:textId="751E0444" w:rsidR="009E6DBB" w:rsidRDefault="00266E87" w:rsidP="00A3296A">
      <w:pPr>
        <w:pStyle w:val="ListParagraph"/>
        <w:numPr>
          <w:ilvl w:val="0"/>
          <w:numId w:val="30"/>
        </w:numPr>
        <w:ind w:left="1134" w:hanging="567"/>
        <w:contextualSpacing w:val="0"/>
        <w:rPr>
          <w:rFonts w:ascii="Arial" w:hAnsi="Arial" w:cs="Arial"/>
          <w:color w:val="000000" w:themeColor="text1"/>
          <w:sz w:val="24"/>
          <w:szCs w:val="24"/>
        </w:rPr>
      </w:pPr>
      <w:r>
        <w:rPr>
          <w:rFonts w:ascii="Arial" w:hAnsi="Arial" w:cs="Arial"/>
          <w:color w:val="000000" w:themeColor="text1"/>
          <w:sz w:val="24"/>
          <w:szCs w:val="24"/>
        </w:rPr>
        <w:t xml:space="preserve">The intention of such guidelines was to minimise </w:t>
      </w:r>
      <w:r w:rsidR="009E6DBB">
        <w:rPr>
          <w:rFonts w:ascii="Arial" w:hAnsi="Arial" w:cs="Arial"/>
          <w:color w:val="000000" w:themeColor="text1"/>
          <w:sz w:val="24"/>
          <w:szCs w:val="24"/>
        </w:rPr>
        <w:t>potential re-traumatisation of claimants including by avoiding unnecessarily adversarial responses to claims.</w:t>
      </w:r>
    </w:p>
    <w:p w14:paraId="47833F54" w14:textId="04047FC6" w:rsidR="009E6DBB" w:rsidRPr="007D40AB" w:rsidRDefault="009E6DBB" w:rsidP="00A3296A">
      <w:pPr>
        <w:numPr>
          <w:ilvl w:val="0"/>
          <w:numId w:val="28"/>
        </w:numPr>
        <w:shd w:val="clear" w:color="auto" w:fill="FFFFFF"/>
        <w:spacing w:before="100" w:beforeAutospacing="1" w:after="100" w:afterAutospacing="1" w:line="240" w:lineRule="auto"/>
        <w:ind w:left="1134" w:hanging="567"/>
        <w:rPr>
          <w:rFonts w:ascii="gotham_book" w:eastAsia="Times New Roman" w:hAnsi="gotham_book" w:cs="Helvetica"/>
          <w:color w:val="333333"/>
          <w:sz w:val="24"/>
          <w:szCs w:val="24"/>
          <w:lang w:val="en" w:eastAsia="en-NZ"/>
        </w:rPr>
      </w:pPr>
      <w:r>
        <w:rPr>
          <w:rFonts w:ascii="Arial" w:hAnsi="Arial" w:cs="Arial"/>
          <w:color w:val="000000" w:themeColor="text1"/>
          <w:sz w:val="24"/>
          <w:szCs w:val="24"/>
        </w:rPr>
        <w:t xml:space="preserve">The Royal Commission recommended that the institutions be placed under an obligation </w:t>
      </w:r>
      <w:r w:rsidR="001C6426">
        <w:rPr>
          <w:rFonts w:ascii="Arial" w:hAnsi="Arial" w:cs="Arial"/>
          <w:color w:val="000000" w:themeColor="text1"/>
          <w:sz w:val="24"/>
          <w:szCs w:val="24"/>
        </w:rPr>
        <w:t>to assist</w:t>
      </w:r>
      <w:r w:rsidR="00036CA0">
        <w:rPr>
          <w:rFonts w:ascii="Arial" w:hAnsi="Arial" w:cs="Arial"/>
          <w:color w:val="333333"/>
          <w:sz w:val="24"/>
          <w:szCs w:val="24"/>
          <w:lang w:val="en"/>
        </w:rPr>
        <w:t xml:space="preserve"> claimants and their legal representatives in identifying the proper legal defendants to a claim.</w:t>
      </w:r>
    </w:p>
    <w:p w14:paraId="3C61015C" w14:textId="49B59A41" w:rsidR="0097160E" w:rsidRPr="00DE3B17" w:rsidRDefault="00577723" w:rsidP="00A3296A">
      <w:pPr>
        <w:numPr>
          <w:ilvl w:val="0"/>
          <w:numId w:val="28"/>
        </w:numPr>
        <w:shd w:val="clear" w:color="auto" w:fill="FFFFFF"/>
        <w:spacing w:before="120" w:after="0" w:line="240" w:lineRule="auto"/>
        <w:ind w:left="1134" w:hanging="567"/>
        <w:rPr>
          <w:rFonts w:ascii="gotham_book" w:eastAsia="Times New Roman" w:hAnsi="gotham_book" w:cs="Helvetica"/>
          <w:color w:val="333333"/>
          <w:sz w:val="24"/>
          <w:szCs w:val="24"/>
          <w:lang w:val="en" w:eastAsia="en-NZ"/>
        </w:rPr>
      </w:pPr>
      <w:r>
        <w:rPr>
          <w:rFonts w:ascii="Arial" w:eastAsia="Times New Roman" w:hAnsi="Arial" w:cs="Arial"/>
          <w:color w:val="333333"/>
          <w:sz w:val="24"/>
          <w:szCs w:val="24"/>
          <w:lang w:val="en" w:eastAsia="en-NZ"/>
        </w:rPr>
        <w:t>Some</w:t>
      </w:r>
      <w:r w:rsidR="0097160E">
        <w:rPr>
          <w:rFonts w:ascii="Arial" w:eastAsia="Times New Roman" w:hAnsi="Arial" w:cs="Arial"/>
          <w:color w:val="333333"/>
          <w:sz w:val="24"/>
          <w:szCs w:val="24"/>
          <w:lang w:val="en" w:eastAsia="en-NZ"/>
        </w:rPr>
        <w:t xml:space="preserve"> Australian States have developed </w:t>
      </w:r>
      <w:r w:rsidR="00DD327E">
        <w:rPr>
          <w:rFonts w:ascii="Arial" w:eastAsia="Times New Roman" w:hAnsi="Arial" w:cs="Arial"/>
          <w:color w:val="333333"/>
          <w:sz w:val="24"/>
          <w:szCs w:val="24"/>
          <w:lang w:val="en" w:eastAsia="en-NZ"/>
        </w:rPr>
        <w:t>g</w:t>
      </w:r>
      <w:r w:rsidR="007D40AB">
        <w:rPr>
          <w:rFonts w:ascii="Arial" w:eastAsia="Times New Roman" w:hAnsi="Arial" w:cs="Arial"/>
          <w:color w:val="333333"/>
          <w:sz w:val="24"/>
          <w:szCs w:val="24"/>
          <w:lang w:val="en" w:eastAsia="en-NZ"/>
        </w:rPr>
        <w:t xml:space="preserve">uiding principles that are to be used by Government departments when responding to civil claims of child </w:t>
      </w:r>
      <w:r w:rsidR="007D40AB">
        <w:rPr>
          <w:rFonts w:ascii="Arial" w:eastAsia="Times New Roman" w:hAnsi="Arial" w:cs="Arial"/>
          <w:color w:val="333333"/>
          <w:sz w:val="24"/>
          <w:szCs w:val="24"/>
          <w:lang w:val="en" w:eastAsia="en-NZ"/>
        </w:rPr>
        <w:lastRenderedPageBreak/>
        <w:t xml:space="preserve">abuse. These </w:t>
      </w:r>
      <w:r w:rsidR="00A15DFD">
        <w:rPr>
          <w:rFonts w:ascii="Arial" w:eastAsia="Times New Roman" w:hAnsi="Arial" w:cs="Arial"/>
          <w:color w:val="333333"/>
          <w:sz w:val="24"/>
          <w:szCs w:val="24"/>
          <w:lang w:val="en" w:eastAsia="en-NZ"/>
        </w:rPr>
        <w:t>principl</w:t>
      </w:r>
      <w:r w:rsidR="007D40AB">
        <w:rPr>
          <w:rFonts w:ascii="Arial" w:eastAsia="Times New Roman" w:hAnsi="Arial" w:cs="Arial"/>
          <w:color w:val="333333"/>
          <w:sz w:val="24"/>
          <w:szCs w:val="24"/>
          <w:lang w:val="en" w:eastAsia="en-NZ"/>
        </w:rPr>
        <w:t xml:space="preserve">es </w:t>
      </w:r>
      <w:r w:rsidR="007D40AB">
        <w:rPr>
          <w:rFonts w:ascii="Arial" w:eastAsia="Times New Roman" w:hAnsi="Arial" w:cs="Arial"/>
          <w:i/>
          <w:color w:val="333333"/>
          <w:sz w:val="24"/>
          <w:szCs w:val="24"/>
          <w:lang w:val="en" w:eastAsia="en-NZ"/>
        </w:rPr>
        <w:t>are in addition to</w:t>
      </w:r>
      <w:r w:rsidR="007D40AB">
        <w:rPr>
          <w:rFonts w:ascii="Arial" w:eastAsia="Times New Roman" w:hAnsi="Arial" w:cs="Arial"/>
          <w:color w:val="333333"/>
          <w:sz w:val="24"/>
          <w:szCs w:val="24"/>
          <w:lang w:val="en" w:eastAsia="en-NZ"/>
        </w:rPr>
        <w:t xml:space="preserve"> the generic Model Litigant rules</w:t>
      </w:r>
      <w:r w:rsidR="00DE3B17">
        <w:rPr>
          <w:rFonts w:ascii="Arial" w:eastAsia="Times New Roman" w:hAnsi="Arial" w:cs="Arial"/>
          <w:color w:val="333333"/>
          <w:sz w:val="24"/>
          <w:szCs w:val="24"/>
          <w:lang w:val="en" w:eastAsia="en-NZ"/>
        </w:rPr>
        <w:t>.</w:t>
      </w:r>
      <w:r w:rsidR="00DE3B17">
        <w:rPr>
          <w:rStyle w:val="FootnoteReference"/>
          <w:rFonts w:ascii="Arial" w:eastAsia="Times New Roman" w:hAnsi="Arial" w:cs="Arial"/>
          <w:color w:val="333333"/>
          <w:sz w:val="24"/>
          <w:szCs w:val="24"/>
          <w:lang w:val="en" w:eastAsia="en-NZ"/>
        </w:rPr>
        <w:footnoteReference w:id="14"/>
      </w:r>
      <w:r w:rsidR="00D21353">
        <w:rPr>
          <w:rFonts w:ascii="Arial" w:eastAsia="Times New Roman" w:hAnsi="Arial" w:cs="Arial"/>
          <w:color w:val="333333"/>
          <w:sz w:val="24"/>
          <w:szCs w:val="24"/>
          <w:lang w:val="en" w:eastAsia="en-NZ"/>
        </w:rPr>
        <w:t xml:space="preserve"> </w:t>
      </w:r>
      <w:r w:rsidR="007D40AB">
        <w:rPr>
          <w:rFonts w:ascii="Arial" w:eastAsia="Times New Roman" w:hAnsi="Arial" w:cs="Arial"/>
          <w:color w:val="333333"/>
          <w:sz w:val="24"/>
          <w:szCs w:val="24"/>
          <w:lang w:val="en" w:eastAsia="en-NZ"/>
        </w:rPr>
        <w:t xml:space="preserve"> </w:t>
      </w:r>
    </w:p>
    <w:p w14:paraId="56EB91EB" w14:textId="77777777" w:rsidR="00DE3B17" w:rsidRPr="00A15DFD" w:rsidRDefault="00DE3B17" w:rsidP="00921FA2">
      <w:pPr>
        <w:shd w:val="clear" w:color="auto" w:fill="FFFFFF"/>
        <w:spacing w:before="120" w:after="0" w:line="240" w:lineRule="auto"/>
        <w:ind w:left="1134"/>
        <w:rPr>
          <w:rFonts w:ascii="gotham_book" w:eastAsia="Times New Roman" w:hAnsi="gotham_book" w:cs="Helvetica"/>
          <w:color w:val="333333"/>
          <w:sz w:val="24"/>
          <w:szCs w:val="24"/>
          <w:lang w:val="en" w:eastAsia="en-NZ"/>
        </w:rPr>
      </w:pPr>
    </w:p>
    <w:p w14:paraId="2C6D8E00" w14:textId="32C561C0" w:rsidR="00577723" w:rsidRPr="00577723" w:rsidRDefault="007D40AB" w:rsidP="00A3296A">
      <w:pPr>
        <w:numPr>
          <w:ilvl w:val="0"/>
          <w:numId w:val="28"/>
        </w:numPr>
        <w:shd w:val="clear" w:color="auto" w:fill="FFFFFF"/>
        <w:spacing w:before="120" w:after="0" w:line="240" w:lineRule="auto"/>
        <w:ind w:left="1134" w:hanging="567"/>
        <w:rPr>
          <w:rFonts w:ascii="gotham_book" w:eastAsia="Times New Roman" w:hAnsi="gotham_book" w:cs="Helvetica"/>
          <w:color w:val="333333"/>
          <w:sz w:val="24"/>
          <w:szCs w:val="24"/>
          <w:lang w:val="en" w:eastAsia="en-NZ"/>
        </w:rPr>
      </w:pPr>
      <w:r>
        <w:rPr>
          <w:rFonts w:ascii="Arial" w:eastAsia="Times New Roman" w:hAnsi="Arial" w:cs="Arial"/>
          <w:color w:val="333333"/>
          <w:sz w:val="24"/>
          <w:szCs w:val="24"/>
          <w:lang w:val="en" w:eastAsia="en-NZ"/>
        </w:rPr>
        <w:t xml:space="preserve">The </w:t>
      </w:r>
      <w:r w:rsidR="001D15F0">
        <w:rPr>
          <w:rFonts w:ascii="Arial" w:eastAsia="Times New Roman" w:hAnsi="Arial" w:cs="Arial"/>
          <w:color w:val="333333"/>
          <w:sz w:val="24"/>
          <w:szCs w:val="24"/>
          <w:lang w:val="en" w:eastAsia="en-NZ"/>
        </w:rPr>
        <w:t xml:space="preserve">NSW Government has set down 19 principles that are designed to </w:t>
      </w:r>
      <w:r w:rsidR="00A709A6">
        <w:rPr>
          <w:rFonts w:ascii="Arial" w:eastAsia="Times New Roman" w:hAnsi="Arial" w:cs="Arial"/>
          <w:color w:val="333333"/>
          <w:sz w:val="24"/>
          <w:szCs w:val="24"/>
          <w:lang w:val="en" w:eastAsia="en-NZ"/>
        </w:rPr>
        <w:t>facilita</w:t>
      </w:r>
      <w:r w:rsidR="001D15F0">
        <w:rPr>
          <w:rFonts w:ascii="Arial" w:eastAsia="Times New Roman" w:hAnsi="Arial" w:cs="Arial"/>
          <w:color w:val="333333"/>
          <w:sz w:val="24"/>
          <w:szCs w:val="24"/>
          <w:lang w:val="en" w:eastAsia="en-NZ"/>
        </w:rPr>
        <w:t>te the claims process and minimis</w:t>
      </w:r>
      <w:r w:rsidR="00DD327E">
        <w:rPr>
          <w:rFonts w:ascii="Arial" w:eastAsia="Times New Roman" w:hAnsi="Arial" w:cs="Arial"/>
          <w:color w:val="333333"/>
          <w:sz w:val="24"/>
          <w:szCs w:val="24"/>
          <w:lang w:val="en" w:eastAsia="en-NZ"/>
        </w:rPr>
        <w:t>e</w:t>
      </w:r>
      <w:r w:rsidR="001D15F0">
        <w:rPr>
          <w:rFonts w:ascii="Arial" w:eastAsia="Times New Roman" w:hAnsi="Arial" w:cs="Arial"/>
          <w:color w:val="333333"/>
          <w:sz w:val="24"/>
          <w:szCs w:val="24"/>
          <w:lang w:val="en" w:eastAsia="en-NZ"/>
        </w:rPr>
        <w:t xml:space="preserve"> the potential re-traumatising </w:t>
      </w:r>
      <w:r w:rsidR="00DD327E">
        <w:rPr>
          <w:rFonts w:ascii="Arial" w:eastAsia="Times New Roman" w:hAnsi="Arial" w:cs="Arial"/>
          <w:color w:val="333333"/>
          <w:sz w:val="24"/>
          <w:szCs w:val="24"/>
          <w:lang w:val="en" w:eastAsia="en-NZ"/>
        </w:rPr>
        <w:t xml:space="preserve">of </w:t>
      </w:r>
      <w:r w:rsidR="001D15F0">
        <w:rPr>
          <w:rFonts w:ascii="Arial" w:eastAsia="Times New Roman" w:hAnsi="Arial" w:cs="Arial"/>
          <w:color w:val="333333"/>
          <w:sz w:val="24"/>
          <w:szCs w:val="24"/>
          <w:lang w:val="en" w:eastAsia="en-NZ"/>
        </w:rPr>
        <w:t>the survivor.</w:t>
      </w:r>
      <w:r w:rsidR="00FD6258">
        <w:rPr>
          <w:rFonts w:ascii="Arial" w:eastAsia="Times New Roman" w:hAnsi="Arial" w:cs="Arial"/>
          <w:color w:val="333333"/>
          <w:sz w:val="24"/>
          <w:szCs w:val="24"/>
          <w:lang w:val="en" w:eastAsia="en-NZ"/>
        </w:rPr>
        <w:t xml:space="preserve"> The</w:t>
      </w:r>
      <w:r w:rsidR="00577723">
        <w:rPr>
          <w:rFonts w:ascii="Arial" w:eastAsia="Times New Roman" w:hAnsi="Arial" w:cs="Arial"/>
          <w:color w:val="333333"/>
          <w:sz w:val="24"/>
          <w:szCs w:val="24"/>
          <w:lang w:val="en" w:eastAsia="en-NZ"/>
        </w:rPr>
        <w:t>se</w:t>
      </w:r>
      <w:r w:rsidR="00FD6258">
        <w:rPr>
          <w:rFonts w:ascii="Arial" w:eastAsia="Times New Roman" w:hAnsi="Arial" w:cs="Arial"/>
          <w:color w:val="333333"/>
          <w:sz w:val="24"/>
          <w:szCs w:val="24"/>
          <w:lang w:val="en" w:eastAsia="en-NZ"/>
        </w:rPr>
        <w:t xml:space="preserve"> principles</w:t>
      </w:r>
      <w:r w:rsidR="00577723">
        <w:rPr>
          <w:rFonts w:ascii="Arial" w:eastAsia="Times New Roman" w:hAnsi="Arial" w:cs="Arial"/>
          <w:color w:val="333333"/>
          <w:sz w:val="24"/>
          <w:szCs w:val="24"/>
          <w:lang w:val="en" w:eastAsia="en-NZ"/>
        </w:rPr>
        <w:t>:</w:t>
      </w:r>
    </w:p>
    <w:p w14:paraId="18A22363" w14:textId="18420342" w:rsidR="00FD6258" w:rsidRPr="00577723" w:rsidRDefault="00FD6258" w:rsidP="00A3296A">
      <w:pPr>
        <w:pStyle w:val="ListParagraph"/>
        <w:numPr>
          <w:ilvl w:val="0"/>
          <w:numId w:val="22"/>
        </w:numPr>
        <w:shd w:val="clear" w:color="auto" w:fill="FFFFFF"/>
        <w:spacing w:before="120" w:after="0" w:line="240" w:lineRule="auto"/>
        <w:ind w:left="1928" w:hanging="794"/>
        <w:rPr>
          <w:rFonts w:ascii="gotham_book" w:eastAsia="Times New Roman" w:hAnsi="gotham_book" w:cs="Helvetica"/>
          <w:color w:val="333333"/>
          <w:sz w:val="24"/>
          <w:szCs w:val="24"/>
          <w:lang w:val="en" w:eastAsia="en-NZ"/>
        </w:rPr>
      </w:pPr>
      <w:r w:rsidRPr="00577723">
        <w:rPr>
          <w:rFonts w:ascii="Arial" w:eastAsia="Times New Roman" w:hAnsi="Arial" w:cs="Arial"/>
          <w:color w:val="333333"/>
          <w:sz w:val="24"/>
          <w:szCs w:val="24"/>
          <w:lang w:val="en" w:eastAsia="en-NZ"/>
        </w:rPr>
        <w:t xml:space="preserve">are binding on Government </w:t>
      </w:r>
      <w:r w:rsidR="00DD327E">
        <w:rPr>
          <w:rFonts w:ascii="Arial" w:eastAsia="Times New Roman" w:hAnsi="Arial" w:cs="Arial"/>
          <w:color w:val="333333"/>
          <w:sz w:val="24"/>
          <w:szCs w:val="24"/>
          <w:lang w:val="en" w:eastAsia="en-NZ"/>
        </w:rPr>
        <w:t>D</w:t>
      </w:r>
      <w:r w:rsidRPr="00577723">
        <w:rPr>
          <w:rFonts w:ascii="Arial" w:eastAsia="Times New Roman" w:hAnsi="Arial" w:cs="Arial"/>
          <w:color w:val="333333"/>
          <w:sz w:val="24"/>
          <w:szCs w:val="24"/>
          <w:lang w:val="en" w:eastAsia="en-NZ"/>
        </w:rPr>
        <w:t>epartments</w:t>
      </w:r>
    </w:p>
    <w:p w14:paraId="10244837" w14:textId="77777777" w:rsidR="00807B40" w:rsidRPr="00807B40" w:rsidRDefault="00577723" w:rsidP="00A3296A">
      <w:pPr>
        <w:pStyle w:val="ListParagraph"/>
        <w:numPr>
          <w:ilvl w:val="0"/>
          <w:numId w:val="22"/>
        </w:numPr>
        <w:shd w:val="clear" w:color="auto" w:fill="FFFFFF"/>
        <w:spacing w:before="120" w:after="0" w:line="240" w:lineRule="auto"/>
        <w:ind w:left="1928" w:hanging="794"/>
        <w:rPr>
          <w:rFonts w:ascii="gotham_book" w:eastAsia="Times New Roman" w:hAnsi="gotham_book" w:cs="Helvetica"/>
          <w:color w:val="333333"/>
          <w:sz w:val="24"/>
          <w:szCs w:val="24"/>
          <w:lang w:val="en" w:eastAsia="en-NZ"/>
        </w:rPr>
      </w:pPr>
      <w:r>
        <w:rPr>
          <w:rFonts w:ascii="Arial" w:eastAsia="Times New Roman" w:hAnsi="Arial" w:cs="Arial"/>
          <w:color w:val="333333"/>
          <w:sz w:val="24"/>
          <w:szCs w:val="24"/>
          <w:lang w:val="en" w:eastAsia="en-NZ"/>
        </w:rPr>
        <w:t>plac</w:t>
      </w:r>
      <w:r w:rsidR="00FD6258" w:rsidRPr="00577723">
        <w:rPr>
          <w:rFonts w:ascii="Arial" w:eastAsia="Times New Roman" w:hAnsi="Arial" w:cs="Arial"/>
          <w:color w:val="333333"/>
          <w:sz w:val="24"/>
          <w:szCs w:val="24"/>
          <w:lang w:val="en" w:eastAsia="en-NZ"/>
        </w:rPr>
        <w:t>e</w:t>
      </w:r>
      <w:r>
        <w:rPr>
          <w:rFonts w:ascii="Arial" w:eastAsia="Times New Roman" w:hAnsi="Arial" w:cs="Arial"/>
          <w:color w:val="333333"/>
          <w:sz w:val="24"/>
          <w:szCs w:val="24"/>
          <w:lang w:val="en" w:eastAsia="en-NZ"/>
        </w:rPr>
        <w:t xml:space="preserve"> obligations on th</w:t>
      </w:r>
      <w:r w:rsidR="00FD6258" w:rsidRPr="00577723">
        <w:rPr>
          <w:rFonts w:ascii="Arial" w:eastAsia="Times New Roman" w:hAnsi="Arial" w:cs="Arial"/>
          <w:color w:val="333333"/>
          <w:sz w:val="24"/>
          <w:szCs w:val="24"/>
          <w:lang w:val="en" w:eastAsia="en-NZ"/>
        </w:rPr>
        <w:t xml:space="preserve">e importance of </w:t>
      </w:r>
      <w:r w:rsidR="001D15F0" w:rsidRPr="00577723">
        <w:rPr>
          <w:rFonts w:ascii="Arial" w:eastAsia="Times New Roman" w:hAnsi="Arial" w:cs="Arial"/>
          <w:color w:val="333333"/>
          <w:sz w:val="24"/>
          <w:szCs w:val="24"/>
          <w:lang w:val="en" w:eastAsia="en-NZ"/>
        </w:rPr>
        <w:t xml:space="preserve">Departments assisting claimants through the litigation process as much as possible </w:t>
      </w:r>
      <w:r w:rsidR="00807B40">
        <w:rPr>
          <w:rFonts w:ascii="Arial" w:eastAsia="Times New Roman" w:hAnsi="Arial" w:cs="Arial"/>
          <w:color w:val="333333"/>
          <w:sz w:val="24"/>
          <w:szCs w:val="24"/>
          <w:lang w:val="en" w:eastAsia="en-NZ"/>
        </w:rPr>
        <w:t>to minimise the risk of re-traumatising survivors</w:t>
      </w:r>
    </w:p>
    <w:p w14:paraId="13B60906" w14:textId="1189B236" w:rsidR="00FD6258" w:rsidRPr="00577723" w:rsidRDefault="00807B40" w:rsidP="00A3296A">
      <w:pPr>
        <w:pStyle w:val="ListParagraph"/>
        <w:numPr>
          <w:ilvl w:val="0"/>
          <w:numId w:val="22"/>
        </w:numPr>
        <w:shd w:val="clear" w:color="auto" w:fill="FFFFFF"/>
        <w:spacing w:before="120" w:after="0" w:line="240" w:lineRule="auto"/>
        <w:ind w:left="1928" w:hanging="794"/>
        <w:rPr>
          <w:rFonts w:ascii="gotham_book" w:eastAsia="Times New Roman" w:hAnsi="gotham_book" w:cs="Helvetica"/>
          <w:color w:val="333333"/>
          <w:sz w:val="24"/>
          <w:szCs w:val="24"/>
          <w:lang w:val="en" w:eastAsia="en-NZ"/>
        </w:rPr>
      </w:pPr>
      <w:r>
        <w:rPr>
          <w:rFonts w:ascii="Arial" w:eastAsia="Times New Roman" w:hAnsi="Arial" w:cs="Arial"/>
          <w:color w:val="333333"/>
          <w:sz w:val="24"/>
          <w:szCs w:val="24"/>
          <w:lang w:val="en" w:eastAsia="en-NZ"/>
        </w:rPr>
        <w:t>confirm the responsibility of</w:t>
      </w:r>
      <w:r w:rsidR="001D15F0" w:rsidRPr="00577723">
        <w:rPr>
          <w:rFonts w:ascii="Arial" w:eastAsia="Times New Roman" w:hAnsi="Arial" w:cs="Arial"/>
          <w:color w:val="333333"/>
          <w:sz w:val="24"/>
          <w:szCs w:val="24"/>
          <w:lang w:val="en" w:eastAsia="en-NZ"/>
        </w:rPr>
        <w:t xml:space="preserve"> the agencies </w:t>
      </w:r>
      <w:r>
        <w:rPr>
          <w:rFonts w:ascii="Arial" w:eastAsia="Times New Roman" w:hAnsi="Arial" w:cs="Arial"/>
          <w:color w:val="333333"/>
          <w:sz w:val="24"/>
          <w:szCs w:val="24"/>
          <w:lang w:val="en" w:eastAsia="en-NZ"/>
        </w:rPr>
        <w:t>to</w:t>
      </w:r>
      <w:r w:rsidR="001D15F0" w:rsidRPr="00577723">
        <w:rPr>
          <w:rFonts w:ascii="Arial" w:eastAsia="Times New Roman" w:hAnsi="Arial" w:cs="Arial"/>
          <w:color w:val="333333"/>
          <w:sz w:val="24"/>
          <w:szCs w:val="24"/>
          <w:lang w:val="en" w:eastAsia="en-NZ"/>
        </w:rPr>
        <w:t xml:space="preserve"> protect the State’s interest in defending claims that are without</w:t>
      </w:r>
      <w:r w:rsidR="00FD6258" w:rsidRPr="00577723">
        <w:rPr>
          <w:rFonts w:ascii="Arial" w:eastAsia="Times New Roman" w:hAnsi="Arial" w:cs="Arial"/>
          <w:color w:val="333333"/>
          <w:sz w:val="24"/>
          <w:szCs w:val="24"/>
          <w:lang w:val="en" w:eastAsia="en-NZ"/>
        </w:rPr>
        <w:t xml:space="preserve"> </w:t>
      </w:r>
      <w:r w:rsidR="001D15F0" w:rsidRPr="00577723">
        <w:rPr>
          <w:rFonts w:ascii="Arial" w:eastAsia="Times New Roman" w:hAnsi="Arial" w:cs="Arial"/>
          <w:color w:val="333333"/>
          <w:sz w:val="24"/>
          <w:szCs w:val="24"/>
          <w:lang w:val="en" w:eastAsia="en-NZ"/>
        </w:rPr>
        <w:t xml:space="preserve">merit. </w:t>
      </w:r>
    </w:p>
    <w:p w14:paraId="59596852" w14:textId="205BCC79" w:rsidR="00015D79" w:rsidRDefault="00807B40" w:rsidP="00A3296A">
      <w:pPr>
        <w:numPr>
          <w:ilvl w:val="0"/>
          <w:numId w:val="28"/>
        </w:numPr>
        <w:shd w:val="clear" w:color="auto" w:fill="FFFFFF"/>
        <w:spacing w:before="120" w:after="0" w:line="240" w:lineRule="auto"/>
        <w:ind w:left="1134" w:hanging="567"/>
        <w:rPr>
          <w:rFonts w:ascii="Arial" w:eastAsia="Times New Roman" w:hAnsi="Arial" w:cs="Arial"/>
          <w:color w:val="333333"/>
          <w:sz w:val="24"/>
          <w:szCs w:val="24"/>
          <w:lang w:val="en" w:eastAsia="en-NZ"/>
        </w:rPr>
      </w:pPr>
      <w:r w:rsidRPr="00A709A6">
        <w:rPr>
          <w:rFonts w:ascii="Arial" w:eastAsia="Times New Roman" w:hAnsi="Arial" w:cs="Arial"/>
          <w:color w:val="333333"/>
          <w:sz w:val="24"/>
          <w:szCs w:val="24"/>
          <w:lang w:val="en" w:eastAsia="en-NZ"/>
        </w:rPr>
        <w:t>The Government</w:t>
      </w:r>
      <w:r w:rsidR="00015D79" w:rsidRPr="00A709A6">
        <w:rPr>
          <w:rFonts w:ascii="Arial" w:eastAsia="Times New Roman" w:hAnsi="Arial" w:cs="Arial"/>
          <w:color w:val="333333"/>
          <w:sz w:val="24"/>
          <w:szCs w:val="24"/>
          <w:lang w:val="en" w:eastAsia="en-NZ"/>
        </w:rPr>
        <w:t>s</w:t>
      </w:r>
      <w:r w:rsidRPr="00A709A6">
        <w:rPr>
          <w:rFonts w:ascii="Arial" w:eastAsia="Times New Roman" w:hAnsi="Arial" w:cs="Arial"/>
          <w:color w:val="333333"/>
          <w:sz w:val="24"/>
          <w:szCs w:val="24"/>
          <w:lang w:val="en" w:eastAsia="en-NZ"/>
        </w:rPr>
        <w:t xml:space="preserve"> of Western Australia</w:t>
      </w:r>
      <w:r w:rsidR="000265BE">
        <w:rPr>
          <w:rFonts w:ascii="Arial" w:eastAsia="Times New Roman" w:hAnsi="Arial" w:cs="Arial"/>
          <w:color w:val="333333"/>
          <w:sz w:val="24"/>
          <w:szCs w:val="24"/>
          <w:lang w:val="en" w:eastAsia="en-NZ"/>
        </w:rPr>
        <w:t>,</w:t>
      </w:r>
      <w:r w:rsidR="00015D79" w:rsidRPr="00A709A6">
        <w:rPr>
          <w:rFonts w:ascii="Arial" w:eastAsia="Times New Roman" w:hAnsi="Arial" w:cs="Arial"/>
          <w:color w:val="333333"/>
          <w:sz w:val="24"/>
          <w:szCs w:val="24"/>
          <w:lang w:val="en" w:eastAsia="en-NZ"/>
        </w:rPr>
        <w:t xml:space="preserve"> Queensland</w:t>
      </w:r>
      <w:r w:rsidR="000265BE">
        <w:rPr>
          <w:rFonts w:ascii="Arial" w:eastAsia="Times New Roman" w:hAnsi="Arial" w:cs="Arial"/>
          <w:color w:val="333333"/>
          <w:sz w:val="24"/>
          <w:szCs w:val="24"/>
          <w:lang w:val="en" w:eastAsia="en-NZ"/>
        </w:rPr>
        <w:t xml:space="preserve"> and Northern Territory</w:t>
      </w:r>
      <w:r w:rsidR="00015D79" w:rsidRPr="00A709A6">
        <w:rPr>
          <w:rFonts w:ascii="Arial" w:eastAsia="Times New Roman" w:hAnsi="Arial" w:cs="Arial"/>
          <w:color w:val="333333"/>
          <w:sz w:val="24"/>
          <w:szCs w:val="24"/>
          <w:lang w:val="en" w:eastAsia="en-NZ"/>
        </w:rPr>
        <w:t xml:space="preserve"> have</w:t>
      </w:r>
      <w:r w:rsidRPr="00A709A6">
        <w:rPr>
          <w:rFonts w:ascii="Arial" w:eastAsia="Times New Roman" w:hAnsi="Arial" w:cs="Arial"/>
          <w:color w:val="333333"/>
          <w:sz w:val="24"/>
          <w:szCs w:val="24"/>
          <w:lang w:val="en" w:eastAsia="en-NZ"/>
        </w:rPr>
        <w:t xml:space="preserve"> developed principles similar in </w:t>
      </w:r>
      <w:r w:rsidR="00015D79" w:rsidRPr="00A709A6">
        <w:rPr>
          <w:rFonts w:ascii="Arial" w:eastAsia="Times New Roman" w:hAnsi="Arial" w:cs="Arial"/>
          <w:color w:val="333333"/>
          <w:sz w:val="24"/>
          <w:szCs w:val="24"/>
          <w:lang w:val="en" w:eastAsia="en-NZ"/>
        </w:rPr>
        <w:t xml:space="preserve">nature and </w:t>
      </w:r>
      <w:r w:rsidRPr="00A709A6">
        <w:rPr>
          <w:rFonts w:ascii="Arial" w:eastAsia="Times New Roman" w:hAnsi="Arial" w:cs="Arial"/>
          <w:color w:val="333333"/>
          <w:sz w:val="24"/>
          <w:szCs w:val="24"/>
          <w:lang w:val="en" w:eastAsia="en-NZ"/>
        </w:rPr>
        <w:t>scope to those of NSW</w:t>
      </w:r>
      <w:r w:rsidR="00015D79" w:rsidRPr="00A709A6">
        <w:rPr>
          <w:rFonts w:ascii="Arial" w:eastAsia="Times New Roman" w:hAnsi="Arial" w:cs="Arial"/>
          <w:color w:val="333333"/>
          <w:sz w:val="24"/>
          <w:szCs w:val="24"/>
          <w:lang w:val="en" w:eastAsia="en-NZ"/>
        </w:rPr>
        <w:t>. However, these principles are non-binding</w:t>
      </w:r>
      <w:r w:rsidR="00A709A6" w:rsidRPr="00A709A6">
        <w:rPr>
          <w:rFonts w:ascii="Arial" w:eastAsia="Times New Roman" w:hAnsi="Arial" w:cs="Arial"/>
          <w:color w:val="333333"/>
          <w:sz w:val="24"/>
          <w:szCs w:val="24"/>
          <w:lang w:val="en" w:eastAsia="en-NZ"/>
        </w:rPr>
        <w:t xml:space="preserve">. The Western Australian Government has included the principle </w:t>
      </w:r>
      <w:r w:rsidR="00015D79" w:rsidRPr="00A709A6">
        <w:rPr>
          <w:rFonts w:ascii="Arial" w:eastAsia="Times New Roman" w:hAnsi="Arial" w:cs="Arial"/>
          <w:color w:val="333333"/>
          <w:sz w:val="24"/>
          <w:szCs w:val="24"/>
          <w:lang w:val="en" w:eastAsia="en-NZ"/>
        </w:rPr>
        <w:t xml:space="preserve">that other parties are </w:t>
      </w:r>
      <w:r w:rsidR="001C6426">
        <w:rPr>
          <w:rFonts w:ascii="Arial" w:eastAsia="Times New Roman" w:hAnsi="Arial" w:cs="Arial"/>
          <w:color w:val="333333"/>
          <w:sz w:val="24"/>
          <w:szCs w:val="24"/>
          <w:lang w:val="en" w:eastAsia="en-NZ"/>
        </w:rPr>
        <w:t xml:space="preserve">to be </w:t>
      </w:r>
      <w:r w:rsidR="00015D79" w:rsidRPr="00A709A6">
        <w:rPr>
          <w:rFonts w:ascii="Arial" w:eastAsia="Times New Roman" w:hAnsi="Arial" w:cs="Arial"/>
          <w:color w:val="333333"/>
          <w:sz w:val="24"/>
          <w:szCs w:val="24"/>
          <w:lang w:val="en" w:eastAsia="en-NZ"/>
        </w:rPr>
        <w:t>held to account for child sexual abuse, either in the criminal or civil courts.</w:t>
      </w:r>
    </w:p>
    <w:p w14:paraId="348C0196" w14:textId="77777777" w:rsidR="001C6426" w:rsidRDefault="001C6426" w:rsidP="00A3296A">
      <w:pPr>
        <w:numPr>
          <w:ilvl w:val="0"/>
          <w:numId w:val="28"/>
        </w:numPr>
        <w:shd w:val="clear" w:color="auto" w:fill="FFFFFF"/>
        <w:spacing w:before="120" w:after="0" w:line="240" w:lineRule="auto"/>
        <w:ind w:left="1134" w:hanging="567"/>
        <w:rPr>
          <w:rFonts w:ascii="Arial" w:eastAsia="Times New Roman" w:hAnsi="Arial" w:cs="Arial"/>
          <w:color w:val="333333"/>
          <w:sz w:val="24"/>
          <w:szCs w:val="24"/>
          <w:lang w:val="en" w:eastAsia="en-NZ"/>
        </w:rPr>
      </w:pPr>
      <w:r w:rsidRPr="007242E0">
        <w:rPr>
          <w:rFonts w:ascii="Arial" w:eastAsia="Times New Roman" w:hAnsi="Arial" w:cs="Arial"/>
          <w:color w:val="333333"/>
          <w:sz w:val="24"/>
          <w:szCs w:val="24"/>
          <w:lang w:val="en" w:eastAsia="en-NZ"/>
        </w:rPr>
        <w:t>The Department of Health and Human Services</w:t>
      </w:r>
      <w:r>
        <w:rPr>
          <w:rFonts w:ascii="Arial" w:eastAsia="Times New Roman" w:hAnsi="Arial" w:cs="Arial"/>
          <w:color w:val="333333"/>
          <w:sz w:val="24"/>
          <w:szCs w:val="24"/>
          <w:lang w:val="en" w:eastAsia="en-NZ"/>
        </w:rPr>
        <w:t xml:space="preserve"> and the Department of Education and Training in Victoria have developed non-binding guidelines to inform their responses to civil claims involving allegations of child sexual abuse in connection with State institutions. These guidelines are permissive in nature.</w:t>
      </w:r>
    </w:p>
    <w:p w14:paraId="04D72165" w14:textId="77777777" w:rsidR="004915D7" w:rsidRPr="004915D7" w:rsidRDefault="004915D7" w:rsidP="004915D7">
      <w:pPr>
        <w:pStyle w:val="Heading3"/>
        <w:rPr>
          <w:rFonts w:ascii="Arial" w:hAnsi="Arial" w:cs="Arial"/>
          <w:b/>
          <w:color w:val="000000" w:themeColor="text1"/>
          <w:lang w:val="en-NZ"/>
        </w:rPr>
      </w:pPr>
    </w:p>
    <w:p w14:paraId="54A288F6" w14:textId="2D85E60C" w:rsidR="00DD327E" w:rsidRPr="009E21DE" w:rsidRDefault="005C409F" w:rsidP="00DE3B17">
      <w:pPr>
        <w:pStyle w:val="Heading3"/>
        <w:numPr>
          <w:ilvl w:val="0"/>
          <w:numId w:val="5"/>
        </w:numPr>
        <w:ind w:left="1134" w:hanging="567"/>
        <w:rPr>
          <w:rFonts w:ascii="Arial" w:hAnsi="Arial" w:cs="Arial"/>
          <w:b/>
          <w:color w:val="000000" w:themeColor="text1"/>
          <w:lang w:val="en-NZ"/>
        </w:rPr>
      </w:pPr>
      <w:r w:rsidRPr="0097160E">
        <w:rPr>
          <w:rFonts w:ascii="Arial" w:hAnsi="Arial" w:cs="Arial"/>
          <w:b/>
          <w:color w:val="000000" w:themeColor="text1"/>
        </w:rPr>
        <w:br w:type="page"/>
      </w:r>
      <w:r w:rsidR="00DD327E">
        <w:rPr>
          <w:rFonts w:ascii="Arial" w:hAnsi="Arial" w:cs="Arial"/>
          <w:b/>
          <w:color w:val="000000" w:themeColor="text1"/>
        </w:rPr>
        <w:lastRenderedPageBreak/>
        <w:t>C</w:t>
      </w:r>
      <w:r w:rsidR="0087415F">
        <w:rPr>
          <w:rFonts w:ascii="Arial" w:hAnsi="Arial" w:cs="Arial"/>
          <w:b/>
          <w:color w:val="000000" w:themeColor="text1"/>
        </w:rPr>
        <w:t>ANADA</w:t>
      </w:r>
    </w:p>
    <w:p w14:paraId="15B3CB2B" w14:textId="77777777" w:rsidR="004915D7" w:rsidRDefault="004915D7" w:rsidP="009E21DE">
      <w:pPr>
        <w:ind w:left="567"/>
        <w:rPr>
          <w:rFonts w:ascii="Arial" w:hAnsi="Arial" w:cs="Arial"/>
          <w:b/>
          <w:i/>
          <w:sz w:val="24"/>
          <w:szCs w:val="24"/>
        </w:rPr>
      </w:pPr>
    </w:p>
    <w:p w14:paraId="68143F5A" w14:textId="0E2AA976" w:rsidR="005C409F" w:rsidRPr="009E21DE" w:rsidRDefault="005C409F" w:rsidP="00DE3B17">
      <w:pPr>
        <w:ind w:left="567"/>
        <w:rPr>
          <w:rFonts w:ascii="Arial" w:hAnsi="Arial" w:cs="Arial"/>
          <w:b/>
          <w:i/>
          <w:sz w:val="24"/>
          <w:szCs w:val="24"/>
        </w:rPr>
      </w:pPr>
      <w:r w:rsidRPr="009E21DE">
        <w:rPr>
          <w:rFonts w:ascii="Arial" w:hAnsi="Arial" w:cs="Arial"/>
          <w:b/>
          <w:i/>
          <w:sz w:val="24"/>
          <w:szCs w:val="24"/>
        </w:rPr>
        <w:t>The Independent Assessment Process – Indian Residential Schools Settlement Agreement</w:t>
      </w:r>
    </w:p>
    <w:p w14:paraId="6BCF5974" w14:textId="5EDCD6B3" w:rsidR="005C409F" w:rsidRPr="000A54F1" w:rsidRDefault="005C409F" w:rsidP="00C13A88">
      <w:pPr>
        <w:pStyle w:val="ListParagraph"/>
        <w:numPr>
          <w:ilvl w:val="0"/>
          <w:numId w:val="47"/>
        </w:numPr>
        <w:spacing w:after="120"/>
        <w:ind w:left="1134" w:hanging="567"/>
        <w:contextualSpacing w:val="0"/>
        <w:rPr>
          <w:rFonts w:ascii="Arial" w:hAnsi="Arial" w:cs="Arial"/>
          <w:sz w:val="24"/>
          <w:szCs w:val="24"/>
        </w:rPr>
      </w:pPr>
      <w:r w:rsidRPr="000A54F1">
        <w:rPr>
          <w:rFonts w:ascii="Arial" w:hAnsi="Arial" w:cs="Arial"/>
          <w:sz w:val="24"/>
          <w:szCs w:val="24"/>
        </w:rPr>
        <w:t xml:space="preserve">The </w:t>
      </w:r>
      <w:r w:rsidR="00E22426" w:rsidRPr="000A54F1">
        <w:rPr>
          <w:rFonts w:ascii="Arial" w:hAnsi="Arial" w:cs="Arial"/>
          <w:sz w:val="24"/>
          <w:szCs w:val="24"/>
        </w:rPr>
        <w:t>Independent Assessment Process (</w:t>
      </w:r>
      <w:r w:rsidRPr="000A54F1">
        <w:rPr>
          <w:rFonts w:ascii="Arial" w:hAnsi="Arial" w:cs="Arial"/>
          <w:sz w:val="24"/>
          <w:szCs w:val="24"/>
        </w:rPr>
        <w:t>IAP</w:t>
      </w:r>
      <w:r w:rsidR="00E22426" w:rsidRPr="000A54F1">
        <w:rPr>
          <w:rFonts w:ascii="Arial" w:hAnsi="Arial" w:cs="Arial"/>
          <w:sz w:val="24"/>
          <w:szCs w:val="24"/>
        </w:rPr>
        <w:t>)</w:t>
      </w:r>
      <w:r w:rsidRPr="000A54F1">
        <w:rPr>
          <w:rFonts w:ascii="Arial" w:hAnsi="Arial" w:cs="Arial"/>
          <w:sz w:val="24"/>
          <w:szCs w:val="24"/>
        </w:rPr>
        <w:t xml:space="preserve"> </w:t>
      </w:r>
      <w:r w:rsidR="001D7545">
        <w:rPr>
          <w:rFonts w:ascii="Arial" w:hAnsi="Arial" w:cs="Arial"/>
          <w:sz w:val="24"/>
          <w:szCs w:val="24"/>
        </w:rPr>
        <w:t xml:space="preserve">is </w:t>
      </w:r>
      <w:r w:rsidRPr="000A54F1">
        <w:rPr>
          <w:rFonts w:ascii="Arial" w:hAnsi="Arial" w:cs="Arial"/>
          <w:sz w:val="24"/>
          <w:szCs w:val="24"/>
        </w:rPr>
        <w:t xml:space="preserve">part of a wider settlement agreement </w:t>
      </w:r>
      <w:r w:rsidR="001D7545">
        <w:rPr>
          <w:rFonts w:ascii="Arial" w:hAnsi="Arial" w:cs="Arial"/>
          <w:sz w:val="24"/>
          <w:szCs w:val="24"/>
        </w:rPr>
        <w:t xml:space="preserve">that arose in </w:t>
      </w:r>
      <w:r w:rsidRPr="000A54F1">
        <w:rPr>
          <w:rFonts w:ascii="Arial" w:hAnsi="Arial" w:cs="Arial"/>
          <w:sz w:val="24"/>
          <w:szCs w:val="24"/>
        </w:rPr>
        <w:t xml:space="preserve">respect of a class action taken against the Canadian Government and faith-based entities by First Nations peoples and Inuit representatives. The class action was taken in response to specific findings </w:t>
      </w:r>
      <w:r w:rsidR="00F75D12">
        <w:rPr>
          <w:rFonts w:ascii="Arial" w:hAnsi="Arial" w:cs="Arial"/>
          <w:sz w:val="24"/>
          <w:szCs w:val="24"/>
        </w:rPr>
        <w:t xml:space="preserve">in the 1996 report </w:t>
      </w:r>
      <w:r w:rsidRPr="000A54F1">
        <w:rPr>
          <w:rFonts w:ascii="Arial" w:hAnsi="Arial" w:cs="Arial"/>
          <w:sz w:val="24"/>
          <w:szCs w:val="24"/>
        </w:rPr>
        <w:t>of the Royal Commission on Aboriginal Peoples</w:t>
      </w:r>
      <w:r w:rsidR="00F75D12">
        <w:rPr>
          <w:rStyle w:val="FootnoteReference"/>
          <w:rFonts w:ascii="Arial" w:hAnsi="Arial" w:cs="Arial"/>
          <w:sz w:val="24"/>
          <w:szCs w:val="24"/>
        </w:rPr>
        <w:footnoteReference w:id="15"/>
      </w:r>
      <w:r w:rsidRPr="000A54F1">
        <w:rPr>
          <w:rFonts w:ascii="Arial" w:hAnsi="Arial" w:cs="Arial"/>
          <w:sz w:val="24"/>
          <w:szCs w:val="24"/>
        </w:rPr>
        <w:t xml:space="preserve"> relating to the abuse of Aboriginal children and young people in Indian Residential Schools.  </w:t>
      </w:r>
    </w:p>
    <w:p w14:paraId="0CA7975A" w14:textId="7F9217B8" w:rsidR="005C409F" w:rsidRPr="000A54F1" w:rsidRDefault="005C409F" w:rsidP="00132136">
      <w:pPr>
        <w:pStyle w:val="ListParagraph"/>
        <w:numPr>
          <w:ilvl w:val="0"/>
          <w:numId w:val="47"/>
        </w:numPr>
        <w:spacing w:after="0" w:line="240" w:lineRule="auto"/>
        <w:ind w:left="1134" w:hanging="567"/>
        <w:rPr>
          <w:rFonts w:ascii="Arial" w:eastAsia="Times New Roman" w:hAnsi="Arial" w:cs="Arial"/>
          <w:color w:val="000000"/>
          <w:sz w:val="24"/>
          <w:szCs w:val="24"/>
          <w:lang w:eastAsia="en-NZ"/>
        </w:rPr>
      </w:pPr>
      <w:r w:rsidRPr="000A54F1">
        <w:rPr>
          <w:rFonts w:ascii="Arial" w:eastAsia="Times New Roman" w:hAnsi="Arial" w:cs="Arial"/>
          <w:color w:val="000000"/>
          <w:sz w:val="24"/>
          <w:szCs w:val="24"/>
          <w:lang w:eastAsia="en-NZ"/>
        </w:rPr>
        <w:t>The terms of the Settlement Agreement reached between the Crown, faith-based institutions and Aboriginal people sets out the basis for compensation</w:t>
      </w:r>
      <w:r w:rsidR="000106DE" w:rsidRPr="000A54F1">
        <w:rPr>
          <w:rFonts w:ascii="Arial" w:eastAsia="Times New Roman" w:hAnsi="Arial" w:cs="Arial"/>
          <w:color w:val="000000"/>
          <w:sz w:val="24"/>
          <w:szCs w:val="24"/>
          <w:lang w:eastAsia="en-NZ"/>
        </w:rPr>
        <w:t>.</w:t>
      </w:r>
      <w:r w:rsidR="0031101C">
        <w:rPr>
          <w:rStyle w:val="FootnoteReference"/>
          <w:rFonts w:ascii="Arial" w:eastAsia="Times New Roman" w:hAnsi="Arial" w:cs="Arial"/>
          <w:color w:val="000000"/>
          <w:sz w:val="24"/>
          <w:szCs w:val="24"/>
          <w:lang w:eastAsia="en-NZ"/>
        </w:rPr>
        <w:footnoteReference w:id="16"/>
      </w:r>
      <w:r w:rsidRPr="000A54F1">
        <w:rPr>
          <w:rFonts w:ascii="Arial" w:eastAsia="Times New Roman" w:hAnsi="Arial" w:cs="Arial"/>
          <w:color w:val="000000"/>
          <w:sz w:val="24"/>
          <w:szCs w:val="24"/>
          <w:lang w:eastAsia="en-NZ"/>
        </w:rPr>
        <w:t xml:space="preserve"> Included amongst that package of items</w:t>
      </w:r>
      <w:r w:rsidRPr="009E21DE">
        <w:rPr>
          <w:rStyle w:val="FootnoteReference"/>
          <w:rFonts w:ascii="Arial" w:eastAsia="Times New Roman" w:hAnsi="Arial" w:cs="Arial"/>
          <w:color w:val="000000"/>
          <w:sz w:val="24"/>
          <w:szCs w:val="24"/>
          <w:lang w:eastAsia="en-NZ"/>
        </w:rPr>
        <w:footnoteReference w:id="17"/>
      </w:r>
      <w:r w:rsidRPr="000A54F1">
        <w:rPr>
          <w:rFonts w:ascii="Arial" w:eastAsia="Times New Roman" w:hAnsi="Arial" w:cs="Arial"/>
          <w:color w:val="000000"/>
          <w:sz w:val="24"/>
          <w:szCs w:val="24"/>
          <w:lang w:eastAsia="en-NZ"/>
        </w:rPr>
        <w:t xml:space="preserve"> was monetary compensation for individuals </w:t>
      </w:r>
      <w:r w:rsidR="001D7545">
        <w:rPr>
          <w:rFonts w:ascii="Arial" w:eastAsia="Times New Roman" w:hAnsi="Arial" w:cs="Arial"/>
          <w:color w:val="000000"/>
          <w:sz w:val="24"/>
          <w:szCs w:val="24"/>
          <w:lang w:eastAsia="en-NZ"/>
        </w:rPr>
        <w:t xml:space="preserve">who </w:t>
      </w:r>
      <w:r w:rsidRPr="000A54F1">
        <w:rPr>
          <w:rFonts w:ascii="Arial" w:eastAsia="Times New Roman" w:hAnsi="Arial" w:cs="Arial"/>
          <w:color w:val="000000"/>
          <w:sz w:val="24"/>
          <w:szCs w:val="24"/>
          <w:lang w:eastAsia="en-NZ"/>
        </w:rPr>
        <w:t>had been abused. Individuals could seek redress in the form of financial compensation through the I</w:t>
      </w:r>
      <w:r w:rsidR="00E22426" w:rsidRPr="000A54F1">
        <w:rPr>
          <w:rFonts w:ascii="Arial" w:eastAsia="Times New Roman" w:hAnsi="Arial" w:cs="Arial"/>
          <w:color w:val="000000"/>
          <w:sz w:val="24"/>
          <w:szCs w:val="24"/>
          <w:lang w:eastAsia="en-NZ"/>
        </w:rPr>
        <w:t>AP</w:t>
      </w:r>
      <w:r w:rsidRPr="000A54F1">
        <w:rPr>
          <w:rFonts w:ascii="Arial" w:eastAsia="Times New Roman" w:hAnsi="Arial" w:cs="Arial"/>
          <w:color w:val="000000"/>
          <w:sz w:val="24"/>
          <w:szCs w:val="24"/>
          <w:lang w:eastAsia="en-NZ"/>
        </w:rPr>
        <w:t xml:space="preserve">. </w:t>
      </w:r>
    </w:p>
    <w:p w14:paraId="146613DE" w14:textId="77777777" w:rsidR="005C409F" w:rsidRPr="009E21DE" w:rsidRDefault="005C409F" w:rsidP="009E21DE">
      <w:pPr>
        <w:spacing w:after="0" w:line="240" w:lineRule="auto"/>
        <w:ind w:left="567"/>
        <w:rPr>
          <w:rFonts w:ascii="Arial" w:eastAsia="Times New Roman" w:hAnsi="Arial" w:cs="Arial"/>
          <w:color w:val="000000"/>
          <w:sz w:val="24"/>
          <w:szCs w:val="24"/>
          <w:lang w:eastAsia="en-NZ"/>
        </w:rPr>
      </w:pPr>
    </w:p>
    <w:p w14:paraId="2B14D9A8" w14:textId="734F1CD8" w:rsidR="005C409F" w:rsidRPr="000A54F1" w:rsidRDefault="005C409F" w:rsidP="00132136">
      <w:pPr>
        <w:pStyle w:val="ListParagraph"/>
        <w:numPr>
          <w:ilvl w:val="0"/>
          <w:numId w:val="47"/>
        </w:numPr>
        <w:spacing w:after="0" w:line="240" w:lineRule="auto"/>
        <w:ind w:left="1134" w:hanging="567"/>
        <w:contextualSpacing w:val="0"/>
        <w:rPr>
          <w:rFonts w:ascii="Arial" w:eastAsia="Times New Roman" w:hAnsi="Arial" w:cs="Arial"/>
          <w:color w:val="000000"/>
          <w:sz w:val="24"/>
          <w:szCs w:val="24"/>
          <w:lang w:eastAsia="en-NZ"/>
        </w:rPr>
      </w:pPr>
      <w:r w:rsidRPr="000A54F1">
        <w:rPr>
          <w:rFonts w:ascii="Arial" w:eastAsia="Times New Roman" w:hAnsi="Arial" w:cs="Arial"/>
          <w:color w:val="000000"/>
          <w:sz w:val="24"/>
          <w:szCs w:val="24"/>
          <w:lang w:eastAsia="en-NZ"/>
        </w:rPr>
        <w:t>The design of the IAP was completed as part of the settlement process and therefore had significant input from First Nations and Inuit representatives. The scheme has also been amended over time following representations from First Nations and Inuit representatives.</w:t>
      </w:r>
    </w:p>
    <w:p w14:paraId="3D1281C1" w14:textId="0A08A98D" w:rsidR="00E22426" w:rsidRDefault="00E22426" w:rsidP="009E21DE">
      <w:pPr>
        <w:spacing w:after="0" w:line="240" w:lineRule="auto"/>
        <w:ind w:left="567"/>
        <w:rPr>
          <w:rFonts w:ascii="Arial" w:eastAsia="Times New Roman" w:hAnsi="Arial" w:cs="Arial"/>
          <w:color w:val="000000"/>
          <w:sz w:val="24"/>
          <w:szCs w:val="24"/>
          <w:lang w:eastAsia="en-NZ"/>
        </w:rPr>
      </w:pPr>
    </w:p>
    <w:p w14:paraId="309B5D1B" w14:textId="40243B75" w:rsidR="00182F72" w:rsidRPr="00182F72" w:rsidRDefault="00E22426" w:rsidP="00132136">
      <w:pPr>
        <w:pStyle w:val="ListParagraph"/>
        <w:numPr>
          <w:ilvl w:val="0"/>
          <w:numId w:val="47"/>
        </w:numPr>
        <w:spacing w:after="120" w:line="240" w:lineRule="auto"/>
        <w:ind w:left="1134" w:hanging="567"/>
        <w:contextualSpacing w:val="0"/>
        <w:rPr>
          <w:rFonts w:ascii="Arial" w:eastAsia="Times New Roman" w:hAnsi="Arial" w:cs="Arial"/>
          <w:color w:val="000000"/>
          <w:sz w:val="24"/>
          <w:szCs w:val="24"/>
          <w:lang w:eastAsia="en-NZ"/>
        </w:rPr>
      </w:pPr>
      <w:r w:rsidRPr="00182F72">
        <w:rPr>
          <w:rFonts w:ascii="Arial" w:eastAsia="Times New Roman" w:hAnsi="Arial" w:cs="Arial"/>
          <w:color w:val="000000"/>
          <w:sz w:val="24"/>
          <w:szCs w:val="24"/>
          <w:lang w:eastAsia="en-NZ"/>
        </w:rPr>
        <w:t xml:space="preserve">The IAP is administered by an independent body set up for this purpose – the Indian Residential Schools Adjudication Secretariat (IRSAS). Applications for compensation opened in 2006 and had to be filed by September 2012. </w:t>
      </w:r>
      <w:r w:rsidR="00182F72" w:rsidRPr="00182F72">
        <w:rPr>
          <w:rFonts w:ascii="Arial" w:eastAsia="Times New Roman" w:hAnsi="Arial" w:cs="Arial"/>
          <w:color w:val="000000"/>
          <w:sz w:val="24"/>
          <w:szCs w:val="24"/>
          <w:lang w:eastAsia="en-NZ"/>
        </w:rPr>
        <w:t>IRSAS has produced guidelines to support applicants through the process.</w:t>
      </w:r>
    </w:p>
    <w:p w14:paraId="4ABB8C5F" w14:textId="0689E6AA" w:rsidR="00E22426" w:rsidRPr="000A54F1" w:rsidRDefault="00E22426" w:rsidP="00132136">
      <w:pPr>
        <w:pStyle w:val="ListParagraph"/>
        <w:numPr>
          <w:ilvl w:val="0"/>
          <w:numId w:val="47"/>
        </w:numPr>
        <w:spacing w:after="0" w:line="240" w:lineRule="auto"/>
        <w:ind w:left="1134" w:hanging="567"/>
        <w:contextualSpacing w:val="0"/>
        <w:rPr>
          <w:rFonts w:ascii="Arial" w:eastAsia="Times New Roman" w:hAnsi="Arial" w:cs="Arial"/>
          <w:color w:val="000000"/>
          <w:sz w:val="24"/>
          <w:szCs w:val="24"/>
          <w:lang w:eastAsia="en-NZ"/>
        </w:rPr>
      </w:pPr>
      <w:r w:rsidRPr="000A54F1">
        <w:rPr>
          <w:rFonts w:ascii="Arial" w:eastAsia="Times New Roman" w:hAnsi="Arial" w:cs="Arial"/>
          <w:color w:val="000000"/>
          <w:sz w:val="24"/>
          <w:szCs w:val="24"/>
          <w:lang w:eastAsia="en-NZ"/>
        </w:rPr>
        <w:t>One hundred and forty schools and institutions have been determined to be within scope.</w:t>
      </w:r>
    </w:p>
    <w:p w14:paraId="095D30EF" w14:textId="28FE9C36" w:rsidR="00E22426" w:rsidRPr="009E21DE" w:rsidRDefault="00E22426" w:rsidP="009E21DE">
      <w:pPr>
        <w:spacing w:after="0" w:line="240" w:lineRule="auto"/>
        <w:ind w:left="567"/>
        <w:rPr>
          <w:rFonts w:ascii="Arial" w:eastAsia="Times New Roman" w:hAnsi="Arial" w:cs="Arial"/>
          <w:color w:val="000000"/>
          <w:sz w:val="24"/>
          <w:szCs w:val="24"/>
          <w:lang w:eastAsia="en-NZ"/>
        </w:rPr>
      </w:pPr>
    </w:p>
    <w:p w14:paraId="59EEC9BD" w14:textId="30C1582B" w:rsidR="005C409F" w:rsidRPr="000A54F1" w:rsidRDefault="003A4AEF" w:rsidP="00132136">
      <w:pPr>
        <w:pStyle w:val="ListParagraph"/>
        <w:numPr>
          <w:ilvl w:val="0"/>
          <w:numId w:val="47"/>
        </w:numPr>
        <w:spacing w:after="0" w:line="240" w:lineRule="auto"/>
        <w:ind w:left="1134" w:hanging="567"/>
        <w:contextualSpacing w:val="0"/>
        <w:rPr>
          <w:rFonts w:ascii="Arial" w:eastAsia="Times New Roman" w:hAnsi="Arial" w:cs="Arial"/>
          <w:color w:val="000000"/>
          <w:sz w:val="24"/>
          <w:szCs w:val="24"/>
          <w:lang w:eastAsia="en-NZ"/>
        </w:rPr>
      </w:pPr>
      <w:r w:rsidRPr="000A54F1">
        <w:rPr>
          <w:rFonts w:ascii="Arial" w:eastAsia="Times New Roman" w:hAnsi="Arial" w:cs="Arial"/>
          <w:color w:val="000000"/>
          <w:sz w:val="24"/>
          <w:szCs w:val="24"/>
          <w:lang w:eastAsia="en-NZ"/>
        </w:rPr>
        <w:t>T</w:t>
      </w:r>
      <w:r w:rsidR="009E22D4" w:rsidRPr="000A54F1">
        <w:rPr>
          <w:rFonts w:ascii="Arial" w:eastAsia="Times New Roman" w:hAnsi="Arial" w:cs="Arial"/>
          <w:color w:val="000000"/>
          <w:sz w:val="24"/>
          <w:szCs w:val="24"/>
          <w:lang w:eastAsia="en-NZ"/>
        </w:rPr>
        <w:t>he Settlement</w:t>
      </w:r>
      <w:r w:rsidR="00E22426" w:rsidRPr="000A54F1">
        <w:rPr>
          <w:rFonts w:ascii="Arial" w:eastAsia="Times New Roman" w:hAnsi="Arial" w:cs="Arial"/>
          <w:color w:val="000000"/>
          <w:sz w:val="24"/>
          <w:szCs w:val="24"/>
          <w:lang w:eastAsia="en-NZ"/>
        </w:rPr>
        <w:t xml:space="preserve"> Agreement provides the basis for:</w:t>
      </w:r>
    </w:p>
    <w:p w14:paraId="18031B38" w14:textId="4A37E2B3" w:rsidR="00E22426" w:rsidRDefault="00E22426" w:rsidP="009E21DE">
      <w:pPr>
        <w:spacing w:after="0" w:line="240" w:lineRule="auto"/>
        <w:ind w:left="567"/>
        <w:rPr>
          <w:rFonts w:ascii="Arial" w:eastAsia="Times New Roman" w:hAnsi="Arial" w:cs="Arial"/>
          <w:color w:val="000000"/>
          <w:sz w:val="24"/>
          <w:szCs w:val="24"/>
          <w:lang w:eastAsia="en-NZ"/>
        </w:rPr>
      </w:pPr>
    </w:p>
    <w:p w14:paraId="00AF11C6" w14:textId="77777777"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Entitlements;</w:t>
      </w:r>
    </w:p>
    <w:p w14:paraId="5749928C" w14:textId="4C292AE7"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Participat</w:t>
      </w:r>
      <w:r w:rsidR="000106DE">
        <w:rPr>
          <w:rFonts w:ascii="Arial" w:eastAsia="Times New Roman" w:hAnsi="Arial" w:cs="Arial"/>
          <w:color w:val="000000"/>
          <w:sz w:val="24"/>
          <w:szCs w:val="24"/>
          <w:lang w:eastAsia="en-NZ"/>
        </w:rPr>
        <w:t>ion and representation</w:t>
      </w:r>
      <w:r>
        <w:rPr>
          <w:rFonts w:ascii="Arial" w:eastAsia="Times New Roman" w:hAnsi="Arial" w:cs="Arial"/>
          <w:color w:val="000000"/>
          <w:sz w:val="24"/>
          <w:szCs w:val="24"/>
          <w:lang w:eastAsia="en-NZ"/>
        </w:rPr>
        <w:t>;</w:t>
      </w:r>
    </w:p>
    <w:p w14:paraId="3C87F8DA" w14:textId="75EED83D"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application and hearing process</w:t>
      </w:r>
      <w:r w:rsidR="00182F72">
        <w:rPr>
          <w:rFonts w:ascii="Arial" w:eastAsia="Times New Roman" w:hAnsi="Arial" w:cs="Arial"/>
          <w:color w:val="000000"/>
          <w:sz w:val="24"/>
          <w:szCs w:val="24"/>
          <w:lang w:eastAsia="en-NZ"/>
        </w:rPr>
        <w:t>, including settlements</w:t>
      </w:r>
      <w:r>
        <w:rPr>
          <w:rFonts w:ascii="Arial" w:eastAsia="Times New Roman" w:hAnsi="Arial" w:cs="Arial"/>
          <w:color w:val="000000"/>
          <w:sz w:val="24"/>
          <w:szCs w:val="24"/>
          <w:lang w:eastAsia="en-NZ"/>
        </w:rPr>
        <w:t>;</w:t>
      </w:r>
    </w:p>
    <w:p w14:paraId="5130E4A8" w14:textId="39C5D6F8" w:rsidR="009D1E8A" w:rsidRDefault="009D1E8A"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Evidence</w:t>
      </w:r>
      <w:r w:rsidR="00CF0B20">
        <w:rPr>
          <w:rFonts w:ascii="Arial" w:eastAsia="Times New Roman" w:hAnsi="Arial" w:cs="Arial"/>
          <w:color w:val="000000"/>
          <w:sz w:val="24"/>
          <w:szCs w:val="24"/>
          <w:lang w:eastAsia="en-NZ"/>
        </w:rPr>
        <w:t>, including the use of expert witnesses and burden of proof</w:t>
      </w:r>
      <w:r w:rsidR="00D33BE7">
        <w:rPr>
          <w:rFonts w:ascii="Arial" w:eastAsia="Times New Roman" w:hAnsi="Arial" w:cs="Arial"/>
          <w:color w:val="000000"/>
          <w:sz w:val="24"/>
          <w:szCs w:val="24"/>
          <w:lang w:eastAsia="en-NZ"/>
        </w:rPr>
        <w:t>;</w:t>
      </w:r>
    </w:p>
    <w:p w14:paraId="47628907" w14:textId="17F66CF2"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Offers and acceptance of redress;</w:t>
      </w:r>
    </w:p>
    <w:p w14:paraId="63BE3496" w14:textId="3DA178E0" w:rsidR="00686FB1" w:rsidRDefault="00686FB1"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lastRenderedPageBreak/>
        <w:t>Reviews</w:t>
      </w:r>
      <w:r w:rsidR="000106DE">
        <w:rPr>
          <w:rFonts w:ascii="Arial" w:eastAsia="Times New Roman" w:hAnsi="Arial" w:cs="Arial"/>
          <w:color w:val="000000"/>
          <w:sz w:val="24"/>
          <w:szCs w:val="24"/>
          <w:lang w:eastAsia="en-NZ"/>
        </w:rPr>
        <w:t xml:space="preserve"> of decisions</w:t>
      </w:r>
      <w:r w:rsidR="00CE0659">
        <w:rPr>
          <w:rFonts w:ascii="Arial" w:eastAsia="Times New Roman" w:hAnsi="Arial" w:cs="Arial"/>
          <w:color w:val="000000"/>
          <w:sz w:val="24"/>
          <w:szCs w:val="24"/>
          <w:lang w:eastAsia="en-NZ"/>
        </w:rPr>
        <w:t>;</w:t>
      </w:r>
    </w:p>
    <w:p w14:paraId="2A2FB679" w14:textId="77777777"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Provision of redress;</w:t>
      </w:r>
    </w:p>
    <w:p w14:paraId="03780D23" w14:textId="77777777"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Specialist support services, counselling and psychological care;</w:t>
      </w:r>
    </w:p>
    <w:p w14:paraId="2F9CAEA3" w14:textId="77777777"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Funding;</w:t>
      </w:r>
    </w:p>
    <w:p w14:paraId="28E48286" w14:textId="76B77E2A" w:rsidR="00E22426" w:rsidRDefault="003A4AEF"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Indemnity</w:t>
      </w:r>
      <w:r w:rsidR="00E22426">
        <w:rPr>
          <w:rFonts w:ascii="Arial" w:eastAsia="Times New Roman" w:hAnsi="Arial" w:cs="Arial"/>
          <w:color w:val="000000"/>
          <w:sz w:val="24"/>
          <w:szCs w:val="24"/>
          <w:lang w:eastAsia="en-NZ"/>
        </w:rPr>
        <w:t xml:space="preserve">; </w:t>
      </w:r>
    </w:p>
    <w:p w14:paraId="7870022C" w14:textId="17459F2A" w:rsidR="003A4AEF" w:rsidRDefault="003A4AEF"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‘Opt</w:t>
      </w:r>
      <w:r w:rsidR="00303DC8">
        <w:rPr>
          <w:rFonts w:ascii="Arial" w:eastAsia="Times New Roman" w:hAnsi="Arial" w:cs="Arial"/>
          <w:color w:val="000000"/>
          <w:sz w:val="24"/>
          <w:szCs w:val="24"/>
          <w:lang w:eastAsia="en-NZ"/>
        </w:rPr>
        <w:t>ing</w:t>
      </w:r>
      <w:r>
        <w:rPr>
          <w:rFonts w:ascii="Arial" w:eastAsia="Times New Roman" w:hAnsi="Arial" w:cs="Arial"/>
          <w:color w:val="000000"/>
          <w:sz w:val="24"/>
          <w:szCs w:val="24"/>
          <w:lang w:eastAsia="en-NZ"/>
        </w:rPr>
        <w:t>-out</w:t>
      </w:r>
      <w:r w:rsidR="00303DC8">
        <w:rPr>
          <w:rFonts w:ascii="Arial" w:eastAsia="Times New Roman" w:hAnsi="Arial" w:cs="Arial"/>
          <w:color w:val="000000"/>
          <w:sz w:val="24"/>
          <w:szCs w:val="24"/>
          <w:lang w:eastAsia="en-NZ"/>
        </w:rPr>
        <w:t xml:space="preserve">’ of </w:t>
      </w:r>
      <w:r w:rsidR="00CE0659">
        <w:rPr>
          <w:rFonts w:ascii="Arial" w:eastAsia="Times New Roman" w:hAnsi="Arial" w:cs="Arial"/>
          <w:color w:val="000000"/>
          <w:sz w:val="24"/>
          <w:szCs w:val="24"/>
          <w:lang w:eastAsia="en-NZ"/>
        </w:rPr>
        <w:t xml:space="preserve">the </w:t>
      </w:r>
      <w:r w:rsidR="00303DC8">
        <w:rPr>
          <w:rFonts w:ascii="Arial" w:eastAsia="Times New Roman" w:hAnsi="Arial" w:cs="Arial"/>
          <w:color w:val="000000"/>
          <w:sz w:val="24"/>
          <w:szCs w:val="24"/>
          <w:lang w:eastAsia="en-NZ"/>
        </w:rPr>
        <w:t>agreement</w:t>
      </w:r>
      <w:r w:rsidR="00193A73">
        <w:rPr>
          <w:rFonts w:ascii="Arial" w:eastAsia="Times New Roman" w:hAnsi="Arial" w:cs="Arial"/>
          <w:color w:val="000000"/>
          <w:sz w:val="24"/>
          <w:szCs w:val="24"/>
          <w:lang w:eastAsia="en-NZ"/>
        </w:rPr>
        <w:t>;</w:t>
      </w:r>
    </w:p>
    <w:p w14:paraId="61702A51" w14:textId="77777777"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Release from civil liability; and</w:t>
      </w:r>
    </w:p>
    <w:p w14:paraId="271444E3" w14:textId="77777777" w:rsidR="00E22426" w:rsidRDefault="00E22426"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Other administrative matters.</w:t>
      </w:r>
    </w:p>
    <w:p w14:paraId="5D00BF13" w14:textId="77777777" w:rsidR="00E22426" w:rsidRPr="009E21DE" w:rsidRDefault="00E22426" w:rsidP="009E21DE">
      <w:pPr>
        <w:spacing w:after="0" w:line="240" w:lineRule="auto"/>
        <w:ind w:left="567"/>
        <w:rPr>
          <w:rFonts w:ascii="Arial" w:eastAsia="Times New Roman" w:hAnsi="Arial" w:cs="Arial"/>
          <w:color w:val="000000"/>
          <w:sz w:val="24"/>
          <w:szCs w:val="24"/>
          <w:lang w:eastAsia="en-NZ"/>
        </w:rPr>
      </w:pPr>
    </w:p>
    <w:p w14:paraId="182353A8" w14:textId="53E80D96" w:rsidR="00D52570" w:rsidRPr="000A54F1" w:rsidRDefault="00D33BE7" w:rsidP="00132136">
      <w:pPr>
        <w:pStyle w:val="ListParagraph"/>
        <w:numPr>
          <w:ilvl w:val="0"/>
          <w:numId w:val="47"/>
        </w:numPr>
        <w:spacing w:after="120" w:line="240" w:lineRule="auto"/>
        <w:ind w:left="1134" w:hanging="567"/>
        <w:contextualSpacing w:val="0"/>
        <w:rPr>
          <w:rFonts w:ascii="Arial" w:eastAsia="Times New Roman" w:hAnsi="Arial" w:cs="Arial"/>
          <w:color w:val="000000"/>
          <w:sz w:val="24"/>
          <w:szCs w:val="24"/>
          <w:lang w:eastAsia="en-NZ"/>
        </w:rPr>
      </w:pPr>
      <w:r w:rsidRPr="000A54F1">
        <w:rPr>
          <w:rFonts w:ascii="Arial" w:eastAsia="Times New Roman" w:hAnsi="Arial" w:cs="Arial"/>
          <w:color w:val="000000"/>
          <w:sz w:val="24"/>
          <w:szCs w:val="24"/>
          <w:lang w:eastAsia="en-NZ"/>
        </w:rPr>
        <w:t xml:space="preserve">Under the IAP applicants’ claims are assessed and determined using a matrix </w:t>
      </w:r>
      <w:r w:rsidR="00D52570" w:rsidRPr="000A54F1">
        <w:rPr>
          <w:rFonts w:ascii="Arial" w:eastAsia="Times New Roman" w:hAnsi="Arial" w:cs="Arial"/>
          <w:color w:val="000000"/>
          <w:sz w:val="24"/>
          <w:szCs w:val="24"/>
          <w:lang w:eastAsia="en-NZ"/>
        </w:rPr>
        <w:t>similar to that adopted by Australia and the Republic of Ireland. The IAP model uses four factors to assess and determine the amount of compensation:</w:t>
      </w:r>
    </w:p>
    <w:p w14:paraId="786F8F30" w14:textId="1CFC3E51" w:rsidR="00D52570" w:rsidRDefault="00D52570" w:rsidP="00A3296A">
      <w:pPr>
        <w:pStyle w:val="ListParagraph"/>
        <w:numPr>
          <w:ilvl w:val="0"/>
          <w:numId w:val="34"/>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w:t>
      </w:r>
      <w:r w:rsidR="00D33BE7" w:rsidRPr="00D52570">
        <w:rPr>
          <w:rFonts w:ascii="Arial" w:eastAsia="Times New Roman" w:hAnsi="Arial" w:cs="Arial"/>
          <w:color w:val="000000"/>
          <w:sz w:val="24"/>
          <w:szCs w:val="24"/>
          <w:lang w:eastAsia="en-NZ"/>
        </w:rPr>
        <w:t xml:space="preserve">he </w:t>
      </w:r>
      <w:r w:rsidR="000A54F1">
        <w:rPr>
          <w:rFonts w:ascii="Arial" w:eastAsia="Times New Roman" w:hAnsi="Arial" w:cs="Arial"/>
          <w:color w:val="000000"/>
          <w:sz w:val="24"/>
          <w:szCs w:val="24"/>
          <w:lang w:eastAsia="en-NZ"/>
        </w:rPr>
        <w:t>nature of the abuse</w:t>
      </w:r>
    </w:p>
    <w:p w14:paraId="78F385ED" w14:textId="77777777" w:rsidR="000A54F1" w:rsidRDefault="000A54F1" w:rsidP="00A3296A">
      <w:pPr>
        <w:pStyle w:val="ListParagraph"/>
        <w:numPr>
          <w:ilvl w:val="0"/>
          <w:numId w:val="34"/>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severity of the harm caused</w:t>
      </w:r>
    </w:p>
    <w:p w14:paraId="691FF6BC" w14:textId="7AF9835B" w:rsidR="000A54F1" w:rsidRDefault="000A54F1" w:rsidP="00A3296A">
      <w:pPr>
        <w:pStyle w:val="ListParagraph"/>
        <w:numPr>
          <w:ilvl w:val="0"/>
          <w:numId w:val="34"/>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presence of any (if any) </w:t>
      </w:r>
      <w:r w:rsidR="00D33BE7" w:rsidRPr="00D52570">
        <w:rPr>
          <w:rFonts w:ascii="Arial" w:eastAsia="Times New Roman" w:hAnsi="Arial" w:cs="Arial"/>
          <w:color w:val="000000"/>
          <w:sz w:val="24"/>
          <w:szCs w:val="24"/>
          <w:lang w:eastAsia="en-NZ"/>
        </w:rPr>
        <w:t>aggravating feature</w:t>
      </w:r>
      <w:r>
        <w:rPr>
          <w:rFonts w:ascii="Arial" w:eastAsia="Times New Roman" w:hAnsi="Arial" w:cs="Arial"/>
          <w:color w:val="000000"/>
          <w:sz w:val="24"/>
          <w:szCs w:val="24"/>
          <w:lang w:eastAsia="en-NZ"/>
        </w:rPr>
        <w:t>, such as verbal abuse, threats or breach of trust</w:t>
      </w:r>
    </w:p>
    <w:p w14:paraId="671026A0" w14:textId="0701C535" w:rsidR="000A54F1" w:rsidRDefault="007C46C0" w:rsidP="00A3296A">
      <w:pPr>
        <w:pStyle w:val="ListParagraph"/>
        <w:numPr>
          <w:ilvl w:val="0"/>
          <w:numId w:val="34"/>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Any c</w:t>
      </w:r>
      <w:r w:rsidR="000A54F1">
        <w:rPr>
          <w:rFonts w:ascii="Arial" w:eastAsia="Times New Roman" w:hAnsi="Arial" w:cs="Arial"/>
          <w:color w:val="000000"/>
          <w:sz w:val="24"/>
          <w:szCs w:val="24"/>
          <w:lang w:eastAsia="en-NZ"/>
        </w:rPr>
        <w:t xml:space="preserve">onsequential </w:t>
      </w:r>
      <w:r w:rsidR="00D33BE7" w:rsidRPr="00D52570">
        <w:rPr>
          <w:rFonts w:ascii="Arial" w:eastAsia="Times New Roman" w:hAnsi="Arial" w:cs="Arial"/>
          <w:color w:val="000000"/>
          <w:sz w:val="24"/>
          <w:szCs w:val="24"/>
          <w:lang w:eastAsia="en-NZ"/>
        </w:rPr>
        <w:t>loss of opportunity</w:t>
      </w:r>
      <w:r>
        <w:rPr>
          <w:rFonts w:ascii="Arial" w:eastAsia="Times New Roman" w:hAnsi="Arial" w:cs="Arial"/>
          <w:color w:val="000000"/>
          <w:sz w:val="24"/>
          <w:szCs w:val="24"/>
          <w:lang w:eastAsia="en-NZ"/>
        </w:rPr>
        <w:t>, such as diminished work capacity or chronic inability to retain employment</w:t>
      </w:r>
      <w:r w:rsidR="00D33BE7" w:rsidRPr="00D52570">
        <w:rPr>
          <w:rFonts w:ascii="Arial" w:eastAsia="Times New Roman" w:hAnsi="Arial" w:cs="Arial"/>
          <w:color w:val="000000"/>
          <w:sz w:val="24"/>
          <w:szCs w:val="24"/>
          <w:lang w:eastAsia="en-NZ"/>
        </w:rPr>
        <w:t xml:space="preserve">. </w:t>
      </w:r>
    </w:p>
    <w:p w14:paraId="25465CDD" w14:textId="77777777" w:rsidR="000A54F1" w:rsidRPr="000A54F1" w:rsidRDefault="000A54F1" w:rsidP="000A54F1">
      <w:pPr>
        <w:spacing w:after="0" w:line="240" w:lineRule="auto"/>
        <w:ind w:left="705"/>
        <w:rPr>
          <w:rFonts w:ascii="Arial" w:eastAsia="Times New Roman" w:hAnsi="Arial" w:cs="Arial"/>
          <w:color w:val="000000"/>
          <w:sz w:val="24"/>
          <w:szCs w:val="24"/>
          <w:lang w:eastAsia="en-NZ"/>
        </w:rPr>
      </w:pPr>
    </w:p>
    <w:p w14:paraId="53AD5DC0" w14:textId="77777777" w:rsidR="000A54F1" w:rsidRPr="00C24D20" w:rsidRDefault="000A54F1" w:rsidP="00132136">
      <w:pPr>
        <w:pStyle w:val="ListParagraph"/>
        <w:numPr>
          <w:ilvl w:val="0"/>
          <w:numId w:val="48"/>
        </w:numPr>
        <w:spacing w:after="120"/>
        <w:ind w:left="1134" w:hanging="567"/>
        <w:contextualSpacing w:val="0"/>
        <w:rPr>
          <w:rFonts w:ascii="Arial" w:hAnsi="Arial" w:cs="Arial"/>
          <w:sz w:val="24"/>
          <w:szCs w:val="24"/>
        </w:rPr>
      </w:pPr>
      <w:r w:rsidRPr="00C24D20">
        <w:rPr>
          <w:rFonts w:ascii="Arial" w:hAnsi="Arial" w:cs="Arial"/>
          <w:sz w:val="24"/>
          <w:szCs w:val="24"/>
        </w:rPr>
        <w:t>The survivor would receive a score based on the factors listed above with the total score being positioned within a band. The bands determine the monetary amount to be awarded.</w:t>
      </w:r>
    </w:p>
    <w:p w14:paraId="11FCD917" w14:textId="0F3AB908" w:rsidR="001636E4" w:rsidRDefault="00D33BE7" w:rsidP="00132136">
      <w:pPr>
        <w:pStyle w:val="ListParagraph"/>
        <w:numPr>
          <w:ilvl w:val="0"/>
          <w:numId w:val="48"/>
        </w:numPr>
        <w:spacing w:after="120" w:line="240" w:lineRule="auto"/>
        <w:ind w:left="1134" w:hanging="567"/>
        <w:contextualSpacing w:val="0"/>
        <w:rPr>
          <w:rFonts w:ascii="Arial" w:eastAsia="Times New Roman" w:hAnsi="Arial" w:cs="Arial"/>
          <w:color w:val="000000"/>
          <w:sz w:val="24"/>
          <w:szCs w:val="24"/>
          <w:lang w:eastAsia="en-NZ"/>
        </w:rPr>
      </w:pPr>
      <w:r w:rsidRPr="007C46C0">
        <w:rPr>
          <w:rFonts w:ascii="Arial" w:eastAsia="Times New Roman" w:hAnsi="Arial" w:cs="Arial"/>
          <w:color w:val="000000"/>
          <w:sz w:val="24"/>
          <w:szCs w:val="24"/>
          <w:lang w:eastAsia="en-NZ"/>
        </w:rPr>
        <w:t xml:space="preserve">The maximum payment using this formula was $275,000 and the minimum </w:t>
      </w:r>
      <w:r w:rsidR="00CE0659">
        <w:rPr>
          <w:rFonts w:ascii="Arial" w:eastAsia="Times New Roman" w:hAnsi="Arial" w:cs="Arial"/>
          <w:color w:val="000000"/>
          <w:sz w:val="24"/>
          <w:szCs w:val="24"/>
          <w:lang w:eastAsia="en-NZ"/>
        </w:rPr>
        <w:t>was</w:t>
      </w:r>
      <w:r w:rsidRPr="007C46C0">
        <w:rPr>
          <w:rFonts w:ascii="Arial" w:eastAsia="Times New Roman" w:hAnsi="Arial" w:cs="Arial"/>
          <w:color w:val="000000"/>
          <w:sz w:val="24"/>
          <w:szCs w:val="24"/>
          <w:lang w:eastAsia="en-NZ"/>
        </w:rPr>
        <w:t xml:space="preserve"> $5,000. Additional compensation could be provided for actual lost income of up to $250,000. </w:t>
      </w:r>
    </w:p>
    <w:p w14:paraId="2AB6BC74" w14:textId="24ED37F1" w:rsidR="001636E4" w:rsidRDefault="001636E4" w:rsidP="00132136">
      <w:pPr>
        <w:pStyle w:val="ListParagraph"/>
        <w:numPr>
          <w:ilvl w:val="0"/>
          <w:numId w:val="48"/>
        </w:numPr>
        <w:spacing w:after="0" w:line="240" w:lineRule="auto"/>
        <w:ind w:left="1134" w:hanging="567"/>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In addition to the compensation awarded using the matrix, survivors could </w:t>
      </w:r>
      <w:r w:rsidR="00CE0659">
        <w:rPr>
          <w:rFonts w:ascii="Arial" w:eastAsia="Times New Roman" w:hAnsi="Arial" w:cs="Arial"/>
          <w:color w:val="000000"/>
          <w:sz w:val="24"/>
          <w:szCs w:val="24"/>
          <w:lang w:eastAsia="en-NZ"/>
        </w:rPr>
        <w:t xml:space="preserve">also </w:t>
      </w:r>
      <w:r>
        <w:rPr>
          <w:rFonts w:ascii="Arial" w:eastAsia="Times New Roman" w:hAnsi="Arial" w:cs="Arial"/>
          <w:color w:val="000000"/>
          <w:sz w:val="24"/>
          <w:szCs w:val="24"/>
          <w:lang w:eastAsia="en-NZ"/>
        </w:rPr>
        <w:t>receive:</w:t>
      </w:r>
    </w:p>
    <w:p w14:paraId="74319971" w14:textId="1B0BDC7E" w:rsidR="001636E4" w:rsidRDefault="00CE0659" w:rsidP="00132136">
      <w:pPr>
        <w:pStyle w:val="ListParagraph"/>
        <w:numPr>
          <w:ilvl w:val="0"/>
          <w:numId w:val="35"/>
        </w:numPr>
        <w:spacing w:before="120" w:after="12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C</w:t>
      </w:r>
      <w:r w:rsidR="007C46C0" w:rsidRPr="001636E4">
        <w:rPr>
          <w:rFonts w:ascii="Arial" w:eastAsia="Times New Roman" w:hAnsi="Arial" w:cs="Arial"/>
          <w:color w:val="000000"/>
          <w:sz w:val="24"/>
          <w:szCs w:val="24"/>
          <w:lang w:eastAsia="en-NZ"/>
        </w:rPr>
        <w:t xml:space="preserve">ompensation for ongoing medical </w:t>
      </w:r>
      <w:r w:rsidR="001636E4">
        <w:rPr>
          <w:rFonts w:ascii="Arial" w:eastAsia="Times New Roman" w:hAnsi="Arial" w:cs="Arial"/>
          <w:color w:val="000000"/>
          <w:sz w:val="24"/>
          <w:szCs w:val="24"/>
          <w:lang w:eastAsia="en-NZ"/>
        </w:rPr>
        <w:t>care or counselling of up to $10,000</w:t>
      </w:r>
    </w:p>
    <w:p w14:paraId="3EB1F7D3" w14:textId="77777777" w:rsidR="001636E4" w:rsidRDefault="001636E4" w:rsidP="00132136">
      <w:pPr>
        <w:pStyle w:val="ListParagraph"/>
        <w:numPr>
          <w:ilvl w:val="0"/>
          <w:numId w:val="35"/>
        </w:numPr>
        <w:spacing w:before="120" w:after="12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w:t>
      </w:r>
      <w:r w:rsidR="007C46C0" w:rsidRPr="001636E4">
        <w:rPr>
          <w:rFonts w:ascii="Arial" w:eastAsia="Times New Roman" w:hAnsi="Arial" w:cs="Arial"/>
          <w:color w:val="000000"/>
          <w:sz w:val="24"/>
          <w:szCs w:val="24"/>
          <w:lang w:eastAsia="en-NZ"/>
        </w:rPr>
        <w:t xml:space="preserve">sychiatric </w:t>
      </w:r>
      <w:r>
        <w:rPr>
          <w:rFonts w:ascii="Arial" w:eastAsia="Times New Roman" w:hAnsi="Arial" w:cs="Arial"/>
          <w:color w:val="000000"/>
          <w:sz w:val="24"/>
          <w:szCs w:val="24"/>
          <w:lang w:eastAsia="en-NZ"/>
        </w:rPr>
        <w:t>treatment, cumulative total of up to $15,000</w:t>
      </w:r>
    </w:p>
    <w:p w14:paraId="6F81DDAC" w14:textId="7F39C23A" w:rsidR="00D33BE7" w:rsidRPr="001636E4" w:rsidRDefault="001636E4" w:rsidP="00132136">
      <w:pPr>
        <w:pStyle w:val="ListParagraph"/>
        <w:numPr>
          <w:ilvl w:val="0"/>
          <w:numId w:val="35"/>
        </w:numPr>
        <w:spacing w:before="120" w:after="12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A contribution of up to 15% of the award to meet legal costs</w:t>
      </w:r>
      <w:r w:rsidR="007C46C0" w:rsidRPr="001636E4">
        <w:rPr>
          <w:rFonts w:ascii="Arial" w:eastAsia="Times New Roman" w:hAnsi="Arial" w:cs="Arial"/>
          <w:color w:val="000000"/>
          <w:sz w:val="24"/>
          <w:szCs w:val="24"/>
          <w:lang w:eastAsia="en-NZ"/>
        </w:rPr>
        <w:t>.</w:t>
      </w:r>
    </w:p>
    <w:p w14:paraId="38BE2AFB" w14:textId="364C5440" w:rsidR="005C409F" w:rsidRPr="000265BE" w:rsidRDefault="005C409F" w:rsidP="00132136">
      <w:pPr>
        <w:pStyle w:val="ListParagraph"/>
        <w:numPr>
          <w:ilvl w:val="0"/>
          <w:numId w:val="49"/>
        </w:numPr>
        <w:spacing w:after="120"/>
        <w:ind w:left="1134" w:hanging="567"/>
        <w:contextualSpacing w:val="0"/>
        <w:rPr>
          <w:rFonts w:ascii="Arial" w:eastAsia="Times New Roman" w:hAnsi="Arial" w:cs="Arial"/>
          <w:color w:val="000000"/>
          <w:sz w:val="24"/>
          <w:szCs w:val="24"/>
          <w:lang w:eastAsia="en-NZ"/>
        </w:rPr>
      </w:pPr>
      <w:r w:rsidRPr="000265BE">
        <w:rPr>
          <w:rFonts w:ascii="Arial" w:eastAsia="Times New Roman" w:hAnsi="Arial" w:cs="Arial"/>
          <w:color w:val="000000"/>
          <w:sz w:val="24"/>
          <w:szCs w:val="24"/>
          <w:lang w:eastAsia="en-NZ"/>
        </w:rPr>
        <w:t>In order to be eligible under the scheme:</w:t>
      </w:r>
    </w:p>
    <w:p w14:paraId="7283B86C" w14:textId="1489646D" w:rsidR="005C409F" w:rsidRPr="009E21DE" w:rsidRDefault="00182F72" w:rsidP="00132136">
      <w:pPr>
        <w:pStyle w:val="ListParagraph"/>
        <w:numPr>
          <w:ilvl w:val="0"/>
          <w:numId w:val="36"/>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w:t>
      </w:r>
      <w:r w:rsidR="005C409F" w:rsidRPr="009E21DE">
        <w:rPr>
          <w:rFonts w:ascii="Arial" w:eastAsia="Times New Roman" w:hAnsi="Arial" w:cs="Arial"/>
          <w:color w:val="000000"/>
          <w:sz w:val="24"/>
          <w:szCs w:val="24"/>
          <w:lang w:eastAsia="en-NZ"/>
        </w:rPr>
        <w:t xml:space="preserve">he individual must either have been a resident of a specified residential school within </w:t>
      </w:r>
      <w:r w:rsidR="00D0474C">
        <w:rPr>
          <w:rFonts w:ascii="Arial" w:eastAsia="Times New Roman" w:hAnsi="Arial" w:cs="Arial"/>
          <w:color w:val="000000"/>
          <w:sz w:val="24"/>
          <w:szCs w:val="24"/>
          <w:lang w:eastAsia="en-NZ"/>
        </w:rPr>
        <w:t xml:space="preserve">the </w:t>
      </w:r>
      <w:r w:rsidR="005C409F" w:rsidRPr="009E21DE">
        <w:rPr>
          <w:rFonts w:ascii="Arial" w:eastAsia="Times New Roman" w:hAnsi="Arial" w:cs="Arial"/>
          <w:color w:val="000000"/>
          <w:sz w:val="24"/>
          <w:szCs w:val="24"/>
          <w:lang w:eastAsia="en-NZ"/>
        </w:rPr>
        <w:t xml:space="preserve">relevant period (this appears to have fluctuated depending on the residence) or permitted to be on the grounds of the school before turning 21 years of age; </w:t>
      </w:r>
    </w:p>
    <w:p w14:paraId="4246EDE3" w14:textId="04B7A1E5" w:rsidR="005C409F" w:rsidRPr="009E21DE" w:rsidRDefault="00182F72" w:rsidP="00132136">
      <w:pPr>
        <w:pStyle w:val="ListParagraph"/>
        <w:numPr>
          <w:ilvl w:val="0"/>
          <w:numId w:val="36"/>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w:t>
      </w:r>
      <w:r w:rsidR="005C409F" w:rsidRPr="009E21DE">
        <w:rPr>
          <w:rFonts w:ascii="Arial" w:eastAsia="Times New Roman" w:hAnsi="Arial" w:cs="Arial"/>
          <w:color w:val="000000"/>
          <w:sz w:val="24"/>
          <w:szCs w:val="24"/>
          <w:lang w:eastAsia="en-NZ"/>
        </w:rPr>
        <w:t>he individual experienced physical</w:t>
      </w:r>
      <w:r w:rsidR="00D0474C">
        <w:rPr>
          <w:rFonts w:ascii="Arial" w:eastAsia="Times New Roman" w:hAnsi="Arial" w:cs="Arial"/>
          <w:color w:val="000000"/>
          <w:sz w:val="24"/>
          <w:szCs w:val="24"/>
          <w:lang w:eastAsia="en-NZ"/>
        </w:rPr>
        <w:t xml:space="preserve"> or</w:t>
      </w:r>
      <w:r w:rsidR="005C409F" w:rsidRPr="009E21DE">
        <w:rPr>
          <w:rFonts w:ascii="Arial" w:eastAsia="Times New Roman" w:hAnsi="Arial" w:cs="Arial"/>
          <w:color w:val="000000"/>
          <w:sz w:val="24"/>
          <w:szCs w:val="24"/>
          <w:lang w:eastAsia="en-NZ"/>
        </w:rPr>
        <w:t xml:space="preserve"> sexual abuse or experienced another wrongful act that caused serious psychological consequences, and;</w:t>
      </w:r>
    </w:p>
    <w:p w14:paraId="3620F19C" w14:textId="615F02AF" w:rsidR="005C409F" w:rsidRPr="009E21DE" w:rsidRDefault="00182F72" w:rsidP="00132136">
      <w:pPr>
        <w:pStyle w:val="ListParagraph"/>
        <w:numPr>
          <w:ilvl w:val="0"/>
          <w:numId w:val="36"/>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H</w:t>
      </w:r>
      <w:r w:rsidR="005C409F" w:rsidRPr="009E21DE">
        <w:rPr>
          <w:rFonts w:ascii="Arial" w:eastAsia="Times New Roman" w:hAnsi="Arial" w:cs="Arial"/>
          <w:color w:val="000000"/>
          <w:sz w:val="24"/>
          <w:szCs w:val="24"/>
          <w:lang w:eastAsia="en-NZ"/>
        </w:rPr>
        <w:t>a</w:t>
      </w:r>
      <w:r w:rsidR="00D0474C">
        <w:rPr>
          <w:rFonts w:ascii="Arial" w:eastAsia="Times New Roman" w:hAnsi="Arial" w:cs="Arial"/>
          <w:color w:val="000000"/>
          <w:sz w:val="24"/>
          <w:szCs w:val="24"/>
          <w:lang w:eastAsia="en-NZ"/>
        </w:rPr>
        <w:t>d</w:t>
      </w:r>
      <w:r w:rsidR="005C409F" w:rsidRPr="009E21DE">
        <w:rPr>
          <w:rFonts w:ascii="Arial" w:eastAsia="Times New Roman" w:hAnsi="Arial" w:cs="Arial"/>
          <w:color w:val="000000"/>
          <w:sz w:val="24"/>
          <w:szCs w:val="24"/>
          <w:lang w:eastAsia="en-NZ"/>
        </w:rPr>
        <w:t xml:space="preserve"> not previously received settlement monies or had a claim of abuse dismissed by a court.</w:t>
      </w:r>
    </w:p>
    <w:p w14:paraId="4B69C14C" w14:textId="77777777" w:rsidR="00852BB0" w:rsidRPr="009E21DE" w:rsidRDefault="00852BB0" w:rsidP="009E21DE">
      <w:pPr>
        <w:spacing w:after="0" w:line="240" w:lineRule="auto"/>
        <w:ind w:left="567"/>
        <w:rPr>
          <w:rFonts w:ascii="Arial" w:eastAsia="Times New Roman" w:hAnsi="Arial" w:cs="Arial"/>
          <w:color w:val="000000"/>
          <w:sz w:val="24"/>
          <w:szCs w:val="24"/>
          <w:lang w:eastAsia="en-NZ"/>
        </w:rPr>
      </w:pPr>
    </w:p>
    <w:p w14:paraId="33DFB763" w14:textId="77777777" w:rsidR="00214B62" w:rsidRDefault="00214B62">
      <w:pPr>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br w:type="page"/>
      </w:r>
    </w:p>
    <w:p w14:paraId="2DF91BA8" w14:textId="23C4117D" w:rsidR="00CF0B20" w:rsidRDefault="005C409F" w:rsidP="00132136">
      <w:pPr>
        <w:pStyle w:val="ListParagraph"/>
        <w:numPr>
          <w:ilvl w:val="0"/>
          <w:numId w:val="50"/>
        </w:numPr>
        <w:spacing w:before="120" w:after="0"/>
        <w:ind w:left="1134" w:hanging="567"/>
        <w:contextualSpacing w:val="0"/>
        <w:rPr>
          <w:rFonts w:ascii="Arial" w:eastAsia="Times New Roman" w:hAnsi="Arial" w:cs="Arial"/>
          <w:color w:val="000000"/>
          <w:sz w:val="24"/>
          <w:szCs w:val="24"/>
          <w:lang w:eastAsia="en-NZ"/>
        </w:rPr>
      </w:pPr>
      <w:r w:rsidRPr="00182F72">
        <w:rPr>
          <w:rFonts w:ascii="Arial" w:eastAsia="Times New Roman" w:hAnsi="Arial" w:cs="Arial"/>
          <w:color w:val="000000"/>
          <w:sz w:val="24"/>
          <w:szCs w:val="24"/>
          <w:lang w:eastAsia="en-NZ"/>
        </w:rPr>
        <w:lastRenderedPageBreak/>
        <w:t xml:space="preserve">Hearings have </w:t>
      </w:r>
      <w:r w:rsidR="00852BB0">
        <w:rPr>
          <w:rFonts w:ascii="Arial" w:eastAsia="Times New Roman" w:hAnsi="Arial" w:cs="Arial"/>
          <w:color w:val="000000"/>
          <w:sz w:val="24"/>
          <w:szCs w:val="24"/>
          <w:lang w:eastAsia="en-NZ"/>
        </w:rPr>
        <w:t xml:space="preserve">a </w:t>
      </w:r>
      <w:r w:rsidRPr="00182F72">
        <w:rPr>
          <w:rFonts w:ascii="Arial" w:eastAsia="Times New Roman" w:hAnsi="Arial" w:cs="Arial"/>
          <w:color w:val="000000"/>
          <w:sz w:val="24"/>
          <w:szCs w:val="24"/>
          <w:lang w:eastAsia="en-NZ"/>
        </w:rPr>
        <w:t>cultural component</w:t>
      </w:r>
      <w:r w:rsidR="00CF0B20">
        <w:rPr>
          <w:rFonts w:ascii="Arial" w:eastAsia="Times New Roman" w:hAnsi="Arial" w:cs="Arial"/>
          <w:color w:val="000000"/>
          <w:sz w:val="24"/>
          <w:szCs w:val="24"/>
          <w:lang w:eastAsia="en-NZ"/>
        </w:rPr>
        <w:t>:</w:t>
      </w:r>
    </w:p>
    <w:p w14:paraId="41EDB1D0" w14:textId="77777777" w:rsidR="00CF0B20" w:rsidRDefault="005C409F" w:rsidP="00132136">
      <w:pPr>
        <w:pStyle w:val="ListParagraph"/>
        <w:numPr>
          <w:ilvl w:val="0"/>
          <w:numId w:val="37"/>
        </w:numPr>
        <w:spacing w:before="120" w:after="120" w:line="240" w:lineRule="auto"/>
        <w:ind w:left="1928" w:hanging="794"/>
        <w:contextualSpacing w:val="0"/>
        <w:rPr>
          <w:rFonts w:ascii="Arial" w:eastAsia="Times New Roman" w:hAnsi="Arial" w:cs="Arial"/>
          <w:color w:val="000000"/>
          <w:sz w:val="24"/>
          <w:szCs w:val="24"/>
          <w:lang w:eastAsia="en-NZ"/>
        </w:rPr>
      </w:pPr>
      <w:r w:rsidRPr="00CF0B20">
        <w:rPr>
          <w:rFonts w:ascii="Arial" w:eastAsia="Times New Roman" w:hAnsi="Arial" w:cs="Arial"/>
          <w:color w:val="000000"/>
          <w:sz w:val="24"/>
          <w:szCs w:val="24"/>
          <w:lang w:eastAsia="en-NZ"/>
        </w:rPr>
        <w:t>Grants are available to incorporated entities established by groups of individuals who are considered eligible for the IAP process.</w:t>
      </w:r>
    </w:p>
    <w:p w14:paraId="57578346" w14:textId="4D2D2231" w:rsidR="005C409F" w:rsidRPr="00CF0B20" w:rsidRDefault="005C409F" w:rsidP="00132136">
      <w:pPr>
        <w:pStyle w:val="ListParagraph"/>
        <w:numPr>
          <w:ilvl w:val="0"/>
          <w:numId w:val="37"/>
        </w:numPr>
        <w:spacing w:after="120" w:line="240" w:lineRule="auto"/>
        <w:ind w:left="1928" w:hanging="794"/>
        <w:contextualSpacing w:val="0"/>
        <w:rPr>
          <w:rFonts w:ascii="Arial" w:eastAsia="Times New Roman" w:hAnsi="Arial" w:cs="Arial"/>
          <w:color w:val="000000"/>
          <w:sz w:val="24"/>
          <w:szCs w:val="24"/>
          <w:lang w:eastAsia="en-NZ"/>
        </w:rPr>
      </w:pPr>
      <w:r w:rsidRPr="00CF0B20">
        <w:rPr>
          <w:rFonts w:ascii="Arial" w:eastAsia="Times New Roman" w:hAnsi="Arial" w:cs="Arial"/>
          <w:color w:val="000000"/>
          <w:sz w:val="24"/>
          <w:szCs w:val="24"/>
          <w:lang w:eastAsia="en-NZ"/>
        </w:rPr>
        <w:t xml:space="preserve">The "Group IAP" process allows for individuals who were in the same residence or from </w:t>
      </w:r>
      <w:r w:rsidR="00D0474C">
        <w:rPr>
          <w:rFonts w:ascii="Arial" w:eastAsia="Times New Roman" w:hAnsi="Arial" w:cs="Arial"/>
          <w:color w:val="000000"/>
          <w:sz w:val="24"/>
          <w:szCs w:val="24"/>
          <w:lang w:eastAsia="en-NZ"/>
        </w:rPr>
        <w:t xml:space="preserve">the </w:t>
      </w:r>
      <w:r w:rsidRPr="00CF0B20">
        <w:rPr>
          <w:rFonts w:ascii="Arial" w:eastAsia="Times New Roman" w:hAnsi="Arial" w:cs="Arial"/>
          <w:color w:val="000000"/>
          <w:sz w:val="24"/>
          <w:szCs w:val="24"/>
          <w:lang w:eastAsia="en-NZ"/>
        </w:rPr>
        <w:t>same tribe to support each other by</w:t>
      </w:r>
      <w:r w:rsidR="00D0474C">
        <w:rPr>
          <w:rFonts w:ascii="Arial" w:eastAsia="Times New Roman" w:hAnsi="Arial" w:cs="Arial"/>
          <w:color w:val="000000"/>
          <w:sz w:val="24"/>
          <w:szCs w:val="24"/>
          <w:lang w:eastAsia="en-NZ"/>
        </w:rPr>
        <w:t>,</w:t>
      </w:r>
      <w:r w:rsidRPr="00CF0B20">
        <w:rPr>
          <w:rFonts w:ascii="Arial" w:eastAsia="Times New Roman" w:hAnsi="Arial" w:cs="Arial"/>
          <w:color w:val="000000"/>
          <w:sz w:val="24"/>
          <w:szCs w:val="24"/>
          <w:lang w:eastAsia="en-NZ"/>
        </w:rPr>
        <w:t xml:space="preserve"> for example</w:t>
      </w:r>
      <w:r w:rsidR="00D0474C">
        <w:rPr>
          <w:rFonts w:ascii="Arial" w:eastAsia="Times New Roman" w:hAnsi="Arial" w:cs="Arial"/>
          <w:color w:val="000000"/>
          <w:sz w:val="24"/>
          <w:szCs w:val="24"/>
          <w:lang w:eastAsia="en-NZ"/>
        </w:rPr>
        <w:t>,</w:t>
      </w:r>
      <w:r w:rsidRPr="00CF0B20">
        <w:rPr>
          <w:rFonts w:ascii="Arial" w:eastAsia="Times New Roman" w:hAnsi="Arial" w:cs="Arial"/>
          <w:color w:val="000000"/>
          <w:sz w:val="24"/>
          <w:szCs w:val="24"/>
          <w:lang w:eastAsia="en-NZ"/>
        </w:rPr>
        <w:t xml:space="preserve"> running cultural healing activities or the provision of counselling or therapeutic services or prepare</w:t>
      </w:r>
      <w:r w:rsidR="00D0474C">
        <w:rPr>
          <w:rFonts w:ascii="Arial" w:eastAsia="Times New Roman" w:hAnsi="Arial" w:cs="Arial"/>
          <w:color w:val="000000"/>
          <w:sz w:val="24"/>
          <w:szCs w:val="24"/>
          <w:lang w:eastAsia="en-NZ"/>
        </w:rPr>
        <w:t>d</w:t>
      </w:r>
      <w:r w:rsidRPr="00CF0B20">
        <w:rPr>
          <w:rFonts w:ascii="Arial" w:eastAsia="Times New Roman" w:hAnsi="Arial" w:cs="Arial"/>
          <w:color w:val="000000"/>
          <w:sz w:val="24"/>
          <w:szCs w:val="24"/>
          <w:lang w:eastAsia="en-NZ"/>
        </w:rPr>
        <w:t xml:space="preserve"> the person before they </w:t>
      </w:r>
      <w:r w:rsidR="00D0474C">
        <w:rPr>
          <w:rFonts w:ascii="Arial" w:eastAsia="Times New Roman" w:hAnsi="Arial" w:cs="Arial"/>
          <w:color w:val="000000"/>
          <w:sz w:val="24"/>
          <w:szCs w:val="24"/>
          <w:lang w:eastAsia="en-NZ"/>
        </w:rPr>
        <w:t>went</w:t>
      </w:r>
      <w:r w:rsidRPr="00CF0B20">
        <w:rPr>
          <w:rFonts w:ascii="Arial" w:eastAsia="Times New Roman" w:hAnsi="Arial" w:cs="Arial"/>
          <w:color w:val="000000"/>
          <w:sz w:val="24"/>
          <w:szCs w:val="24"/>
          <w:lang w:eastAsia="en-NZ"/>
        </w:rPr>
        <w:t xml:space="preserve"> through the IAP process.</w:t>
      </w:r>
    </w:p>
    <w:p w14:paraId="5353F264" w14:textId="77777777" w:rsidR="005C409F" w:rsidRPr="009E21DE" w:rsidRDefault="005C409F" w:rsidP="009E21DE">
      <w:pPr>
        <w:spacing w:after="0" w:line="240" w:lineRule="auto"/>
        <w:ind w:left="567"/>
        <w:rPr>
          <w:rFonts w:ascii="Arial" w:eastAsia="Times New Roman" w:hAnsi="Arial" w:cs="Arial"/>
          <w:color w:val="000000"/>
          <w:sz w:val="24"/>
          <w:szCs w:val="24"/>
          <w:lang w:eastAsia="en-NZ"/>
        </w:rPr>
      </w:pPr>
    </w:p>
    <w:p w14:paraId="5D3B0619" w14:textId="6AA697F5" w:rsidR="005C409F" w:rsidRPr="00CF0B20" w:rsidRDefault="00D0474C" w:rsidP="00132136">
      <w:pPr>
        <w:pStyle w:val="ListParagraph"/>
        <w:numPr>
          <w:ilvl w:val="0"/>
          <w:numId w:val="50"/>
        </w:numPr>
        <w:spacing w:after="0" w:line="240" w:lineRule="auto"/>
        <w:ind w:left="1134" w:hanging="567"/>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As at</w:t>
      </w:r>
      <w:r w:rsidR="00280942">
        <w:rPr>
          <w:rFonts w:ascii="Arial" w:eastAsia="Times New Roman" w:hAnsi="Arial" w:cs="Arial"/>
          <w:color w:val="000000"/>
          <w:sz w:val="24"/>
          <w:szCs w:val="24"/>
          <w:lang w:eastAsia="en-NZ"/>
        </w:rPr>
        <w:t xml:space="preserve"> 30 September 2019,</w:t>
      </w:r>
      <w:r>
        <w:rPr>
          <w:rFonts w:ascii="Arial" w:eastAsia="Times New Roman" w:hAnsi="Arial" w:cs="Arial"/>
          <w:color w:val="000000"/>
          <w:sz w:val="24"/>
          <w:szCs w:val="24"/>
          <w:lang w:eastAsia="en-NZ"/>
        </w:rPr>
        <w:t xml:space="preserve"> </w:t>
      </w:r>
      <w:r w:rsidR="005C409F" w:rsidRPr="00CF0B20">
        <w:rPr>
          <w:rFonts w:ascii="Arial" w:eastAsia="Times New Roman" w:hAnsi="Arial" w:cs="Arial"/>
          <w:color w:val="000000"/>
          <w:sz w:val="24"/>
          <w:szCs w:val="24"/>
          <w:lang w:eastAsia="en-NZ"/>
        </w:rPr>
        <w:t>IRSAS ha</w:t>
      </w:r>
      <w:r w:rsidR="009B3C53">
        <w:rPr>
          <w:rFonts w:ascii="Arial" w:eastAsia="Times New Roman" w:hAnsi="Arial" w:cs="Arial"/>
          <w:color w:val="000000"/>
          <w:sz w:val="24"/>
          <w:szCs w:val="24"/>
          <w:lang w:eastAsia="en-NZ"/>
        </w:rPr>
        <w:t>d</w:t>
      </w:r>
      <w:r w:rsidR="005C409F" w:rsidRPr="00CF0B20">
        <w:rPr>
          <w:rFonts w:ascii="Arial" w:eastAsia="Times New Roman" w:hAnsi="Arial" w:cs="Arial"/>
          <w:color w:val="000000"/>
          <w:sz w:val="24"/>
          <w:szCs w:val="24"/>
          <w:lang w:eastAsia="en-NZ"/>
        </w:rPr>
        <w:t xml:space="preserve"> received 38,262 applications under the IAP process and resolved 38,243 of these applications (99%). </w:t>
      </w:r>
    </w:p>
    <w:p w14:paraId="3C65DD53" w14:textId="77777777" w:rsidR="005C409F" w:rsidRPr="009E21DE" w:rsidRDefault="005C409F" w:rsidP="009E21DE">
      <w:pPr>
        <w:spacing w:after="0" w:line="240" w:lineRule="auto"/>
        <w:ind w:left="567"/>
        <w:rPr>
          <w:rFonts w:ascii="Arial" w:eastAsia="Times New Roman" w:hAnsi="Arial" w:cs="Arial"/>
          <w:color w:val="000000"/>
          <w:sz w:val="24"/>
          <w:szCs w:val="24"/>
          <w:lang w:eastAsia="en-NZ"/>
        </w:rPr>
      </w:pPr>
    </w:p>
    <w:p w14:paraId="75D6B331" w14:textId="77777777" w:rsidR="00CF0B20" w:rsidRDefault="005C409F" w:rsidP="00132136">
      <w:pPr>
        <w:pStyle w:val="ListParagraph"/>
        <w:numPr>
          <w:ilvl w:val="0"/>
          <w:numId w:val="50"/>
        </w:numPr>
        <w:spacing w:after="0" w:line="240" w:lineRule="auto"/>
        <w:ind w:left="1134" w:hanging="567"/>
        <w:contextualSpacing w:val="0"/>
        <w:rPr>
          <w:rFonts w:ascii="Arial" w:eastAsia="Times New Roman" w:hAnsi="Arial" w:cs="Arial"/>
          <w:color w:val="000000"/>
          <w:sz w:val="24"/>
          <w:szCs w:val="24"/>
          <w:lang w:eastAsia="en-NZ"/>
        </w:rPr>
      </w:pPr>
      <w:r w:rsidRPr="00CF0B20">
        <w:rPr>
          <w:rFonts w:ascii="Arial" w:eastAsia="Times New Roman" w:hAnsi="Arial" w:cs="Arial"/>
          <w:color w:val="000000"/>
          <w:sz w:val="24"/>
          <w:szCs w:val="24"/>
          <w:lang w:eastAsia="en-NZ"/>
        </w:rPr>
        <w:t>Of the claims resolved</w:t>
      </w:r>
      <w:r w:rsidR="00CF0B20">
        <w:rPr>
          <w:rFonts w:ascii="Arial" w:eastAsia="Times New Roman" w:hAnsi="Arial" w:cs="Arial"/>
          <w:color w:val="000000"/>
          <w:sz w:val="24"/>
          <w:szCs w:val="24"/>
          <w:lang w:eastAsia="en-NZ"/>
        </w:rPr>
        <w:t>:</w:t>
      </w:r>
    </w:p>
    <w:p w14:paraId="48A553B0" w14:textId="77777777" w:rsidR="00CF0B20" w:rsidRPr="00CF0B20" w:rsidRDefault="00CF0B20" w:rsidP="00CF0B20">
      <w:pPr>
        <w:pStyle w:val="ListParagraph"/>
        <w:rPr>
          <w:rFonts w:ascii="Arial" w:eastAsia="Times New Roman" w:hAnsi="Arial" w:cs="Arial"/>
          <w:color w:val="000000"/>
          <w:sz w:val="24"/>
          <w:szCs w:val="24"/>
          <w:lang w:eastAsia="en-NZ"/>
        </w:rPr>
      </w:pPr>
    </w:p>
    <w:p w14:paraId="64BA8C01" w14:textId="77777777" w:rsidR="00CF0B20" w:rsidRDefault="005C409F" w:rsidP="00132136">
      <w:pPr>
        <w:pStyle w:val="ListParagraph"/>
        <w:numPr>
          <w:ilvl w:val="0"/>
          <w:numId w:val="38"/>
        </w:numPr>
        <w:spacing w:after="0" w:line="240" w:lineRule="auto"/>
        <w:ind w:left="1928" w:hanging="794"/>
        <w:rPr>
          <w:rFonts w:ascii="Arial" w:eastAsia="Times New Roman" w:hAnsi="Arial" w:cs="Arial"/>
          <w:color w:val="000000"/>
          <w:sz w:val="24"/>
          <w:szCs w:val="24"/>
          <w:lang w:eastAsia="en-NZ"/>
        </w:rPr>
      </w:pPr>
      <w:r w:rsidRPr="00CF0B20">
        <w:rPr>
          <w:rFonts w:ascii="Arial" w:eastAsia="Times New Roman" w:hAnsi="Arial" w:cs="Arial"/>
          <w:color w:val="000000"/>
          <w:sz w:val="24"/>
          <w:szCs w:val="24"/>
          <w:lang w:eastAsia="en-NZ"/>
        </w:rPr>
        <w:t xml:space="preserve">26,703 were resolved following a hearing; </w:t>
      </w:r>
    </w:p>
    <w:p w14:paraId="4C003691" w14:textId="77777777" w:rsidR="00CF0B20" w:rsidRDefault="005C409F" w:rsidP="00132136">
      <w:pPr>
        <w:pStyle w:val="ListParagraph"/>
        <w:numPr>
          <w:ilvl w:val="0"/>
          <w:numId w:val="38"/>
        </w:numPr>
        <w:spacing w:after="0" w:line="240" w:lineRule="auto"/>
        <w:ind w:left="1928" w:hanging="794"/>
        <w:rPr>
          <w:rFonts w:ascii="Arial" w:eastAsia="Times New Roman" w:hAnsi="Arial" w:cs="Arial"/>
          <w:color w:val="000000"/>
          <w:sz w:val="24"/>
          <w:szCs w:val="24"/>
          <w:lang w:eastAsia="en-NZ"/>
        </w:rPr>
      </w:pPr>
      <w:r w:rsidRPr="00CF0B20">
        <w:rPr>
          <w:rFonts w:ascii="Arial" w:eastAsia="Times New Roman" w:hAnsi="Arial" w:cs="Arial"/>
          <w:color w:val="000000"/>
          <w:sz w:val="24"/>
          <w:szCs w:val="24"/>
          <w:lang w:eastAsia="en-NZ"/>
        </w:rPr>
        <w:t>4,165 claims were resolved prior to the hearing through a negotiated settlement</w:t>
      </w:r>
      <w:r w:rsidR="00CF0B20">
        <w:rPr>
          <w:rFonts w:ascii="Arial" w:eastAsia="Times New Roman" w:hAnsi="Arial" w:cs="Arial"/>
          <w:color w:val="000000"/>
          <w:sz w:val="24"/>
          <w:szCs w:val="24"/>
          <w:lang w:eastAsia="en-NZ"/>
        </w:rPr>
        <w:t>;</w:t>
      </w:r>
    </w:p>
    <w:p w14:paraId="7AF49809" w14:textId="77777777" w:rsidR="00CF0B20" w:rsidRDefault="00CF0B20" w:rsidP="00132136">
      <w:pPr>
        <w:pStyle w:val="ListParagraph"/>
        <w:numPr>
          <w:ilvl w:val="0"/>
          <w:numId w:val="38"/>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89%</w:t>
      </w:r>
      <w:r w:rsidR="005C409F" w:rsidRPr="00CF0B20">
        <w:rPr>
          <w:rFonts w:ascii="Arial" w:eastAsia="Times New Roman" w:hAnsi="Arial" w:cs="Arial"/>
          <w:color w:val="000000"/>
          <w:sz w:val="24"/>
          <w:szCs w:val="24"/>
          <w:lang w:eastAsia="en-NZ"/>
        </w:rPr>
        <w:t xml:space="preserve"> of the claims resulted in compensation being paid either as a result of a negotiated settlement or from an award by an adjudicator</w:t>
      </w:r>
      <w:r>
        <w:rPr>
          <w:rFonts w:ascii="Arial" w:eastAsia="Times New Roman" w:hAnsi="Arial" w:cs="Arial"/>
          <w:color w:val="000000"/>
          <w:sz w:val="24"/>
          <w:szCs w:val="24"/>
          <w:lang w:eastAsia="en-NZ"/>
        </w:rPr>
        <w:t>;</w:t>
      </w:r>
    </w:p>
    <w:p w14:paraId="37EBA57B" w14:textId="142091E9" w:rsidR="005C409F" w:rsidRPr="00CF0B20" w:rsidRDefault="005C409F" w:rsidP="00132136">
      <w:pPr>
        <w:pStyle w:val="ListParagraph"/>
        <w:numPr>
          <w:ilvl w:val="0"/>
          <w:numId w:val="38"/>
        </w:numPr>
        <w:spacing w:after="0" w:line="240" w:lineRule="auto"/>
        <w:ind w:left="1928" w:hanging="794"/>
        <w:rPr>
          <w:rFonts w:ascii="Arial" w:eastAsia="Times New Roman" w:hAnsi="Arial" w:cs="Arial"/>
          <w:color w:val="000000"/>
          <w:sz w:val="24"/>
          <w:szCs w:val="24"/>
          <w:lang w:eastAsia="en-NZ"/>
        </w:rPr>
      </w:pPr>
      <w:r w:rsidRPr="00CF0B20">
        <w:rPr>
          <w:rFonts w:ascii="Arial" w:eastAsia="Times New Roman" w:hAnsi="Arial" w:cs="Arial"/>
          <w:color w:val="000000"/>
          <w:sz w:val="24"/>
          <w:szCs w:val="24"/>
          <w:lang w:eastAsia="en-NZ"/>
        </w:rPr>
        <w:t>The average IAP payment awarded by adjudicators was $91,471 including legal costs and ongoing medical/supervision costs.</w:t>
      </w:r>
    </w:p>
    <w:p w14:paraId="66382AD6" w14:textId="6D76C47C" w:rsidR="005C409F" w:rsidRDefault="005C409F" w:rsidP="009E21DE">
      <w:pPr>
        <w:spacing w:after="0" w:line="240" w:lineRule="auto"/>
        <w:ind w:left="567"/>
        <w:rPr>
          <w:rFonts w:ascii="Arial" w:eastAsia="Times New Roman" w:hAnsi="Arial" w:cs="Arial"/>
          <w:color w:val="000000"/>
          <w:sz w:val="24"/>
          <w:szCs w:val="24"/>
          <w:lang w:eastAsia="en-NZ"/>
        </w:rPr>
      </w:pPr>
    </w:p>
    <w:p w14:paraId="3EB79079" w14:textId="77777777" w:rsidR="00281FC0" w:rsidRDefault="00281FC0" w:rsidP="009E21DE">
      <w:pPr>
        <w:spacing w:after="0" w:line="240" w:lineRule="auto"/>
        <w:ind w:left="567"/>
        <w:rPr>
          <w:rFonts w:ascii="Arial" w:eastAsia="Times New Roman" w:hAnsi="Arial" w:cs="Arial"/>
          <w:b/>
          <w:i/>
          <w:color w:val="000000"/>
          <w:sz w:val="24"/>
          <w:szCs w:val="24"/>
          <w:lang w:eastAsia="en-NZ"/>
        </w:rPr>
      </w:pPr>
      <w:r>
        <w:rPr>
          <w:rFonts w:ascii="Arial" w:eastAsia="Times New Roman" w:hAnsi="Arial" w:cs="Arial"/>
          <w:b/>
          <w:i/>
          <w:color w:val="000000"/>
          <w:sz w:val="24"/>
          <w:szCs w:val="24"/>
          <w:lang w:eastAsia="en-NZ"/>
        </w:rPr>
        <w:t>Civil litigation</w:t>
      </w:r>
    </w:p>
    <w:p w14:paraId="42BF3F87" w14:textId="77777777" w:rsidR="00281FC0" w:rsidRDefault="00281FC0" w:rsidP="009E21DE">
      <w:pPr>
        <w:spacing w:after="0" w:line="240" w:lineRule="auto"/>
        <w:ind w:left="567"/>
        <w:rPr>
          <w:rFonts w:ascii="Arial" w:eastAsia="Times New Roman" w:hAnsi="Arial" w:cs="Arial"/>
          <w:b/>
          <w:i/>
          <w:color w:val="000000"/>
          <w:sz w:val="24"/>
          <w:szCs w:val="24"/>
          <w:lang w:eastAsia="en-NZ"/>
        </w:rPr>
      </w:pPr>
    </w:p>
    <w:p w14:paraId="795DB034" w14:textId="551A0305" w:rsidR="00281FC0" w:rsidRPr="00281FC0" w:rsidRDefault="00281FC0" w:rsidP="00132136">
      <w:pPr>
        <w:pStyle w:val="ListParagraph"/>
        <w:numPr>
          <w:ilvl w:val="0"/>
          <w:numId w:val="50"/>
        </w:numPr>
        <w:spacing w:after="0"/>
        <w:ind w:left="1134" w:hanging="567"/>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settlement agreement does not cover changes to</w:t>
      </w:r>
      <w:r w:rsidR="007E781A">
        <w:rPr>
          <w:rFonts w:ascii="Arial" w:eastAsia="Times New Roman" w:hAnsi="Arial" w:cs="Arial"/>
          <w:color w:val="000000"/>
          <w:sz w:val="24"/>
          <w:szCs w:val="24"/>
          <w:lang w:eastAsia="en-NZ"/>
        </w:rPr>
        <w:t xml:space="preserve"> civil litigation processes. However, judgements of the Canadian Supreme Court have, over time, been influential in making the civil litigation process more accessible</w:t>
      </w:r>
      <w:r w:rsidR="005325C2">
        <w:rPr>
          <w:rFonts w:ascii="Arial" w:eastAsia="Times New Roman" w:hAnsi="Arial" w:cs="Arial"/>
          <w:color w:val="000000"/>
          <w:sz w:val="24"/>
          <w:szCs w:val="24"/>
          <w:lang w:eastAsia="en-NZ"/>
        </w:rPr>
        <w:t xml:space="preserve"> in some areas.</w:t>
      </w:r>
      <w:r w:rsidR="00FD1C28">
        <w:rPr>
          <w:rFonts w:ascii="Arial" w:eastAsia="Times New Roman" w:hAnsi="Arial" w:cs="Arial"/>
          <w:color w:val="000000"/>
          <w:sz w:val="24"/>
          <w:szCs w:val="24"/>
          <w:lang w:eastAsia="en-NZ"/>
        </w:rPr>
        <w:t xml:space="preserve">  These are outlined below.</w:t>
      </w:r>
    </w:p>
    <w:p w14:paraId="0A4AD90E" w14:textId="77777777" w:rsidR="00281FC0" w:rsidRDefault="00281FC0" w:rsidP="009E21DE">
      <w:pPr>
        <w:spacing w:after="0" w:line="240" w:lineRule="auto"/>
        <w:ind w:left="567"/>
        <w:rPr>
          <w:rFonts w:ascii="Arial" w:eastAsia="Times New Roman" w:hAnsi="Arial" w:cs="Arial"/>
          <w:b/>
          <w:i/>
          <w:color w:val="000000"/>
          <w:sz w:val="24"/>
          <w:szCs w:val="24"/>
          <w:lang w:eastAsia="en-NZ"/>
        </w:rPr>
      </w:pPr>
    </w:p>
    <w:p w14:paraId="005CA8F6" w14:textId="75E552A0" w:rsidR="00943F49" w:rsidRPr="00943F49" w:rsidRDefault="005325C2" w:rsidP="009E21DE">
      <w:pPr>
        <w:spacing w:after="0" w:line="240" w:lineRule="auto"/>
        <w:ind w:left="567"/>
        <w:rPr>
          <w:rFonts w:ascii="Arial" w:eastAsia="Times New Roman" w:hAnsi="Arial" w:cs="Arial"/>
          <w:b/>
          <w:i/>
          <w:color w:val="000000"/>
          <w:sz w:val="24"/>
          <w:szCs w:val="24"/>
          <w:lang w:eastAsia="en-NZ"/>
        </w:rPr>
      </w:pPr>
      <w:r>
        <w:rPr>
          <w:rFonts w:ascii="Arial" w:eastAsia="Times New Roman" w:hAnsi="Arial" w:cs="Arial"/>
          <w:b/>
          <w:i/>
          <w:color w:val="000000"/>
          <w:sz w:val="24"/>
          <w:szCs w:val="24"/>
          <w:lang w:eastAsia="en-NZ"/>
        </w:rPr>
        <w:t>Civil litigation</w:t>
      </w:r>
      <w:r w:rsidR="00B64D35">
        <w:rPr>
          <w:rFonts w:ascii="Arial" w:eastAsia="Times New Roman" w:hAnsi="Arial" w:cs="Arial"/>
          <w:b/>
          <w:i/>
          <w:color w:val="000000"/>
          <w:sz w:val="24"/>
          <w:szCs w:val="24"/>
          <w:lang w:eastAsia="en-NZ"/>
        </w:rPr>
        <w:t>: Limitation periods</w:t>
      </w:r>
    </w:p>
    <w:p w14:paraId="13D034B4" w14:textId="35838EAD" w:rsidR="005C409F" w:rsidRDefault="005C409F" w:rsidP="009E21DE">
      <w:pPr>
        <w:spacing w:after="0" w:line="240" w:lineRule="auto"/>
        <w:ind w:left="567"/>
        <w:rPr>
          <w:rFonts w:ascii="Arial" w:eastAsia="Times New Roman" w:hAnsi="Arial" w:cs="Arial"/>
          <w:color w:val="000000"/>
          <w:sz w:val="24"/>
          <w:szCs w:val="24"/>
          <w:lang w:eastAsia="en-NZ"/>
        </w:rPr>
      </w:pPr>
    </w:p>
    <w:p w14:paraId="59CBF7D7" w14:textId="0657B7A5" w:rsidR="00B64D35" w:rsidRDefault="00B64D35" w:rsidP="00132136">
      <w:pPr>
        <w:pStyle w:val="ListParagraph"/>
        <w:numPr>
          <w:ilvl w:val="0"/>
          <w:numId w:val="50"/>
        </w:numPr>
        <w:ind w:left="1134" w:hanging="567"/>
        <w:contextualSpacing w:val="0"/>
        <w:rPr>
          <w:rFonts w:cstheme="minorHAnsi"/>
          <w:sz w:val="23"/>
          <w:szCs w:val="23"/>
        </w:rPr>
      </w:pPr>
      <w:r w:rsidRPr="00B64D35">
        <w:rPr>
          <w:rFonts w:ascii="Arial" w:hAnsi="Arial" w:cs="Arial"/>
          <w:sz w:val="24"/>
          <w:szCs w:val="24"/>
        </w:rPr>
        <w:t xml:space="preserve">All Provincial Governments have removed limitation periods for causes of action based on misconduct of a sexual nature or based on sexual assault following </w:t>
      </w:r>
      <w:r w:rsidR="00F42E9B">
        <w:rPr>
          <w:rFonts w:ascii="Arial" w:hAnsi="Arial" w:cs="Arial"/>
          <w:sz w:val="24"/>
          <w:szCs w:val="24"/>
        </w:rPr>
        <w:t xml:space="preserve">the </w:t>
      </w:r>
      <w:r w:rsidRPr="00B64D35">
        <w:rPr>
          <w:rFonts w:ascii="Arial" w:hAnsi="Arial" w:cs="Arial"/>
          <w:sz w:val="24"/>
          <w:szCs w:val="24"/>
        </w:rPr>
        <w:t xml:space="preserve">decision of </w:t>
      </w:r>
      <w:r w:rsidR="00F42E9B">
        <w:rPr>
          <w:rFonts w:ascii="Arial" w:hAnsi="Arial" w:cs="Arial"/>
          <w:sz w:val="24"/>
          <w:szCs w:val="24"/>
        </w:rPr>
        <w:t xml:space="preserve">the </w:t>
      </w:r>
      <w:r w:rsidRPr="00B64D35">
        <w:rPr>
          <w:rFonts w:ascii="Arial" w:hAnsi="Arial" w:cs="Arial"/>
          <w:sz w:val="24"/>
          <w:szCs w:val="24"/>
        </w:rPr>
        <w:t xml:space="preserve">Canadian Supreme Court in </w:t>
      </w:r>
      <w:r w:rsidRPr="00B64D35">
        <w:rPr>
          <w:rFonts w:ascii="Arial" w:hAnsi="Arial" w:cs="Arial"/>
          <w:i/>
          <w:sz w:val="24"/>
          <w:szCs w:val="24"/>
        </w:rPr>
        <w:t>M(K) v M(H)</w:t>
      </w:r>
      <w:r w:rsidRPr="00B64D35">
        <w:rPr>
          <w:rFonts w:ascii="Arial" w:hAnsi="Arial" w:cs="Arial"/>
          <w:sz w:val="24"/>
          <w:szCs w:val="24"/>
        </w:rPr>
        <w:t xml:space="preserve"> [1992] 3 SCR 6. Furthermore, the Nova Scotia Government in 2015 enacted the Limitation of Actions Act which provided that no limitation period applied in case</w:t>
      </w:r>
      <w:r w:rsidR="00F42E9B">
        <w:rPr>
          <w:rFonts w:ascii="Arial" w:hAnsi="Arial" w:cs="Arial"/>
          <w:sz w:val="24"/>
          <w:szCs w:val="24"/>
        </w:rPr>
        <w:t>s</w:t>
      </w:r>
      <w:r w:rsidRPr="00B64D35">
        <w:rPr>
          <w:rFonts w:ascii="Arial" w:hAnsi="Arial" w:cs="Arial"/>
          <w:sz w:val="24"/>
          <w:szCs w:val="24"/>
        </w:rPr>
        <w:t xml:space="preserve"> of historical sexual abuse</w:t>
      </w:r>
      <w:r w:rsidRPr="00B64D35">
        <w:rPr>
          <w:rFonts w:cstheme="minorHAnsi"/>
          <w:sz w:val="23"/>
          <w:szCs w:val="23"/>
        </w:rPr>
        <w:t xml:space="preserve">.  </w:t>
      </w:r>
    </w:p>
    <w:p w14:paraId="4C4F9BAC" w14:textId="2F5F01FC" w:rsidR="002D44BD" w:rsidRPr="005325C2" w:rsidRDefault="00281FC0" w:rsidP="00132136">
      <w:pPr>
        <w:pStyle w:val="ListParagraph"/>
        <w:numPr>
          <w:ilvl w:val="0"/>
          <w:numId w:val="50"/>
        </w:numPr>
        <w:ind w:left="1134" w:hanging="567"/>
        <w:contextualSpacing w:val="0"/>
        <w:rPr>
          <w:rFonts w:cstheme="minorHAnsi"/>
          <w:color w:val="000000" w:themeColor="text1"/>
          <w:sz w:val="24"/>
          <w:szCs w:val="24"/>
        </w:rPr>
      </w:pPr>
      <w:r>
        <w:rPr>
          <w:rFonts w:ascii="Arial" w:hAnsi="Arial" w:cs="Arial"/>
          <w:sz w:val="24"/>
          <w:szCs w:val="24"/>
        </w:rPr>
        <w:t xml:space="preserve">Some Provincial Governments have </w:t>
      </w:r>
      <w:r w:rsidR="002D15F8">
        <w:rPr>
          <w:rFonts w:ascii="Arial" w:hAnsi="Arial" w:cs="Arial"/>
          <w:sz w:val="24"/>
          <w:szCs w:val="24"/>
        </w:rPr>
        <w:t>remov</w:t>
      </w:r>
      <w:r>
        <w:rPr>
          <w:rFonts w:ascii="Arial" w:hAnsi="Arial" w:cs="Arial"/>
          <w:sz w:val="24"/>
          <w:szCs w:val="24"/>
        </w:rPr>
        <w:t>ed</w:t>
      </w:r>
      <w:r w:rsidR="005325C2">
        <w:rPr>
          <w:rFonts w:ascii="Arial" w:hAnsi="Arial" w:cs="Arial"/>
          <w:sz w:val="24"/>
          <w:szCs w:val="24"/>
        </w:rPr>
        <w:t xml:space="preserve"> limitation periods </w:t>
      </w:r>
      <w:r w:rsidR="005325C2" w:rsidRPr="00B64D35">
        <w:rPr>
          <w:rFonts w:ascii="Arial" w:hAnsi="Arial" w:cs="Arial"/>
          <w:sz w:val="24"/>
          <w:szCs w:val="24"/>
        </w:rPr>
        <w:t>for causes of action based on</w:t>
      </w:r>
      <w:r w:rsidR="005325C2">
        <w:rPr>
          <w:rFonts w:ascii="Arial" w:hAnsi="Arial" w:cs="Arial"/>
          <w:sz w:val="24"/>
          <w:szCs w:val="24"/>
        </w:rPr>
        <w:t xml:space="preserve"> physical abuse</w:t>
      </w:r>
      <w:r w:rsidR="002D15F8">
        <w:rPr>
          <w:rStyle w:val="FootnoteReference"/>
          <w:rFonts w:ascii="Arial" w:hAnsi="Arial" w:cs="Arial"/>
          <w:sz w:val="24"/>
          <w:szCs w:val="24"/>
        </w:rPr>
        <w:footnoteReference w:id="18"/>
      </w:r>
      <w:r w:rsidR="005325C2">
        <w:rPr>
          <w:rFonts w:ascii="Arial" w:hAnsi="Arial" w:cs="Arial"/>
          <w:sz w:val="24"/>
          <w:szCs w:val="24"/>
        </w:rPr>
        <w:t xml:space="preserve"> if </w:t>
      </w:r>
      <w:r w:rsidR="005325C2" w:rsidRPr="005325C2">
        <w:rPr>
          <w:rFonts w:ascii="Arial" w:hAnsi="Arial" w:cs="Arial"/>
          <w:color w:val="000000" w:themeColor="text1"/>
          <w:sz w:val="24"/>
          <w:szCs w:val="24"/>
        </w:rPr>
        <w:t xml:space="preserve">at the time of the assault, the person with the claim was a </w:t>
      </w:r>
      <w:r w:rsidR="005325C2" w:rsidRPr="005325C2">
        <w:rPr>
          <w:rFonts w:ascii="Arial" w:hAnsi="Arial" w:cs="Arial"/>
          <w:color w:val="000000" w:themeColor="text1"/>
          <w:sz w:val="24"/>
          <w:szCs w:val="24"/>
          <w:u w:val="single"/>
        </w:rPr>
        <w:t>minor</w:t>
      </w:r>
      <w:r w:rsidR="005325C2" w:rsidRPr="005325C2">
        <w:rPr>
          <w:rFonts w:ascii="Arial" w:hAnsi="Arial" w:cs="Arial"/>
          <w:color w:val="000000" w:themeColor="text1"/>
          <w:sz w:val="24"/>
          <w:szCs w:val="24"/>
        </w:rPr>
        <w:t xml:space="preserve"> or if the parties had an intimate </w:t>
      </w:r>
      <w:r w:rsidR="005325C2" w:rsidRPr="005325C2">
        <w:rPr>
          <w:rFonts w:ascii="Arial" w:hAnsi="Arial" w:cs="Arial"/>
          <w:color w:val="000000" w:themeColor="text1"/>
          <w:sz w:val="24"/>
          <w:szCs w:val="24"/>
        </w:rPr>
        <w:lastRenderedPageBreak/>
        <w:t>relationship or there is a relationship of dependence</w:t>
      </w:r>
      <w:r w:rsidR="005325C2">
        <w:rPr>
          <w:rFonts w:ascii="Arial" w:hAnsi="Arial" w:cs="Arial"/>
          <w:color w:val="000000" w:themeColor="text1"/>
          <w:sz w:val="24"/>
          <w:szCs w:val="24"/>
        </w:rPr>
        <w:t>.</w:t>
      </w:r>
      <w:r w:rsidR="00716229">
        <w:rPr>
          <w:rStyle w:val="FootnoteReference"/>
          <w:rFonts w:ascii="Arial" w:hAnsi="Arial" w:cs="Arial"/>
          <w:color w:val="000000" w:themeColor="text1"/>
          <w:sz w:val="24"/>
          <w:szCs w:val="24"/>
        </w:rPr>
        <w:footnoteReference w:id="19"/>
      </w:r>
      <w:r w:rsidR="00716229">
        <w:rPr>
          <w:rFonts w:ascii="Arial" w:hAnsi="Arial" w:cs="Arial"/>
          <w:color w:val="000000" w:themeColor="text1"/>
          <w:sz w:val="24"/>
          <w:szCs w:val="24"/>
        </w:rPr>
        <w:t xml:space="preserve"> The removal of the limitation period applies retrospectively</w:t>
      </w:r>
      <w:r w:rsidR="002D15F8">
        <w:rPr>
          <w:rFonts w:ascii="Arial" w:hAnsi="Arial" w:cs="Arial"/>
          <w:color w:val="000000" w:themeColor="text1"/>
          <w:sz w:val="24"/>
          <w:szCs w:val="24"/>
        </w:rPr>
        <w:t>.</w:t>
      </w:r>
    </w:p>
    <w:p w14:paraId="6B7AC0BF" w14:textId="55ED5B25" w:rsidR="00B64D35" w:rsidRPr="00281FC0" w:rsidRDefault="00281FC0" w:rsidP="009E21DE">
      <w:pPr>
        <w:spacing w:after="0" w:line="240" w:lineRule="auto"/>
        <w:ind w:left="567"/>
        <w:rPr>
          <w:rFonts w:ascii="Arial" w:eastAsia="Times New Roman" w:hAnsi="Arial" w:cs="Arial"/>
          <w:b/>
          <w:i/>
          <w:color w:val="000000"/>
          <w:sz w:val="24"/>
          <w:szCs w:val="24"/>
          <w:lang w:eastAsia="en-NZ"/>
        </w:rPr>
      </w:pPr>
      <w:r>
        <w:rPr>
          <w:rFonts w:ascii="Arial" w:eastAsia="Times New Roman" w:hAnsi="Arial" w:cs="Arial"/>
          <w:b/>
          <w:i/>
          <w:color w:val="000000"/>
          <w:sz w:val="24"/>
          <w:szCs w:val="24"/>
          <w:lang w:eastAsia="en-NZ"/>
        </w:rPr>
        <w:t>Civil litigation: Vicarious liability</w:t>
      </w:r>
    </w:p>
    <w:p w14:paraId="65540B32" w14:textId="643E6CCE" w:rsidR="00B64D35" w:rsidRDefault="00B64D35" w:rsidP="009E21DE">
      <w:pPr>
        <w:spacing w:after="0" w:line="240" w:lineRule="auto"/>
        <w:ind w:left="567"/>
        <w:rPr>
          <w:rFonts w:ascii="Arial" w:eastAsia="Times New Roman" w:hAnsi="Arial" w:cs="Arial"/>
          <w:color w:val="000000"/>
          <w:sz w:val="24"/>
          <w:szCs w:val="24"/>
          <w:lang w:eastAsia="en-NZ"/>
        </w:rPr>
      </w:pPr>
    </w:p>
    <w:p w14:paraId="7475A707" w14:textId="212A38E2" w:rsidR="00281FC0" w:rsidRPr="00A478E7" w:rsidRDefault="00281FC0" w:rsidP="00132136">
      <w:pPr>
        <w:pStyle w:val="ListParagraph"/>
        <w:numPr>
          <w:ilvl w:val="0"/>
          <w:numId w:val="50"/>
        </w:numPr>
        <w:spacing w:after="120"/>
        <w:ind w:left="1134" w:hanging="567"/>
        <w:contextualSpacing w:val="0"/>
        <w:rPr>
          <w:rFonts w:ascii="Arial" w:hAnsi="Arial" w:cs="Arial"/>
          <w:sz w:val="24"/>
          <w:szCs w:val="24"/>
        </w:rPr>
      </w:pPr>
      <w:r w:rsidRPr="00A478E7">
        <w:rPr>
          <w:rFonts w:ascii="Arial" w:hAnsi="Arial" w:cs="Arial"/>
          <w:sz w:val="24"/>
          <w:szCs w:val="24"/>
        </w:rPr>
        <w:t xml:space="preserve">The Canadian courts apply vicarious liability broadly and have adopted an ‘enterprise risk’ theory of liability. The theory is premised on the notion that the organisation who creates or exacerbates an existing risk should bear the loss when the risk becomes real and harm eventuates. The leading cases remain </w:t>
      </w:r>
      <w:r w:rsidRPr="00A478E7">
        <w:rPr>
          <w:rFonts w:ascii="Arial" w:hAnsi="Arial" w:cs="Arial"/>
          <w:i/>
          <w:sz w:val="24"/>
          <w:szCs w:val="24"/>
        </w:rPr>
        <w:t>Bazley v Curry</w:t>
      </w:r>
      <w:r w:rsidR="00DA59FF">
        <w:rPr>
          <w:rFonts w:ascii="Arial" w:hAnsi="Arial" w:cs="Arial"/>
          <w:i/>
          <w:sz w:val="24"/>
          <w:szCs w:val="24"/>
        </w:rPr>
        <w:t xml:space="preserve"> </w:t>
      </w:r>
      <w:r w:rsidR="00DA59FF">
        <w:rPr>
          <w:rFonts w:ascii="Arial" w:hAnsi="Arial" w:cs="Arial"/>
          <w:iCs/>
          <w:sz w:val="24"/>
          <w:szCs w:val="24"/>
        </w:rPr>
        <w:t>[</w:t>
      </w:r>
      <w:r w:rsidR="00684531">
        <w:rPr>
          <w:rFonts w:ascii="Arial" w:hAnsi="Arial" w:cs="Arial"/>
          <w:iCs/>
          <w:sz w:val="24"/>
          <w:szCs w:val="24"/>
        </w:rPr>
        <w:t xml:space="preserve">1999] </w:t>
      </w:r>
      <w:r w:rsidR="00DA59FF">
        <w:rPr>
          <w:rFonts w:ascii="Arial" w:hAnsi="Arial" w:cs="Arial"/>
          <w:iCs/>
          <w:sz w:val="24"/>
          <w:szCs w:val="24"/>
        </w:rPr>
        <w:t xml:space="preserve">2 SCR 534 </w:t>
      </w:r>
      <w:r w:rsidRPr="00A478E7">
        <w:rPr>
          <w:rFonts w:ascii="Arial" w:hAnsi="Arial" w:cs="Arial"/>
          <w:sz w:val="24"/>
          <w:szCs w:val="24"/>
        </w:rPr>
        <w:t xml:space="preserve">and </w:t>
      </w:r>
      <w:r w:rsidRPr="00A478E7">
        <w:rPr>
          <w:rFonts w:ascii="Arial" w:hAnsi="Arial" w:cs="Arial"/>
          <w:i/>
          <w:sz w:val="24"/>
          <w:szCs w:val="24"/>
        </w:rPr>
        <w:t>Jacobi v Griffith</w:t>
      </w:r>
      <w:r w:rsidR="00DA59FF">
        <w:rPr>
          <w:rFonts w:ascii="Arial" w:hAnsi="Arial" w:cs="Arial"/>
          <w:i/>
          <w:sz w:val="24"/>
          <w:szCs w:val="24"/>
        </w:rPr>
        <w:t>s</w:t>
      </w:r>
      <w:r w:rsidR="00DA59FF">
        <w:rPr>
          <w:rFonts w:ascii="Arial" w:hAnsi="Arial" w:cs="Arial"/>
          <w:iCs/>
          <w:sz w:val="24"/>
          <w:szCs w:val="24"/>
        </w:rPr>
        <w:t xml:space="preserve"> [1999] 2 SCR 570</w:t>
      </w:r>
      <w:r w:rsidR="00DA59FF">
        <w:rPr>
          <w:rFonts w:ascii="Arial" w:hAnsi="Arial" w:cs="Arial"/>
          <w:i/>
          <w:sz w:val="24"/>
          <w:szCs w:val="24"/>
        </w:rPr>
        <w:t>.</w:t>
      </w:r>
      <w:r w:rsidRPr="00A478E7">
        <w:rPr>
          <w:rFonts w:ascii="Arial" w:hAnsi="Arial" w:cs="Arial"/>
          <w:i/>
          <w:sz w:val="24"/>
          <w:szCs w:val="24"/>
        </w:rPr>
        <w:t xml:space="preserve"> </w:t>
      </w:r>
      <w:r w:rsidRPr="00A478E7">
        <w:rPr>
          <w:rFonts w:ascii="Arial" w:hAnsi="Arial" w:cs="Arial"/>
          <w:sz w:val="24"/>
          <w:szCs w:val="24"/>
        </w:rPr>
        <w:t xml:space="preserve">The court held that employers should be held liable for unauthorized acts of its employees where the </w:t>
      </w:r>
      <w:r w:rsidR="00A478E7">
        <w:rPr>
          <w:rFonts w:ascii="Arial" w:hAnsi="Arial" w:cs="Arial"/>
          <w:sz w:val="24"/>
          <w:szCs w:val="24"/>
        </w:rPr>
        <w:t>acts of the employee</w:t>
      </w:r>
      <w:r w:rsidRPr="00A478E7">
        <w:rPr>
          <w:rFonts w:ascii="Arial" w:hAnsi="Arial" w:cs="Arial"/>
          <w:sz w:val="24"/>
          <w:szCs w:val="24"/>
        </w:rPr>
        <w:t xml:space="preserve"> falls within the ambit of the risk.</w:t>
      </w:r>
    </w:p>
    <w:p w14:paraId="6095B98B" w14:textId="77777777" w:rsidR="00281FC0" w:rsidRPr="00A478E7" w:rsidRDefault="00281FC0" w:rsidP="00132136">
      <w:pPr>
        <w:pStyle w:val="ListParagraph"/>
        <w:numPr>
          <w:ilvl w:val="0"/>
          <w:numId w:val="50"/>
        </w:numPr>
        <w:spacing w:after="120"/>
        <w:ind w:left="1134" w:hanging="567"/>
        <w:contextualSpacing w:val="0"/>
        <w:rPr>
          <w:rFonts w:ascii="Arial" w:hAnsi="Arial" w:cs="Arial"/>
          <w:sz w:val="24"/>
          <w:szCs w:val="24"/>
        </w:rPr>
      </w:pPr>
      <w:r w:rsidRPr="00A478E7">
        <w:rPr>
          <w:rFonts w:ascii="Arial" w:hAnsi="Arial" w:cs="Arial"/>
          <w:sz w:val="24"/>
          <w:szCs w:val="24"/>
        </w:rPr>
        <w:t>The test applied by the courts is whether there is a ‘significant connection between the creation or enhancement of a risk and the wrong that accrues therefrom, even if unrelated to the employer’s desires.’</w:t>
      </w:r>
    </w:p>
    <w:p w14:paraId="339015DC" w14:textId="77777777" w:rsidR="007014E7" w:rsidRDefault="007014E7" w:rsidP="007014E7">
      <w:pPr>
        <w:pStyle w:val="Heading2"/>
        <w:ind w:left="567"/>
        <w:rPr>
          <w:rFonts w:ascii="Arial" w:hAnsi="Arial" w:cs="Arial"/>
          <w:b/>
          <w:color w:val="000000" w:themeColor="text1"/>
          <w:sz w:val="24"/>
          <w:szCs w:val="24"/>
          <w:lang w:val="en-NZ"/>
        </w:rPr>
      </w:pPr>
    </w:p>
    <w:p w14:paraId="17C25C05" w14:textId="77777777" w:rsidR="004C6574" w:rsidRDefault="004C6574">
      <w:pPr>
        <w:rPr>
          <w:rFonts w:ascii="Arial" w:hAnsi="Arial" w:cs="Arial"/>
          <w:b/>
          <w:sz w:val="24"/>
          <w:szCs w:val="24"/>
        </w:rPr>
      </w:pPr>
      <w:r>
        <w:rPr>
          <w:rFonts w:ascii="Arial" w:hAnsi="Arial" w:cs="Arial"/>
          <w:b/>
          <w:sz w:val="24"/>
          <w:szCs w:val="24"/>
        </w:rPr>
        <w:br w:type="page"/>
      </w:r>
    </w:p>
    <w:p w14:paraId="0B4A7D3D" w14:textId="5FE2B839" w:rsidR="009024C3" w:rsidRDefault="009024C3" w:rsidP="00DE3B17">
      <w:pPr>
        <w:pStyle w:val="NoSpacing"/>
        <w:numPr>
          <w:ilvl w:val="0"/>
          <w:numId w:val="5"/>
        </w:numPr>
        <w:spacing w:line="360" w:lineRule="auto"/>
        <w:ind w:left="1134" w:hanging="567"/>
        <w:rPr>
          <w:rFonts w:ascii="Arial" w:hAnsi="Arial" w:cs="Arial"/>
          <w:b/>
          <w:sz w:val="24"/>
          <w:szCs w:val="24"/>
        </w:rPr>
      </w:pPr>
      <w:r>
        <w:rPr>
          <w:rFonts w:ascii="Arial" w:hAnsi="Arial" w:cs="Arial"/>
          <w:b/>
          <w:sz w:val="24"/>
          <w:szCs w:val="24"/>
        </w:rPr>
        <w:lastRenderedPageBreak/>
        <w:t xml:space="preserve">ENGLAND AND WALES </w:t>
      </w:r>
    </w:p>
    <w:p w14:paraId="43B345A8" w14:textId="77777777" w:rsidR="009024C3" w:rsidRPr="000F1074" w:rsidRDefault="009024C3" w:rsidP="00DE3B17">
      <w:pPr>
        <w:pStyle w:val="NoSpacing"/>
        <w:spacing w:line="360" w:lineRule="auto"/>
        <w:ind w:left="567"/>
        <w:rPr>
          <w:rFonts w:ascii="Arial" w:hAnsi="Arial" w:cs="Arial"/>
          <w:b/>
          <w:bCs/>
          <w:sz w:val="24"/>
          <w:szCs w:val="24"/>
        </w:rPr>
      </w:pPr>
      <w:r w:rsidRPr="000F1074">
        <w:rPr>
          <w:rFonts w:ascii="Arial" w:hAnsi="Arial" w:cs="Arial"/>
          <w:b/>
          <w:bCs/>
          <w:sz w:val="24"/>
          <w:szCs w:val="24"/>
        </w:rPr>
        <w:t>England and Wales Independent Inquiry into Child Sexual Abuse</w:t>
      </w:r>
    </w:p>
    <w:p w14:paraId="4F841639" w14:textId="2649CA33" w:rsidR="009024C3" w:rsidRDefault="009024C3" w:rsidP="00132136">
      <w:pPr>
        <w:pStyle w:val="NoSpacing"/>
        <w:numPr>
          <w:ilvl w:val="0"/>
          <w:numId w:val="51"/>
        </w:numPr>
        <w:spacing w:after="120" w:line="259" w:lineRule="auto"/>
        <w:ind w:left="1134" w:hanging="567"/>
        <w:rPr>
          <w:rFonts w:ascii="Arial" w:hAnsi="Arial" w:cs="Arial"/>
          <w:sz w:val="24"/>
          <w:szCs w:val="24"/>
        </w:rPr>
      </w:pPr>
      <w:r>
        <w:rPr>
          <w:rFonts w:ascii="Arial" w:hAnsi="Arial" w:cs="Arial"/>
          <w:sz w:val="24"/>
          <w:szCs w:val="24"/>
        </w:rPr>
        <w:t>In September 2019 t</w:t>
      </w:r>
      <w:r w:rsidRPr="00CA17B3">
        <w:rPr>
          <w:rFonts w:ascii="Arial" w:hAnsi="Arial" w:cs="Arial"/>
          <w:sz w:val="24"/>
          <w:szCs w:val="24"/>
        </w:rPr>
        <w:t>he Independent Inquiry into Child Sexual Abuse</w:t>
      </w:r>
      <w:r>
        <w:rPr>
          <w:rFonts w:ascii="Arial" w:hAnsi="Arial" w:cs="Arial"/>
          <w:sz w:val="24"/>
          <w:szCs w:val="24"/>
        </w:rPr>
        <w:t xml:space="preserve"> (</w:t>
      </w:r>
      <w:r w:rsidRPr="000F1074">
        <w:rPr>
          <w:rFonts w:ascii="Arial" w:hAnsi="Arial" w:cs="Arial"/>
          <w:b/>
          <w:bCs/>
          <w:sz w:val="24"/>
          <w:szCs w:val="24"/>
        </w:rPr>
        <w:t>IICSA</w:t>
      </w:r>
      <w:r>
        <w:rPr>
          <w:rFonts w:ascii="Arial" w:hAnsi="Arial" w:cs="Arial"/>
          <w:sz w:val="24"/>
          <w:szCs w:val="24"/>
        </w:rPr>
        <w:t>) issued its’ Accountability and Reparations Investigation Report</w:t>
      </w:r>
      <w:r>
        <w:rPr>
          <w:rStyle w:val="FootnoteReference"/>
          <w:rFonts w:ascii="Arial" w:hAnsi="Arial" w:cs="Arial"/>
          <w:sz w:val="24"/>
          <w:szCs w:val="24"/>
        </w:rPr>
        <w:footnoteReference w:id="20"/>
      </w:r>
      <w:r>
        <w:rPr>
          <w:rFonts w:ascii="Arial" w:hAnsi="Arial" w:cs="Arial"/>
          <w:sz w:val="24"/>
          <w:szCs w:val="24"/>
        </w:rPr>
        <w:t xml:space="preserve"> (</w:t>
      </w:r>
      <w:r>
        <w:rPr>
          <w:rFonts w:ascii="Arial" w:hAnsi="Arial" w:cs="Arial"/>
          <w:b/>
          <w:bCs/>
          <w:sz w:val="24"/>
          <w:szCs w:val="24"/>
        </w:rPr>
        <w:t>Accountability and Reparation Report</w:t>
      </w:r>
      <w:r>
        <w:rPr>
          <w:rFonts w:ascii="Arial" w:hAnsi="Arial" w:cs="Arial"/>
          <w:sz w:val="24"/>
          <w:szCs w:val="24"/>
        </w:rPr>
        <w:t>).  The matters relevant to redress and rehabilitation processes</w:t>
      </w:r>
      <w:r w:rsidR="00BB1064">
        <w:rPr>
          <w:rFonts w:ascii="Arial" w:hAnsi="Arial" w:cs="Arial"/>
          <w:sz w:val="24"/>
          <w:szCs w:val="24"/>
        </w:rPr>
        <w:t>, including civil litigation,</w:t>
      </w:r>
      <w:r>
        <w:rPr>
          <w:rFonts w:ascii="Arial" w:hAnsi="Arial" w:cs="Arial"/>
          <w:sz w:val="24"/>
          <w:szCs w:val="24"/>
        </w:rPr>
        <w:t xml:space="preserve"> included:</w:t>
      </w:r>
    </w:p>
    <w:p w14:paraId="242F1538" w14:textId="271661CE" w:rsidR="00350C27" w:rsidRDefault="00350C27" w:rsidP="00132136">
      <w:pPr>
        <w:pStyle w:val="NoSpacing"/>
        <w:numPr>
          <w:ilvl w:val="0"/>
          <w:numId w:val="46"/>
        </w:numPr>
        <w:spacing w:after="120" w:line="259" w:lineRule="auto"/>
        <w:ind w:left="1928" w:hanging="794"/>
        <w:rPr>
          <w:rFonts w:ascii="Arial" w:hAnsi="Arial" w:cs="Arial"/>
          <w:sz w:val="24"/>
          <w:szCs w:val="24"/>
        </w:rPr>
      </w:pPr>
      <w:r w:rsidRPr="00350C27">
        <w:rPr>
          <w:rFonts w:ascii="Arial" w:hAnsi="Arial" w:cs="Arial"/>
          <w:sz w:val="24"/>
          <w:szCs w:val="24"/>
        </w:rPr>
        <w:t>Ensuring victims and survivors</w:t>
      </w:r>
      <w:r>
        <w:rPr>
          <w:rFonts w:ascii="Arial" w:hAnsi="Arial" w:cs="Arial"/>
          <w:sz w:val="24"/>
          <w:szCs w:val="24"/>
        </w:rPr>
        <w:t xml:space="preserve"> are aware of their rights to compensation within the criminal and civil justice systems</w:t>
      </w:r>
      <w:r w:rsidR="0097017A">
        <w:rPr>
          <w:rFonts w:ascii="Arial" w:hAnsi="Arial" w:cs="Arial"/>
          <w:sz w:val="24"/>
          <w:szCs w:val="24"/>
        </w:rPr>
        <w:t xml:space="preserve"> and provided with assistance with applying for compensation should they require it</w:t>
      </w:r>
    </w:p>
    <w:p w14:paraId="20B2DEE6" w14:textId="64814794" w:rsidR="00DC3FCD" w:rsidRDefault="00DC3FCD" w:rsidP="00132136">
      <w:pPr>
        <w:pStyle w:val="NoSpacing"/>
        <w:numPr>
          <w:ilvl w:val="0"/>
          <w:numId w:val="46"/>
        </w:numPr>
        <w:spacing w:after="120" w:line="259" w:lineRule="auto"/>
        <w:ind w:left="1928" w:hanging="794"/>
        <w:rPr>
          <w:rFonts w:ascii="Arial" w:hAnsi="Arial" w:cs="Arial"/>
          <w:sz w:val="24"/>
          <w:szCs w:val="24"/>
        </w:rPr>
      </w:pPr>
      <w:r>
        <w:rPr>
          <w:rFonts w:ascii="Arial" w:hAnsi="Arial" w:cs="Arial"/>
          <w:sz w:val="24"/>
          <w:szCs w:val="24"/>
        </w:rPr>
        <w:t>Processes for referring victims and survivors to organisations who can provide specialised help and assistance</w:t>
      </w:r>
    </w:p>
    <w:p w14:paraId="014BA9B0" w14:textId="30CC5ADC" w:rsidR="00350C27" w:rsidRDefault="00350C27" w:rsidP="00132136">
      <w:pPr>
        <w:pStyle w:val="NoSpacing"/>
        <w:numPr>
          <w:ilvl w:val="0"/>
          <w:numId w:val="46"/>
        </w:numPr>
        <w:spacing w:after="120" w:line="259" w:lineRule="auto"/>
        <w:ind w:left="1928" w:hanging="794"/>
        <w:rPr>
          <w:rFonts w:ascii="Arial" w:hAnsi="Arial" w:cs="Arial"/>
          <w:sz w:val="24"/>
          <w:szCs w:val="24"/>
        </w:rPr>
      </w:pPr>
      <w:r>
        <w:rPr>
          <w:rFonts w:ascii="Arial" w:hAnsi="Arial" w:cs="Arial"/>
          <w:sz w:val="24"/>
          <w:szCs w:val="24"/>
        </w:rPr>
        <w:t>Recognising the special circumstances of victims and survivors of child sexual abuse and the need to treat claims differently from other forms of personal injury litigation</w:t>
      </w:r>
    </w:p>
    <w:p w14:paraId="2AC67A79" w14:textId="3DCD6CB0" w:rsidR="0097017A" w:rsidRDefault="00DC3FCD" w:rsidP="00132136">
      <w:pPr>
        <w:pStyle w:val="NoSpacing"/>
        <w:numPr>
          <w:ilvl w:val="0"/>
          <w:numId w:val="46"/>
        </w:numPr>
        <w:spacing w:after="120" w:line="259" w:lineRule="auto"/>
        <w:ind w:left="1928" w:hanging="794"/>
        <w:rPr>
          <w:rFonts w:ascii="Arial" w:hAnsi="Arial" w:cs="Arial"/>
          <w:sz w:val="24"/>
          <w:szCs w:val="24"/>
        </w:rPr>
      </w:pPr>
      <w:r>
        <w:rPr>
          <w:rFonts w:ascii="Arial" w:hAnsi="Arial" w:cs="Arial"/>
          <w:sz w:val="24"/>
          <w:szCs w:val="24"/>
        </w:rPr>
        <w:t>Limiting the use of defences such as the defence of limitation to exceptional circumstances</w:t>
      </w:r>
    </w:p>
    <w:p w14:paraId="0CCF7568" w14:textId="47389516" w:rsidR="00DC3FCD" w:rsidRDefault="00DC3FCD" w:rsidP="00132136">
      <w:pPr>
        <w:pStyle w:val="NoSpacing"/>
        <w:numPr>
          <w:ilvl w:val="0"/>
          <w:numId w:val="46"/>
        </w:numPr>
        <w:spacing w:after="120" w:line="259" w:lineRule="auto"/>
        <w:ind w:left="1928" w:hanging="794"/>
        <w:rPr>
          <w:rFonts w:ascii="Arial" w:hAnsi="Arial" w:cs="Arial"/>
          <w:sz w:val="24"/>
          <w:szCs w:val="24"/>
        </w:rPr>
      </w:pPr>
      <w:r>
        <w:rPr>
          <w:rFonts w:ascii="Arial" w:hAnsi="Arial" w:cs="Arial"/>
          <w:sz w:val="24"/>
          <w:szCs w:val="24"/>
        </w:rPr>
        <w:t>Assisting victims and survivors (and their legal representatives) with identifying whether a defendant has access to appropriate insurance</w:t>
      </w:r>
    </w:p>
    <w:p w14:paraId="3BD01930" w14:textId="4A258995" w:rsidR="001229FA" w:rsidRDefault="001229FA" w:rsidP="00132136">
      <w:pPr>
        <w:pStyle w:val="NoSpacing"/>
        <w:numPr>
          <w:ilvl w:val="0"/>
          <w:numId w:val="46"/>
        </w:numPr>
        <w:spacing w:after="120" w:line="259" w:lineRule="auto"/>
        <w:ind w:left="1928" w:hanging="794"/>
        <w:rPr>
          <w:rFonts w:ascii="Arial" w:hAnsi="Arial" w:cs="Arial"/>
          <w:sz w:val="24"/>
          <w:szCs w:val="24"/>
        </w:rPr>
      </w:pPr>
      <w:r>
        <w:rPr>
          <w:rFonts w:ascii="Arial" w:hAnsi="Arial" w:cs="Arial"/>
          <w:sz w:val="24"/>
          <w:szCs w:val="24"/>
        </w:rPr>
        <w:t>Ensuring cal</w:t>
      </w:r>
      <w:r w:rsidR="00350C27">
        <w:rPr>
          <w:rFonts w:ascii="Arial" w:hAnsi="Arial" w:cs="Arial"/>
          <w:sz w:val="24"/>
          <w:szCs w:val="24"/>
        </w:rPr>
        <w:t xml:space="preserve">culations of compensation for victims and survivors of </w:t>
      </w:r>
      <w:r>
        <w:rPr>
          <w:rFonts w:ascii="Arial" w:hAnsi="Arial" w:cs="Arial"/>
          <w:sz w:val="24"/>
          <w:szCs w:val="24"/>
        </w:rPr>
        <w:t>child sexual abuse reflect full range of harms and their long-term impa</w:t>
      </w:r>
      <w:r w:rsidR="00337BFB">
        <w:rPr>
          <w:rFonts w:ascii="Arial" w:hAnsi="Arial" w:cs="Arial"/>
          <w:sz w:val="24"/>
          <w:szCs w:val="24"/>
        </w:rPr>
        <w:t>ct</w:t>
      </w:r>
    </w:p>
    <w:p w14:paraId="1BD4AC79" w14:textId="77777777" w:rsidR="00337BFB" w:rsidRDefault="00337BFB" w:rsidP="00132136">
      <w:pPr>
        <w:pStyle w:val="NoSpacing"/>
        <w:numPr>
          <w:ilvl w:val="0"/>
          <w:numId w:val="46"/>
        </w:numPr>
        <w:spacing w:after="120" w:line="259" w:lineRule="auto"/>
        <w:ind w:left="1928" w:hanging="794"/>
        <w:rPr>
          <w:rFonts w:ascii="Arial" w:hAnsi="Arial" w:cs="Arial"/>
          <w:sz w:val="24"/>
          <w:szCs w:val="24"/>
        </w:rPr>
      </w:pPr>
      <w:r>
        <w:rPr>
          <w:rFonts w:ascii="Arial" w:hAnsi="Arial" w:cs="Arial"/>
          <w:sz w:val="24"/>
          <w:szCs w:val="24"/>
        </w:rPr>
        <w:t>Providing protection for victims and survivors who give evidence during civil claims cases</w:t>
      </w:r>
    </w:p>
    <w:p w14:paraId="73D67B91" w14:textId="0B56CBCA" w:rsidR="00337BFB" w:rsidRDefault="00337BFB" w:rsidP="00132136">
      <w:pPr>
        <w:pStyle w:val="NoSpacing"/>
        <w:numPr>
          <w:ilvl w:val="0"/>
          <w:numId w:val="46"/>
        </w:numPr>
        <w:spacing w:after="120" w:line="259" w:lineRule="auto"/>
        <w:ind w:left="1928" w:hanging="794"/>
        <w:rPr>
          <w:rFonts w:ascii="Arial" w:hAnsi="Arial" w:cs="Arial"/>
          <w:sz w:val="24"/>
          <w:szCs w:val="24"/>
        </w:rPr>
      </w:pPr>
      <w:r>
        <w:rPr>
          <w:rFonts w:ascii="Arial" w:hAnsi="Arial" w:cs="Arial"/>
          <w:sz w:val="24"/>
          <w:szCs w:val="24"/>
        </w:rPr>
        <w:t>Minimising trauma associated with assessment of injuries by medical experts</w:t>
      </w:r>
    </w:p>
    <w:p w14:paraId="0FF5E318" w14:textId="77777777" w:rsidR="00337BFB" w:rsidRDefault="00337BFB" w:rsidP="00132136">
      <w:pPr>
        <w:pStyle w:val="NoSpacing"/>
        <w:numPr>
          <w:ilvl w:val="0"/>
          <w:numId w:val="46"/>
        </w:numPr>
        <w:spacing w:after="120" w:line="259" w:lineRule="auto"/>
        <w:ind w:left="1928" w:hanging="794"/>
        <w:rPr>
          <w:rFonts w:ascii="Arial" w:hAnsi="Arial" w:cs="Arial"/>
          <w:sz w:val="24"/>
          <w:szCs w:val="24"/>
        </w:rPr>
      </w:pPr>
      <w:r>
        <w:rPr>
          <w:rFonts w:ascii="Arial" w:hAnsi="Arial" w:cs="Arial"/>
          <w:sz w:val="24"/>
          <w:szCs w:val="24"/>
        </w:rPr>
        <w:t>Ensuring those responsible for handling compensation claims by victims and survivors of child sexual abuse receive appropriate training</w:t>
      </w:r>
    </w:p>
    <w:p w14:paraId="7A7ED45E" w14:textId="0BA3D45B" w:rsidR="009024C3" w:rsidRPr="00DC3FCD" w:rsidRDefault="00337BFB" w:rsidP="00132136">
      <w:pPr>
        <w:pStyle w:val="NoSpacing"/>
        <w:numPr>
          <w:ilvl w:val="0"/>
          <w:numId w:val="51"/>
        </w:numPr>
        <w:spacing w:after="120" w:line="259" w:lineRule="auto"/>
        <w:ind w:left="1134" w:hanging="567"/>
        <w:rPr>
          <w:rFonts w:ascii="Arial" w:hAnsi="Arial" w:cs="Arial"/>
          <w:sz w:val="24"/>
          <w:szCs w:val="24"/>
        </w:rPr>
      </w:pPr>
      <w:r w:rsidRPr="00DC3FCD">
        <w:rPr>
          <w:rFonts w:ascii="Arial" w:hAnsi="Arial" w:cs="Arial"/>
          <w:sz w:val="24"/>
          <w:szCs w:val="24"/>
        </w:rPr>
        <w:t xml:space="preserve"> </w:t>
      </w:r>
      <w:r w:rsidR="009024C3" w:rsidRPr="00DC3FCD">
        <w:rPr>
          <w:rFonts w:ascii="Arial" w:hAnsi="Arial" w:cs="Arial"/>
          <w:sz w:val="24"/>
          <w:szCs w:val="24"/>
        </w:rPr>
        <w:t>In the Accountability and Reparation Report, IICSA signalled its’ intention to inquire further into:</w:t>
      </w:r>
    </w:p>
    <w:p w14:paraId="6EA6067E" w14:textId="77777777" w:rsidR="009024C3" w:rsidRDefault="009024C3" w:rsidP="00132136">
      <w:pPr>
        <w:pStyle w:val="NoSpacing"/>
        <w:numPr>
          <w:ilvl w:val="0"/>
          <w:numId w:val="43"/>
        </w:numPr>
        <w:spacing w:line="259" w:lineRule="auto"/>
        <w:ind w:left="1928" w:hanging="794"/>
        <w:rPr>
          <w:rFonts w:ascii="Arial" w:hAnsi="Arial" w:cs="Arial"/>
          <w:sz w:val="24"/>
          <w:szCs w:val="24"/>
        </w:rPr>
      </w:pPr>
      <w:r>
        <w:rPr>
          <w:rFonts w:ascii="Arial" w:hAnsi="Arial" w:cs="Arial"/>
          <w:sz w:val="24"/>
          <w:szCs w:val="24"/>
        </w:rPr>
        <w:t>Whether the law of limitation should be reformed to make it easier for victims and survivors to bring claims in respect of non-recent child sexual abuse.</w:t>
      </w:r>
    </w:p>
    <w:p w14:paraId="725402C9" w14:textId="77777777" w:rsidR="009024C3" w:rsidRDefault="009024C3" w:rsidP="00132136">
      <w:pPr>
        <w:pStyle w:val="NoSpacing"/>
        <w:numPr>
          <w:ilvl w:val="0"/>
          <w:numId w:val="43"/>
        </w:numPr>
        <w:spacing w:after="120" w:line="259" w:lineRule="auto"/>
        <w:ind w:left="1928" w:hanging="794"/>
        <w:rPr>
          <w:rFonts w:ascii="Arial" w:hAnsi="Arial" w:cs="Arial"/>
          <w:sz w:val="24"/>
          <w:szCs w:val="24"/>
        </w:rPr>
      </w:pPr>
      <w:r>
        <w:rPr>
          <w:rFonts w:ascii="Arial" w:hAnsi="Arial" w:cs="Arial"/>
          <w:sz w:val="24"/>
          <w:szCs w:val="24"/>
        </w:rPr>
        <w:t>The potential for a redress scheme to offer accountability and reparations to victims and survivors of child sexual abuse.</w:t>
      </w:r>
    </w:p>
    <w:p w14:paraId="1BFBD255" w14:textId="77777777" w:rsidR="009024C3" w:rsidRDefault="009024C3" w:rsidP="00132136">
      <w:pPr>
        <w:pStyle w:val="NoSpacing"/>
        <w:numPr>
          <w:ilvl w:val="0"/>
          <w:numId w:val="52"/>
        </w:numPr>
        <w:spacing w:after="120" w:line="259" w:lineRule="auto"/>
        <w:ind w:left="1134" w:hanging="567"/>
        <w:rPr>
          <w:rFonts w:ascii="Arial" w:hAnsi="Arial" w:cs="Arial"/>
          <w:sz w:val="24"/>
          <w:szCs w:val="24"/>
        </w:rPr>
      </w:pPr>
      <w:r>
        <w:rPr>
          <w:rFonts w:ascii="Arial" w:hAnsi="Arial" w:cs="Arial"/>
          <w:sz w:val="24"/>
          <w:szCs w:val="24"/>
        </w:rPr>
        <w:lastRenderedPageBreak/>
        <w:t>IICSA received further evidence about these matters at a public hearing held in November 2019.</w:t>
      </w:r>
    </w:p>
    <w:p w14:paraId="26C0BD5B" w14:textId="77777777" w:rsidR="009024C3" w:rsidRDefault="009024C3" w:rsidP="00132136">
      <w:pPr>
        <w:pStyle w:val="NoSpacing"/>
        <w:numPr>
          <w:ilvl w:val="0"/>
          <w:numId w:val="52"/>
        </w:numPr>
        <w:spacing w:after="120" w:line="259" w:lineRule="auto"/>
        <w:ind w:left="1134" w:hanging="567"/>
        <w:rPr>
          <w:rFonts w:ascii="Arial" w:hAnsi="Arial" w:cs="Arial"/>
          <w:sz w:val="24"/>
          <w:szCs w:val="24"/>
        </w:rPr>
      </w:pPr>
      <w:r>
        <w:rPr>
          <w:rFonts w:ascii="Arial" w:hAnsi="Arial" w:cs="Arial"/>
          <w:sz w:val="24"/>
          <w:szCs w:val="24"/>
        </w:rPr>
        <w:t>IICSA has, however, recommended that:</w:t>
      </w:r>
      <w:r>
        <w:rPr>
          <w:rStyle w:val="FootnoteReference"/>
          <w:rFonts w:ascii="Arial" w:hAnsi="Arial" w:cs="Arial"/>
          <w:sz w:val="24"/>
          <w:szCs w:val="24"/>
        </w:rPr>
        <w:footnoteReference w:id="21"/>
      </w:r>
    </w:p>
    <w:p w14:paraId="4B2D018F" w14:textId="77777777" w:rsidR="009024C3" w:rsidRPr="00852BB0" w:rsidRDefault="009024C3" w:rsidP="009024C3">
      <w:pPr>
        <w:pStyle w:val="NoSpacing"/>
        <w:spacing w:after="120" w:line="259" w:lineRule="auto"/>
        <w:ind w:left="1134"/>
        <w:rPr>
          <w:rFonts w:ascii="Arial" w:hAnsi="Arial" w:cs="Arial"/>
          <w:i/>
          <w:sz w:val="24"/>
          <w:szCs w:val="24"/>
        </w:rPr>
      </w:pPr>
      <w:r>
        <w:rPr>
          <w:rFonts w:ascii="Arial" w:hAnsi="Arial" w:cs="Arial"/>
          <w:i/>
          <w:sz w:val="24"/>
          <w:szCs w:val="24"/>
        </w:rPr>
        <w:t>The Government should introduce legislation revising the Compensation Act 2006 to clarify that section 2 facilitates apologies or offers of treatment or other redress to victims and survivors of child sexual abuse by institutions that may be vicariously liable for the actions or omissions of other persons, including the perpetrators.</w:t>
      </w:r>
    </w:p>
    <w:p w14:paraId="18A198F4" w14:textId="77777777" w:rsidR="009024C3" w:rsidRPr="00CA17B3" w:rsidRDefault="009024C3" w:rsidP="00132136">
      <w:pPr>
        <w:shd w:val="clear" w:color="auto" w:fill="FFFFFF"/>
        <w:spacing w:before="100" w:beforeAutospacing="1" w:after="100" w:afterAutospacing="1"/>
        <w:ind w:left="567"/>
        <w:rPr>
          <w:rFonts w:eastAsia="Times New Roman" w:cstheme="minorHAnsi"/>
          <w:b/>
          <w:color w:val="333333"/>
          <w:sz w:val="24"/>
          <w:szCs w:val="24"/>
          <w:lang w:val="en" w:eastAsia="en-NZ"/>
        </w:rPr>
      </w:pPr>
      <w:r w:rsidRPr="00CA17B3">
        <w:rPr>
          <w:rFonts w:ascii="Arial" w:hAnsi="Arial" w:cs="Arial"/>
          <w:b/>
          <w:i/>
          <w:sz w:val="24"/>
          <w:szCs w:val="24"/>
        </w:rPr>
        <w:t>Civil li</w:t>
      </w:r>
      <w:r>
        <w:rPr>
          <w:rFonts w:ascii="Arial" w:hAnsi="Arial" w:cs="Arial"/>
          <w:b/>
          <w:i/>
          <w:sz w:val="24"/>
          <w:szCs w:val="24"/>
        </w:rPr>
        <w:t>tigation</w:t>
      </w:r>
      <w:r w:rsidRPr="00CA17B3">
        <w:rPr>
          <w:rFonts w:ascii="Arial" w:hAnsi="Arial" w:cs="Arial"/>
          <w:b/>
          <w:i/>
          <w:sz w:val="24"/>
          <w:szCs w:val="24"/>
        </w:rPr>
        <w:t xml:space="preserve">: </w:t>
      </w:r>
      <w:r w:rsidRPr="00CA17B3">
        <w:rPr>
          <w:rFonts w:ascii="Arial" w:eastAsia="Times New Roman" w:hAnsi="Arial" w:cs="Arial"/>
          <w:b/>
          <w:i/>
          <w:color w:val="333333"/>
          <w:sz w:val="24"/>
          <w:szCs w:val="24"/>
          <w:lang w:val="en" w:eastAsia="en-NZ"/>
        </w:rPr>
        <w:t>Establishing liability of institutions for abuse</w:t>
      </w:r>
    </w:p>
    <w:p w14:paraId="0A757F7E" w14:textId="77777777" w:rsidR="009024C3" w:rsidRPr="00CA17B3" w:rsidRDefault="009024C3" w:rsidP="00132136">
      <w:pPr>
        <w:pStyle w:val="ListParagraph"/>
        <w:numPr>
          <w:ilvl w:val="0"/>
          <w:numId w:val="52"/>
        </w:numPr>
        <w:spacing w:after="120"/>
        <w:ind w:left="1134" w:hanging="567"/>
        <w:contextualSpacing w:val="0"/>
        <w:rPr>
          <w:rFonts w:ascii="Arial" w:hAnsi="Arial" w:cs="Arial"/>
          <w:sz w:val="24"/>
          <w:szCs w:val="24"/>
        </w:rPr>
      </w:pPr>
      <w:r w:rsidRPr="00CA17B3">
        <w:rPr>
          <w:rFonts w:ascii="Arial" w:hAnsi="Arial" w:cs="Arial"/>
          <w:sz w:val="24"/>
          <w:szCs w:val="24"/>
        </w:rPr>
        <w:t>The United Kingdom courts have taken a similar approach to the Canadian courts in adopting an approach to vicarious liability based on risk management. The law on vicarious liability in the UK has been described by the Courts as being “on the move”.</w:t>
      </w:r>
      <w:r w:rsidRPr="00CA17B3">
        <w:rPr>
          <w:rStyle w:val="FootnoteReference"/>
          <w:rFonts w:ascii="Arial" w:hAnsi="Arial" w:cs="Arial"/>
          <w:sz w:val="24"/>
          <w:szCs w:val="24"/>
        </w:rPr>
        <w:footnoteReference w:id="22"/>
      </w:r>
    </w:p>
    <w:p w14:paraId="58A8B6C0" w14:textId="77777777" w:rsidR="009024C3" w:rsidRPr="00CA17B3" w:rsidRDefault="009024C3" w:rsidP="00132136">
      <w:pPr>
        <w:pStyle w:val="ListParagraph"/>
        <w:numPr>
          <w:ilvl w:val="0"/>
          <w:numId w:val="52"/>
        </w:numPr>
        <w:spacing w:after="120"/>
        <w:ind w:left="1134" w:hanging="567"/>
        <w:contextualSpacing w:val="0"/>
        <w:rPr>
          <w:rFonts w:ascii="Arial" w:hAnsi="Arial" w:cs="Arial"/>
          <w:sz w:val="24"/>
          <w:szCs w:val="24"/>
        </w:rPr>
      </w:pPr>
      <w:r w:rsidRPr="00CA17B3">
        <w:rPr>
          <w:rFonts w:ascii="Arial" w:hAnsi="Arial" w:cs="Arial"/>
          <w:sz w:val="24"/>
          <w:szCs w:val="24"/>
        </w:rPr>
        <w:t>The result of this approach is that a relationship other than one of employment is in principle capable of giving rise to vicarious liability where harm is wrongfully done by an individual who carries on activities as an integral part of the business activities carried on by a defendant and for its benefit (rather than his activities being entirely attributable to the conduct of a recognisably independent business of his own or of a third party), and where the commission of the wrongful act is a risk created by the defendant by assigning those activities to the individual in question.</w:t>
      </w:r>
      <w:r w:rsidRPr="00CA17B3">
        <w:rPr>
          <w:rStyle w:val="FootnoteReference"/>
          <w:rFonts w:ascii="Arial" w:hAnsi="Arial" w:cs="Arial"/>
          <w:sz w:val="24"/>
          <w:szCs w:val="24"/>
        </w:rPr>
        <w:footnoteReference w:id="23"/>
      </w:r>
    </w:p>
    <w:p w14:paraId="2B0076A4" w14:textId="77777777" w:rsidR="00493627" w:rsidRDefault="00493627" w:rsidP="009024C3">
      <w:pPr>
        <w:pStyle w:val="NoSpacing"/>
        <w:spacing w:line="360" w:lineRule="auto"/>
        <w:ind w:left="567"/>
        <w:rPr>
          <w:rFonts w:ascii="Arial" w:hAnsi="Arial" w:cs="Arial"/>
          <w:b/>
          <w:i/>
          <w:sz w:val="24"/>
          <w:szCs w:val="24"/>
        </w:rPr>
      </w:pPr>
    </w:p>
    <w:p w14:paraId="5B77C382" w14:textId="1D7BA1F2" w:rsidR="009024C3" w:rsidRDefault="009024C3" w:rsidP="009024C3">
      <w:pPr>
        <w:pStyle w:val="NoSpacing"/>
        <w:spacing w:line="360" w:lineRule="auto"/>
        <w:ind w:left="567"/>
        <w:rPr>
          <w:rFonts w:ascii="Arial" w:hAnsi="Arial" w:cs="Arial"/>
          <w:b/>
          <w:i/>
          <w:sz w:val="24"/>
          <w:szCs w:val="24"/>
        </w:rPr>
      </w:pPr>
      <w:r>
        <w:rPr>
          <w:rFonts w:ascii="Arial" w:hAnsi="Arial" w:cs="Arial"/>
          <w:b/>
          <w:i/>
          <w:sz w:val="24"/>
          <w:szCs w:val="24"/>
        </w:rPr>
        <w:t>Civil litigation: Identifying a proper defendant</w:t>
      </w:r>
    </w:p>
    <w:p w14:paraId="1C943150" w14:textId="77777777" w:rsidR="009024C3" w:rsidRPr="003B670E" w:rsidRDefault="009024C3" w:rsidP="00132136">
      <w:pPr>
        <w:pStyle w:val="ListParagraph"/>
        <w:numPr>
          <w:ilvl w:val="0"/>
          <w:numId w:val="52"/>
        </w:numPr>
        <w:spacing w:after="120"/>
        <w:ind w:left="1134" w:hanging="567"/>
        <w:contextualSpacing w:val="0"/>
        <w:rPr>
          <w:rFonts w:ascii="Arial" w:hAnsi="Arial" w:cs="Arial"/>
          <w:sz w:val="24"/>
          <w:szCs w:val="24"/>
        </w:rPr>
      </w:pPr>
      <w:r w:rsidRPr="003B670E">
        <w:rPr>
          <w:rFonts w:ascii="Arial" w:hAnsi="Arial" w:cs="Arial"/>
          <w:sz w:val="24"/>
          <w:szCs w:val="24"/>
        </w:rPr>
        <w:t xml:space="preserve">The UK courts have previously found unincorporated bodies can be vicariously liable for the acts of one or more of its members that involve child sexual abuse. The approach set out in </w:t>
      </w:r>
      <w:r w:rsidRPr="003B670E">
        <w:rPr>
          <w:rFonts w:ascii="Arial" w:hAnsi="Arial" w:cs="Arial"/>
          <w:i/>
          <w:sz w:val="24"/>
          <w:szCs w:val="24"/>
        </w:rPr>
        <w:t xml:space="preserve">The Catholic Child Welfare Society and others v Various Claimants (FC) and the Institute of the Brothers of the Christian Schools and others </w:t>
      </w:r>
      <w:r w:rsidRPr="003B670E">
        <w:rPr>
          <w:rFonts w:ascii="Arial" w:hAnsi="Arial" w:cs="Arial"/>
          <w:sz w:val="24"/>
          <w:szCs w:val="24"/>
        </w:rPr>
        <w:t>[2012] UKSC 56 suggests that this will be context specific but the structure of the organisation, including its financial assets, and the ability to identify a specific community of members amongst a wider group of members may be informative.</w:t>
      </w:r>
    </w:p>
    <w:p w14:paraId="3E84E92F" w14:textId="77777777" w:rsidR="00C13A88" w:rsidRDefault="00C13A88">
      <w:pPr>
        <w:rPr>
          <w:rFonts w:ascii="Arial" w:hAnsi="Arial" w:cs="Arial"/>
          <w:b/>
          <w:i/>
          <w:sz w:val="24"/>
          <w:szCs w:val="24"/>
        </w:rPr>
      </w:pPr>
      <w:r>
        <w:rPr>
          <w:rFonts w:ascii="Arial" w:hAnsi="Arial" w:cs="Arial"/>
          <w:b/>
          <w:i/>
          <w:sz w:val="24"/>
          <w:szCs w:val="24"/>
        </w:rPr>
        <w:br w:type="page"/>
      </w:r>
    </w:p>
    <w:p w14:paraId="7C3490CB" w14:textId="2F49D534" w:rsidR="009024C3" w:rsidRDefault="009024C3" w:rsidP="009024C3">
      <w:pPr>
        <w:pStyle w:val="NoSpacing"/>
        <w:spacing w:line="360" w:lineRule="auto"/>
        <w:ind w:left="567"/>
        <w:rPr>
          <w:rFonts w:ascii="Arial" w:hAnsi="Arial" w:cs="Arial"/>
          <w:b/>
          <w:i/>
          <w:sz w:val="24"/>
          <w:szCs w:val="24"/>
        </w:rPr>
      </w:pPr>
      <w:r>
        <w:rPr>
          <w:rFonts w:ascii="Arial" w:hAnsi="Arial" w:cs="Arial"/>
          <w:b/>
          <w:i/>
          <w:sz w:val="24"/>
          <w:szCs w:val="24"/>
        </w:rPr>
        <w:lastRenderedPageBreak/>
        <w:t>Civil litigation: Model litigant guidelines</w:t>
      </w:r>
    </w:p>
    <w:p w14:paraId="07A3A792" w14:textId="77777777" w:rsidR="009024C3" w:rsidRDefault="009024C3" w:rsidP="00132136">
      <w:pPr>
        <w:pStyle w:val="NoSpacing"/>
        <w:numPr>
          <w:ilvl w:val="0"/>
          <w:numId w:val="52"/>
        </w:numPr>
        <w:spacing w:after="120" w:line="259" w:lineRule="auto"/>
        <w:ind w:left="1134" w:hanging="567"/>
        <w:rPr>
          <w:rFonts w:ascii="Arial" w:hAnsi="Arial" w:cs="Arial"/>
          <w:sz w:val="24"/>
          <w:szCs w:val="24"/>
        </w:rPr>
      </w:pPr>
      <w:r>
        <w:rPr>
          <w:rFonts w:ascii="Arial" w:hAnsi="Arial" w:cs="Arial"/>
          <w:sz w:val="24"/>
          <w:szCs w:val="24"/>
        </w:rPr>
        <w:t>IICSA has also recently recommended</w:t>
      </w:r>
      <w:r>
        <w:rPr>
          <w:rStyle w:val="FootnoteReference"/>
          <w:rFonts w:ascii="Arial" w:hAnsi="Arial" w:cs="Arial"/>
          <w:sz w:val="24"/>
          <w:szCs w:val="24"/>
        </w:rPr>
        <w:footnoteReference w:id="24"/>
      </w:r>
      <w:r>
        <w:rPr>
          <w:rFonts w:ascii="Arial" w:hAnsi="Arial" w:cs="Arial"/>
          <w:sz w:val="24"/>
          <w:szCs w:val="24"/>
        </w:rPr>
        <w:t xml:space="preserve"> that the Local Government Association and the Association of British Insurers should produce codes of practice for responding to civil claims of child sexual abuse.</w:t>
      </w:r>
    </w:p>
    <w:p w14:paraId="2C604E34" w14:textId="77777777" w:rsidR="009024C3" w:rsidRDefault="009024C3" w:rsidP="00132136">
      <w:pPr>
        <w:pStyle w:val="NoSpacing"/>
        <w:numPr>
          <w:ilvl w:val="0"/>
          <w:numId w:val="52"/>
        </w:numPr>
        <w:spacing w:after="120" w:line="259" w:lineRule="auto"/>
        <w:ind w:left="1134" w:hanging="567"/>
        <w:rPr>
          <w:rFonts w:ascii="Arial" w:hAnsi="Arial" w:cs="Arial"/>
          <w:sz w:val="24"/>
          <w:szCs w:val="24"/>
        </w:rPr>
      </w:pPr>
      <w:r>
        <w:rPr>
          <w:rFonts w:ascii="Arial" w:hAnsi="Arial" w:cs="Arial"/>
          <w:sz w:val="24"/>
          <w:szCs w:val="24"/>
        </w:rPr>
        <w:t>IICSA considers that these codes should:</w:t>
      </w:r>
    </w:p>
    <w:p w14:paraId="05A4E348" w14:textId="77777777" w:rsidR="009024C3" w:rsidRDefault="009024C3" w:rsidP="00132136">
      <w:pPr>
        <w:pStyle w:val="NoSpacing"/>
        <w:numPr>
          <w:ilvl w:val="0"/>
          <w:numId w:val="44"/>
        </w:numPr>
        <w:spacing w:after="120" w:line="259" w:lineRule="auto"/>
        <w:ind w:left="1928" w:hanging="794"/>
        <w:rPr>
          <w:rFonts w:ascii="Arial" w:hAnsi="Arial" w:cs="Arial"/>
          <w:sz w:val="24"/>
          <w:szCs w:val="24"/>
        </w:rPr>
      </w:pPr>
      <w:r>
        <w:rPr>
          <w:rFonts w:ascii="Arial" w:hAnsi="Arial" w:cs="Arial"/>
          <w:sz w:val="24"/>
          <w:szCs w:val="24"/>
        </w:rPr>
        <w:t>Include recognition of the long-term emotional and psychiatric or psychological effects of child sexual abuse on victims and survivors</w:t>
      </w:r>
    </w:p>
    <w:p w14:paraId="21AFF216" w14:textId="77777777" w:rsidR="009024C3" w:rsidRDefault="009024C3" w:rsidP="00132136">
      <w:pPr>
        <w:pStyle w:val="NoSpacing"/>
        <w:numPr>
          <w:ilvl w:val="0"/>
          <w:numId w:val="44"/>
        </w:numPr>
        <w:spacing w:after="120" w:line="259" w:lineRule="auto"/>
        <w:ind w:left="1928" w:hanging="794"/>
        <w:rPr>
          <w:rFonts w:ascii="Arial" w:hAnsi="Arial" w:cs="Arial"/>
          <w:sz w:val="24"/>
          <w:szCs w:val="24"/>
        </w:rPr>
      </w:pPr>
      <w:r>
        <w:rPr>
          <w:rFonts w:ascii="Arial" w:hAnsi="Arial" w:cs="Arial"/>
          <w:sz w:val="24"/>
          <w:szCs w:val="24"/>
        </w:rPr>
        <w:t>Acknowledge that the effects of child sexual abuse may make it difficult for victims and survivors to disclose that they have been abused and initiate civil claims for that abuse</w:t>
      </w:r>
    </w:p>
    <w:p w14:paraId="75E700EB" w14:textId="77777777" w:rsidR="009024C3" w:rsidRDefault="009024C3" w:rsidP="00132136">
      <w:pPr>
        <w:pStyle w:val="NoSpacing"/>
        <w:numPr>
          <w:ilvl w:val="0"/>
          <w:numId w:val="44"/>
        </w:numPr>
        <w:spacing w:after="120" w:line="259" w:lineRule="auto"/>
        <w:ind w:left="1928" w:hanging="794"/>
        <w:rPr>
          <w:rFonts w:ascii="Arial" w:hAnsi="Arial" w:cs="Arial"/>
          <w:sz w:val="24"/>
          <w:szCs w:val="24"/>
        </w:rPr>
      </w:pPr>
      <w:r>
        <w:rPr>
          <w:rFonts w:ascii="Arial" w:hAnsi="Arial" w:cs="Arial"/>
          <w:sz w:val="24"/>
          <w:szCs w:val="24"/>
        </w:rPr>
        <w:t>Include guidance about the need to treat claimants with sensitivity throughout the litigation process</w:t>
      </w:r>
    </w:p>
    <w:p w14:paraId="3A1B29CA" w14:textId="77777777" w:rsidR="009024C3" w:rsidRDefault="009024C3" w:rsidP="00132136">
      <w:pPr>
        <w:pStyle w:val="NoSpacing"/>
        <w:numPr>
          <w:ilvl w:val="0"/>
          <w:numId w:val="44"/>
        </w:numPr>
        <w:spacing w:after="120" w:line="259" w:lineRule="auto"/>
        <w:ind w:left="1928" w:hanging="794"/>
        <w:rPr>
          <w:rFonts w:ascii="Arial" w:hAnsi="Arial" w:cs="Arial"/>
          <w:sz w:val="24"/>
          <w:szCs w:val="24"/>
        </w:rPr>
      </w:pPr>
      <w:r>
        <w:rPr>
          <w:rFonts w:ascii="Arial" w:hAnsi="Arial" w:cs="Arial"/>
          <w:sz w:val="24"/>
          <w:szCs w:val="24"/>
        </w:rPr>
        <w:t>Include guidance on the appropriate use of the defence of limitation</w:t>
      </w:r>
    </w:p>
    <w:p w14:paraId="3F1EEBF2" w14:textId="77777777" w:rsidR="009024C3" w:rsidRDefault="009024C3" w:rsidP="00132136">
      <w:pPr>
        <w:pStyle w:val="NoSpacing"/>
        <w:numPr>
          <w:ilvl w:val="0"/>
          <w:numId w:val="44"/>
        </w:numPr>
        <w:spacing w:after="120" w:line="259" w:lineRule="auto"/>
        <w:ind w:left="1928" w:hanging="794"/>
        <w:rPr>
          <w:rFonts w:ascii="Arial" w:hAnsi="Arial" w:cs="Arial"/>
          <w:sz w:val="24"/>
          <w:szCs w:val="24"/>
        </w:rPr>
      </w:pPr>
      <w:r>
        <w:rPr>
          <w:rFonts w:ascii="Arial" w:hAnsi="Arial" w:cs="Arial"/>
          <w:sz w:val="24"/>
          <w:szCs w:val="24"/>
        </w:rPr>
        <w:t>Include guidance on the use and instruction of expert witnesses</w:t>
      </w:r>
    </w:p>
    <w:p w14:paraId="204E7A48" w14:textId="77777777" w:rsidR="009024C3" w:rsidRPr="005E0CC2" w:rsidRDefault="009024C3" w:rsidP="00132136">
      <w:pPr>
        <w:pStyle w:val="NoSpacing"/>
        <w:numPr>
          <w:ilvl w:val="0"/>
          <w:numId w:val="44"/>
        </w:numPr>
        <w:spacing w:after="120" w:line="259" w:lineRule="auto"/>
        <w:ind w:left="1928" w:hanging="794"/>
        <w:rPr>
          <w:rFonts w:ascii="Arial" w:hAnsi="Arial" w:cs="Arial"/>
          <w:sz w:val="24"/>
          <w:szCs w:val="24"/>
        </w:rPr>
      </w:pPr>
      <w:r>
        <w:rPr>
          <w:rFonts w:ascii="Arial" w:hAnsi="Arial" w:cs="Arial"/>
          <w:sz w:val="24"/>
          <w:szCs w:val="24"/>
        </w:rPr>
        <w:t>Include guidance on the provision of redress.</w:t>
      </w:r>
    </w:p>
    <w:p w14:paraId="555AADC6" w14:textId="77777777" w:rsidR="009024C3" w:rsidRDefault="009024C3" w:rsidP="009024C3">
      <w:pPr>
        <w:pStyle w:val="Heading2"/>
        <w:ind w:left="567"/>
        <w:rPr>
          <w:rFonts w:ascii="Arial" w:hAnsi="Arial" w:cs="Arial"/>
          <w:b/>
          <w:color w:val="000000" w:themeColor="text1"/>
          <w:sz w:val="24"/>
          <w:szCs w:val="24"/>
          <w:lang w:val="en-NZ"/>
        </w:rPr>
      </w:pPr>
    </w:p>
    <w:p w14:paraId="6F55AC2C" w14:textId="77777777" w:rsidR="000B7E5F" w:rsidRDefault="000B7E5F">
      <w:pPr>
        <w:rPr>
          <w:rFonts w:ascii="Arial" w:eastAsiaTheme="majorEastAsia" w:hAnsi="Arial" w:cs="Arial"/>
          <w:b/>
          <w:color w:val="000000" w:themeColor="text1"/>
          <w:sz w:val="24"/>
          <w:szCs w:val="24"/>
        </w:rPr>
      </w:pPr>
      <w:r>
        <w:rPr>
          <w:rFonts w:ascii="Arial" w:hAnsi="Arial" w:cs="Arial"/>
          <w:b/>
          <w:color w:val="000000" w:themeColor="text1"/>
          <w:sz w:val="24"/>
          <w:szCs w:val="24"/>
        </w:rPr>
        <w:br w:type="page"/>
      </w:r>
    </w:p>
    <w:p w14:paraId="3356445E" w14:textId="602B11C5" w:rsidR="009024C3" w:rsidRDefault="009024C3" w:rsidP="00DE3B17">
      <w:pPr>
        <w:pStyle w:val="Heading2"/>
        <w:numPr>
          <w:ilvl w:val="0"/>
          <w:numId w:val="5"/>
        </w:numPr>
        <w:spacing w:before="0" w:after="120"/>
        <w:ind w:left="1134" w:hanging="567"/>
        <w:rPr>
          <w:rFonts w:ascii="Arial" w:hAnsi="Arial" w:cs="Arial"/>
          <w:b/>
          <w:color w:val="000000" w:themeColor="text1"/>
          <w:sz w:val="24"/>
          <w:szCs w:val="24"/>
          <w:lang w:val="en-NZ"/>
        </w:rPr>
      </w:pPr>
      <w:r w:rsidRPr="009E21DE">
        <w:rPr>
          <w:rFonts w:ascii="Arial" w:hAnsi="Arial" w:cs="Arial"/>
          <w:b/>
          <w:color w:val="000000" w:themeColor="text1"/>
          <w:sz w:val="24"/>
          <w:szCs w:val="24"/>
          <w:lang w:val="en-NZ"/>
        </w:rPr>
        <w:lastRenderedPageBreak/>
        <w:t>N</w:t>
      </w:r>
      <w:r>
        <w:rPr>
          <w:rFonts w:ascii="Arial" w:hAnsi="Arial" w:cs="Arial"/>
          <w:b/>
          <w:color w:val="000000" w:themeColor="text1"/>
          <w:sz w:val="24"/>
          <w:szCs w:val="24"/>
          <w:lang w:val="en-NZ"/>
        </w:rPr>
        <w:t>ORTHERN IRELAND</w:t>
      </w:r>
    </w:p>
    <w:p w14:paraId="47AAEE40" w14:textId="0382F328" w:rsidR="00DE6E38" w:rsidRPr="00DE6E38" w:rsidRDefault="00DE6E38" w:rsidP="00DE6E38">
      <w:pPr>
        <w:ind w:left="567"/>
        <w:rPr>
          <w:b/>
          <w:bCs/>
        </w:rPr>
      </w:pPr>
      <w:r w:rsidRPr="00DE6E38">
        <w:rPr>
          <w:rFonts w:ascii="Arial" w:hAnsi="Arial" w:cs="Arial"/>
          <w:b/>
          <w:bCs/>
          <w:sz w:val="24"/>
          <w:szCs w:val="24"/>
        </w:rPr>
        <w:t>Historical Institutional Abuse Inquiry</w:t>
      </w:r>
    </w:p>
    <w:p w14:paraId="0F898AAA" w14:textId="32F16E85" w:rsidR="009024C3" w:rsidRPr="000A2EAA" w:rsidRDefault="009024C3" w:rsidP="00132136">
      <w:pPr>
        <w:pStyle w:val="ListParagraph"/>
        <w:numPr>
          <w:ilvl w:val="0"/>
          <w:numId w:val="53"/>
        </w:numPr>
        <w:spacing w:after="120"/>
        <w:ind w:left="1134" w:hanging="567"/>
        <w:contextualSpacing w:val="0"/>
        <w:rPr>
          <w:rFonts w:ascii="Arial" w:hAnsi="Arial" w:cs="Arial"/>
          <w:sz w:val="24"/>
          <w:szCs w:val="24"/>
        </w:rPr>
      </w:pPr>
      <w:r w:rsidRPr="000A2EAA">
        <w:rPr>
          <w:rFonts w:ascii="Arial" w:hAnsi="Arial" w:cs="Arial"/>
          <w:sz w:val="24"/>
          <w:szCs w:val="24"/>
        </w:rPr>
        <w:t>The N</w:t>
      </w:r>
      <w:r w:rsidR="00DE6E38">
        <w:rPr>
          <w:rFonts w:ascii="Arial" w:hAnsi="Arial" w:cs="Arial"/>
          <w:sz w:val="24"/>
          <w:szCs w:val="24"/>
        </w:rPr>
        <w:t xml:space="preserve">orthern Ireland </w:t>
      </w:r>
      <w:r w:rsidRPr="000A2EAA">
        <w:rPr>
          <w:rFonts w:ascii="Arial" w:hAnsi="Arial" w:cs="Arial"/>
          <w:sz w:val="24"/>
          <w:szCs w:val="24"/>
        </w:rPr>
        <w:t>Executive Inquiry and Investigation into</w:t>
      </w:r>
      <w:r w:rsidR="00DA2B2E">
        <w:rPr>
          <w:rFonts w:ascii="Arial" w:hAnsi="Arial" w:cs="Arial"/>
          <w:sz w:val="24"/>
          <w:szCs w:val="24"/>
        </w:rPr>
        <w:t xml:space="preserve"> H</w:t>
      </w:r>
      <w:r w:rsidRPr="000A2EAA">
        <w:rPr>
          <w:rFonts w:ascii="Arial" w:hAnsi="Arial" w:cs="Arial"/>
          <w:sz w:val="24"/>
          <w:szCs w:val="24"/>
        </w:rPr>
        <w:t xml:space="preserve">istorical </w:t>
      </w:r>
      <w:r w:rsidR="00DA2B2E">
        <w:rPr>
          <w:rFonts w:ascii="Arial" w:hAnsi="Arial" w:cs="Arial"/>
          <w:sz w:val="24"/>
          <w:szCs w:val="24"/>
        </w:rPr>
        <w:t>I</w:t>
      </w:r>
      <w:r w:rsidRPr="000A2EAA">
        <w:rPr>
          <w:rFonts w:ascii="Arial" w:hAnsi="Arial" w:cs="Arial"/>
          <w:sz w:val="24"/>
          <w:szCs w:val="24"/>
        </w:rPr>
        <w:t xml:space="preserve">nstitutional </w:t>
      </w:r>
      <w:r w:rsidR="00DA2B2E">
        <w:rPr>
          <w:rFonts w:ascii="Arial" w:hAnsi="Arial" w:cs="Arial"/>
          <w:sz w:val="24"/>
          <w:szCs w:val="24"/>
        </w:rPr>
        <w:t>A</w:t>
      </w:r>
      <w:r w:rsidRPr="000A2EAA">
        <w:rPr>
          <w:rFonts w:ascii="Arial" w:hAnsi="Arial" w:cs="Arial"/>
          <w:sz w:val="24"/>
          <w:szCs w:val="24"/>
        </w:rPr>
        <w:t>buse (</w:t>
      </w:r>
      <w:r w:rsidRPr="000A2EAA">
        <w:rPr>
          <w:rFonts w:ascii="Arial" w:hAnsi="Arial" w:cs="Arial"/>
          <w:b/>
          <w:sz w:val="24"/>
          <w:szCs w:val="24"/>
        </w:rPr>
        <w:t>the Historical Institutional Abuse Inquiry</w:t>
      </w:r>
      <w:r w:rsidRPr="000A2EAA">
        <w:rPr>
          <w:rFonts w:ascii="Arial" w:hAnsi="Arial" w:cs="Arial"/>
          <w:sz w:val="24"/>
          <w:szCs w:val="24"/>
        </w:rPr>
        <w:t xml:space="preserve">) was established to examine if there were systemic failings by institutions or the state in their duties towards those children in their care between the years of 1922-1995. </w:t>
      </w:r>
    </w:p>
    <w:p w14:paraId="2A995E4C" w14:textId="77777777" w:rsidR="009024C3" w:rsidRPr="000A2EAA" w:rsidRDefault="009024C3" w:rsidP="00132136">
      <w:pPr>
        <w:pStyle w:val="ListParagraph"/>
        <w:numPr>
          <w:ilvl w:val="0"/>
          <w:numId w:val="53"/>
        </w:numPr>
        <w:spacing w:after="120"/>
        <w:ind w:left="1134" w:hanging="567"/>
        <w:contextualSpacing w:val="0"/>
        <w:rPr>
          <w:rFonts w:ascii="Arial" w:hAnsi="Arial" w:cs="Arial"/>
          <w:sz w:val="24"/>
          <w:szCs w:val="24"/>
        </w:rPr>
      </w:pPr>
      <w:r w:rsidRPr="000A2EAA">
        <w:rPr>
          <w:rFonts w:ascii="Arial" w:hAnsi="Arial" w:cs="Arial"/>
          <w:sz w:val="24"/>
          <w:szCs w:val="24"/>
        </w:rPr>
        <w:t>The Inquiry Panel was asked to make findings and recommendations on matters including the requirement or desirability for redress to be provided by the institution and/or the Executive to meet the needs of victims.</w:t>
      </w:r>
    </w:p>
    <w:p w14:paraId="58C34879" w14:textId="53B34FA4" w:rsidR="009024C3" w:rsidRPr="000A2EAA" w:rsidRDefault="009024C3" w:rsidP="00132136">
      <w:pPr>
        <w:pStyle w:val="ListParagraph"/>
        <w:numPr>
          <w:ilvl w:val="0"/>
          <w:numId w:val="53"/>
        </w:numPr>
        <w:spacing w:after="120" w:line="240" w:lineRule="auto"/>
        <w:ind w:left="1134" w:hanging="567"/>
        <w:contextualSpacing w:val="0"/>
        <w:rPr>
          <w:rFonts w:ascii="Arial" w:eastAsia="Times New Roman" w:hAnsi="Arial" w:cs="Arial"/>
          <w:color w:val="000000"/>
          <w:sz w:val="24"/>
          <w:szCs w:val="24"/>
          <w:lang w:eastAsia="en-NZ"/>
        </w:rPr>
      </w:pPr>
      <w:r w:rsidRPr="000A2EAA">
        <w:rPr>
          <w:rFonts w:ascii="Arial" w:eastAsia="Times New Roman" w:hAnsi="Arial" w:cs="Arial"/>
          <w:color w:val="000000"/>
          <w:sz w:val="24"/>
          <w:szCs w:val="24"/>
          <w:lang w:eastAsia="en-NZ"/>
        </w:rPr>
        <w:t>The Historic</w:t>
      </w:r>
      <w:r w:rsidR="00DD11BD">
        <w:rPr>
          <w:rFonts w:ascii="Arial" w:eastAsia="Times New Roman" w:hAnsi="Arial" w:cs="Arial"/>
          <w:color w:val="000000"/>
          <w:sz w:val="24"/>
          <w:szCs w:val="24"/>
          <w:lang w:eastAsia="en-NZ"/>
        </w:rPr>
        <w:t>al</w:t>
      </w:r>
      <w:r w:rsidRPr="000A2EAA">
        <w:rPr>
          <w:rFonts w:ascii="Arial" w:eastAsia="Times New Roman" w:hAnsi="Arial" w:cs="Arial"/>
          <w:color w:val="000000"/>
          <w:sz w:val="24"/>
          <w:szCs w:val="24"/>
          <w:lang w:eastAsia="en-NZ"/>
        </w:rPr>
        <w:t xml:space="preserve"> Institutional Abuse (Northern Ireland) Act (</w:t>
      </w:r>
      <w:r w:rsidRPr="000A2EAA">
        <w:rPr>
          <w:rFonts w:ascii="Arial" w:eastAsia="Times New Roman" w:hAnsi="Arial" w:cs="Arial"/>
          <w:b/>
          <w:color w:val="000000"/>
          <w:sz w:val="24"/>
          <w:szCs w:val="24"/>
          <w:lang w:eastAsia="en-NZ"/>
        </w:rPr>
        <w:t>HIA Act</w:t>
      </w:r>
      <w:r w:rsidRPr="000A2EAA">
        <w:rPr>
          <w:rFonts w:ascii="Arial" w:eastAsia="Times New Roman" w:hAnsi="Arial" w:cs="Arial"/>
          <w:color w:val="000000"/>
          <w:sz w:val="24"/>
          <w:szCs w:val="24"/>
          <w:lang w:eastAsia="en-NZ"/>
        </w:rPr>
        <w:t>) received the Royal assent on 5 November 2019. The HIA Act implements the recommendations of the Historic</w:t>
      </w:r>
      <w:r w:rsidR="004D6CB3">
        <w:rPr>
          <w:rFonts w:ascii="Arial" w:eastAsia="Times New Roman" w:hAnsi="Arial" w:cs="Arial"/>
          <w:color w:val="000000"/>
          <w:sz w:val="24"/>
          <w:szCs w:val="24"/>
          <w:lang w:eastAsia="en-NZ"/>
        </w:rPr>
        <w:t>al</w:t>
      </w:r>
      <w:r w:rsidRPr="000A2EAA">
        <w:rPr>
          <w:rFonts w:ascii="Arial" w:eastAsia="Times New Roman" w:hAnsi="Arial" w:cs="Arial"/>
          <w:color w:val="000000"/>
          <w:sz w:val="24"/>
          <w:szCs w:val="24"/>
          <w:lang w:eastAsia="en-NZ"/>
        </w:rPr>
        <w:t xml:space="preserve"> Institutional Abuse Inquiry. </w:t>
      </w:r>
    </w:p>
    <w:p w14:paraId="56C03301" w14:textId="1F761FD6" w:rsidR="009024C3" w:rsidRDefault="009024C3" w:rsidP="00132136">
      <w:pPr>
        <w:pStyle w:val="ListParagraph"/>
        <w:numPr>
          <w:ilvl w:val="0"/>
          <w:numId w:val="53"/>
        </w:numPr>
        <w:spacing w:after="120" w:line="240" w:lineRule="auto"/>
        <w:ind w:left="1134" w:hanging="567"/>
        <w:contextualSpacing w:val="0"/>
        <w:rPr>
          <w:rFonts w:ascii="Arial" w:eastAsia="Times New Roman" w:hAnsi="Arial" w:cs="Arial"/>
          <w:color w:val="000000"/>
          <w:sz w:val="24"/>
          <w:szCs w:val="24"/>
          <w:lang w:eastAsia="en-NZ"/>
        </w:rPr>
      </w:pPr>
      <w:r w:rsidRPr="000A2EAA">
        <w:rPr>
          <w:rFonts w:ascii="Arial" w:eastAsia="Times New Roman" w:hAnsi="Arial" w:cs="Arial"/>
          <w:color w:val="000000"/>
          <w:sz w:val="24"/>
          <w:szCs w:val="24"/>
          <w:lang w:eastAsia="en-NZ"/>
        </w:rPr>
        <w:t>The HIA Act establishes the Historic</w:t>
      </w:r>
      <w:r w:rsidR="00F04100">
        <w:rPr>
          <w:rFonts w:ascii="Arial" w:eastAsia="Times New Roman" w:hAnsi="Arial" w:cs="Arial"/>
          <w:color w:val="000000"/>
          <w:sz w:val="24"/>
          <w:szCs w:val="24"/>
          <w:lang w:eastAsia="en-NZ"/>
        </w:rPr>
        <w:t>al</w:t>
      </w:r>
      <w:r w:rsidRPr="000A2EAA">
        <w:rPr>
          <w:rFonts w:ascii="Arial" w:eastAsia="Times New Roman" w:hAnsi="Arial" w:cs="Arial"/>
          <w:color w:val="000000"/>
          <w:sz w:val="24"/>
          <w:szCs w:val="24"/>
          <w:lang w:eastAsia="en-NZ"/>
        </w:rPr>
        <w:t xml:space="preserve"> Institutional Abuse Redress Board (</w:t>
      </w:r>
      <w:r w:rsidRPr="000A2EAA">
        <w:rPr>
          <w:rFonts w:ascii="Arial" w:eastAsia="Times New Roman" w:hAnsi="Arial" w:cs="Arial"/>
          <w:b/>
          <w:color w:val="000000"/>
          <w:sz w:val="24"/>
          <w:szCs w:val="24"/>
          <w:lang w:eastAsia="en-NZ"/>
        </w:rPr>
        <w:t>the Redress Board</w:t>
      </w:r>
      <w:r w:rsidRPr="000A2EAA">
        <w:rPr>
          <w:rFonts w:ascii="Arial" w:eastAsia="Times New Roman" w:hAnsi="Arial" w:cs="Arial"/>
          <w:color w:val="000000"/>
          <w:sz w:val="24"/>
          <w:szCs w:val="24"/>
          <w:lang w:eastAsia="en-NZ"/>
        </w:rPr>
        <w:t xml:space="preserve">). The Redress Board is an independent body established for the purposes of making determinations on awards of compensation. </w:t>
      </w:r>
    </w:p>
    <w:p w14:paraId="2671A088" w14:textId="77777777" w:rsidR="009024C3" w:rsidRPr="000A2EAA" w:rsidRDefault="009024C3" w:rsidP="00132136">
      <w:pPr>
        <w:pStyle w:val="ListParagraph"/>
        <w:numPr>
          <w:ilvl w:val="0"/>
          <w:numId w:val="53"/>
        </w:numPr>
        <w:spacing w:after="120" w:line="240" w:lineRule="auto"/>
        <w:ind w:left="1134" w:hanging="567"/>
        <w:contextualSpacing w:val="0"/>
        <w:rPr>
          <w:rFonts w:ascii="Arial" w:eastAsia="Times New Roman" w:hAnsi="Arial" w:cs="Arial"/>
          <w:color w:val="000000"/>
          <w:sz w:val="24"/>
          <w:szCs w:val="24"/>
          <w:lang w:eastAsia="en-NZ"/>
        </w:rPr>
      </w:pPr>
      <w:r w:rsidRPr="000A2EAA">
        <w:rPr>
          <w:rFonts w:ascii="Arial" w:eastAsia="Times New Roman" w:hAnsi="Arial" w:cs="Arial"/>
          <w:color w:val="000000"/>
          <w:sz w:val="24"/>
          <w:szCs w:val="24"/>
          <w:lang w:eastAsia="en-NZ"/>
        </w:rPr>
        <w:t>A person has five years within which to make an application from the time the Redress Board is established. A person can only make one application, but that application may be in respect of more than one institution.</w:t>
      </w:r>
    </w:p>
    <w:p w14:paraId="70283BD9" w14:textId="77777777" w:rsidR="009024C3" w:rsidRPr="000A2EAA" w:rsidRDefault="009024C3" w:rsidP="00132136">
      <w:pPr>
        <w:pStyle w:val="ListParagraph"/>
        <w:numPr>
          <w:ilvl w:val="0"/>
          <w:numId w:val="53"/>
        </w:numPr>
        <w:spacing w:after="120" w:line="240" w:lineRule="auto"/>
        <w:ind w:left="1134" w:hanging="567"/>
        <w:contextualSpacing w:val="0"/>
        <w:rPr>
          <w:rFonts w:ascii="Arial" w:eastAsia="Times New Roman" w:hAnsi="Arial" w:cs="Arial"/>
          <w:color w:val="000000"/>
          <w:sz w:val="24"/>
          <w:szCs w:val="24"/>
          <w:lang w:eastAsia="en-NZ"/>
        </w:rPr>
      </w:pPr>
      <w:r w:rsidRPr="000A2EAA">
        <w:rPr>
          <w:rFonts w:ascii="Arial" w:eastAsia="Times New Roman" w:hAnsi="Arial" w:cs="Arial"/>
          <w:color w:val="000000"/>
          <w:sz w:val="24"/>
          <w:szCs w:val="24"/>
          <w:lang w:eastAsia="en-NZ"/>
        </w:rPr>
        <w:t>The HIA Act (and any rules made under the HIA Act) provide the basis for:</w:t>
      </w:r>
    </w:p>
    <w:p w14:paraId="528CE7BF"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Entitlements and eligibility;</w:t>
      </w:r>
    </w:p>
    <w:p w14:paraId="02A3643B"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Participation and representation;</w:t>
      </w:r>
    </w:p>
    <w:p w14:paraId="5148D6BE"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application and hearing process;</w:t>
      </w:r>
    </w:p>
    <w:p w14:paraId="7263106A"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hearing of evidence;</w:t>
      </w:r>
    </w:p>
    <w:p w14:paraId="5D7997BC"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production of information;</w:t>
      </w:r>
    </w:p>
    <w:p w14:paraId="1CBEF06C"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Offers and acceptance of monetary compensation;</w:t>
      </w:r>
    </w:p>
    <w:p w14:paraId="641A3301" w14:textId="11B00D9E"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Reviews of decisions</w:t>
      </w:r>
      <w:r w:rsidR="00F04100">
        <w:rPr>
          <w:rFonts w:ascii="Arial" w:eastAsia="Times New Roman" w:hAnsi="Arial" w:cs="Arial"/>
          <w:color w:val="000000"/>
          <w:sz w:val="24"/>
          <w:szCs w:val="24"/>
          <w:lang w:eastAsia="en-NZ"/>
        </w:rPr>
        <w:t>;</w:t>
      </w:r>
    </w:p>
    <w:p w14:paraId="5C238A0C"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Provision of monetary compensation;</w:t>
      </w:r>
    </w:p>
    <w:p w14:paraId="5A73E2A6"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Release from civil liability; and</w:t>
      </w:r>
    </w:p>
    <w:p w14:paraId="2ACAD08C" w14:textId="77777777" w:rsidR="009024C3" w:rsidRDefault="009024C3" w:rsidP="009024C3">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Other administrative matters.</w:t>
      </w:r>
    </w:p>
    <w:p w14:paraId="41AF6752" w14:textId="77777777" w:rsidR="009024C3" w:rsidRDefault="009024C3" w:rsidP="009024C3">
      <w:pPr>
        <w:spacing w:after="0" w:line="240" w:lineRule="auto"/>
        <w:ind w:left="567"/>
        <w:rPr>
          <w:rFonts w:ascii="Arial" w:eastAsia="Times New Roman" w:hAnsi="Arial" w:cs="Arial"/>
          <w:color w:val="000000"/>
          <w:sz w:val="24"/>
          <w:szCs w:val="24"/>
          <w:lang w:eastAsia="en-NZ"/>
        </w:rPr>
      </w:pPr>
    </w:p>
    <w:p w14:paraId="011B942D" w14:textId="77777777" w:rsidR="009024C3" w:rsidRDefault="009024C3" w:rsidP="00132136">
      <w:pPr>
        <w:pStyle w:val="ListParagraph"/>
        <w:numPr>
          <w:ilvl w:val="0"/>
          <w:numId w:val="53"/>
        </w:numPr>
        <w:spacing w:after="120"/>
        <w:ind w:left="1134" w:hanging="567"/>
        <w:contextualSpacing w:val="0"/>
        <w:rPr>
          <w:rFonts w:ascii="Arial" w:eastAsia="Times New Roman" w:hAnsi="Arial" w:cs="Arial"/>
          <w:color w:val="000000"/>
          <w:sz w:val="24"/>
          <w:szCs w:val="24"/>
          <w:lang w:eastAsia="en-NZ"/>
        </w:rPr>
      </w:pPr>
      <w:r w:rsidRPr="000A2EAA">
        <w:rPr>
          <w:rFonts w:ascii="Arial" w:eastAsia="Times New Roman" w:hAnsi="Arial" w:cs="Arial"/>
          <w:color w:val="000000"/>
          <w:sz w:val="24"/>
          <w:szCs w:val="24"/>
          <w:lang w:eastAsia="en-NZ"/>
        </w:rPr>
        <w:t>The level of compensation available under the HIA Act falls under three heads</w:t>
      </w:r>
      <w:r>
        <w:rPr>
          <w:rFonts w:ascii="Arial" w:eastAsia="Times New Roman" w:hAnsi="Arial" w:cs="Arial"/>
          <w:color w:val="000000"/>
          <w:sz w:val="24"/>
          <w:szCs w:val="24"/>
          <w:lang w:eastAsia="en-NZ"/>
        </w:rPr>
        <w:t>:</w:t>
      </w:r>
    </w:p>
    <w:p w14:paraId="1A103E98" w14:textId="77777777" w:rsidR="009024C3" w:rsidRDefault="009024C3" w:rsidP="00132136">
      <w:pPr>
        <w:pStyle w:val="ListParagraph"/>
        <w:numPr>
          <w:ilvl w:val="0"/>
          <w:numId w:val="41"/>
        </w:numPr>
        <w:spacing w:after="0"/>
        <w:ind w:left="1928" w:hanging="794"/>
        <w:contextualSpacing w:val="0"/>
        <w:rPr>
          <w:rFonts w:ascii="Arial" w:eastAsia="Times New Roman" w:hAnsi="Arial" w:cs="Arial"/>
          <w:color w:val="000000"/>
          <w:sz w:val="24"/>
          <w:szCs w:val="24"/>
          <w:lang w:eastAsia="en-NZ"/>
        </w:rPr>
      </w:pPr>
      <w:r w:rsidRPr="00A80D5C">
        <w:rPr>
          <w:rFonts w:ascii="Arial" w:eastAsia="Times New Roman" w:hAnsi="Arial" w:cs="Arial"/>
          <w:color w:val="000000"/>
          <w:sz w:val="24"/>
          <w:szCs w:val="24"/>
          <w:lang w:eastAsia="en-NZ"/>
        </w:rPr>
        <w:t xml:space="preserve"> A standard sum of £10,000 is available in most cases</w:t>
      </w:r>
      <w:r>
        <w:rPr>
          <w:rFonts w:ascii="Arial" w:eastAsia="Times New Roman" w:hAnsi="Arial" w:cs="Arial"/>
          <w:color w:val="000000"/>
          <w:sz w:val="24"/>
          <w:szCs w:val="24"/>
          <w:lang w:eastAsia="en-NZ"/>
        </w:rPr>
        <w:t>;</w:t>
      </w:r>
    </w:p>
    <w:p w14:paraId="7C3E0231" w14:textId="3D41325E" w:rsidR="009024C3" w:rsidRDefault="009024C3" w:rsidP="00132136">
      <w:pPr>
        <w:pStyle w:val="ListParagraph"/>
        <w:numPr>
          <w:ilvl w:val="0"/>
          <w:numId w:val="41"/>
        </w:numPr>
        <w:spacing w:after="0"/>
        <w:ind w:left="1928" w:hanging="794"/>
        <w:contextualSpacing w:val="0"/>
        <w:rPr>
          <w:rFonts w:ascii="Arial" w:eastAsia="Times New Roman" w:hAnsi="Arial" w:cs="Arial"/>
          <w:color w:val="000000"/>
          <w:sz w:val="24"/>
          <w:szCs w:val="24"/>
          <w:lang w:eastAsia="en-NZ"/>
        </w:rPr>
      </w:pPr>
      <w:r w:rsidRPr="00A80D5C">
        <w:rPr>
          <w:rFonts w:ascii="Arial" w:eastAsia="Times New Roman" w:hAnsi="Arial" w:cs="Arial"/>
          <w:color w:val="000000"/>
          <w:sz w:val="24"/>
          <w:szCs w:val="24"/>
          <w:lang w:eastAsia="en-NZ"/>
        </w:rPr>
        <w:t xml:space="preserve"> Additional compensation of £70,000 is available if there are sufficient aggravating factors that warrant the awarding of additional compensation</w:t>
      </w:r>
      <w:r w:rsidR="00365D01">
        <w:rPr>
          <w:rFonts w:ascii="Arial" w:eastAsia="Times New Roman" w:hAnsi="Arial" w:cs="Arial"/>
          <w:color w:val="000000"/>
          <w:sz w:val="24"/>
          <w:szCs w:val="24"/>
          <w:lang w:eastAsia="en-NZ"/>
        </w:rPr>
        <w:t>;</w:t>
      </w:r>
    </w:p>
    <w:p w14:paraId="71E70740" w14:textId="2545EF50" w:rsidR="009024C3" w:rsidRPr="00A80D5C" w:rsidRDefault="00365D01" w:rsidP="00132136">
      <w:pPr>
        <w:pStyle w:val="ListParagraph"/>
        <w:numPr>
          <w:ilvl w:val="0"/>
          <w:numId w:val="41"/>
        </w:numPr>
        <w:spacing w:after="120"/>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An </w:t>
      </w:r>
      <w:r w:rsidR="009024C3" w:rsidRPr="00A80D5C">
        <w:rPr>
          <w:rFonts w:ascii="Arial" w:eastAsia="Times New Roman" w:hAnsi="Arial" w:cs="Arial"/>
          <w:color w:val="000000"/>
          <w:sz w:val="24"/>
          <w:szCs w:val="24"/>
          <w:lang w:eastAsia="en-NZ"/>
        </w:rPr>
        <w:t>amount of £20,000 is available if the person was sent to Australia under the Child Migrants Programme.</w:t>
      </w:r>
    </w:p>
    <w:p w14:paraId="470E04A1" w14:textId="77777777" w:rsidR="009024C3" w:rsidRPr="000A2EAA" w:rsidRDefault="009024C3" w:rsidP="00132136">
      <w:pPr>
        <w:pStyle w:val="ListParagraph"/>
        <w:numPr>
          <w:ilvl w:val="0"/>
          <w:numId w:val="53"/>
        </w:numPr>
        <w:spacing w:after="120"/>
        <w:ind w:left="1134" w:hanging="567"/>
        <w:contextualSpacing w:val="0"/>
        <w:rPr>
          <w:rFonts w:ascii="Arial" w:eastAsia="Times New Roman" w:hAnsi="Arial" w:cs="Arial"/>
          <w:color w:val="000000"/>
          <w:sz w:val="24"/>
          <w:szCs w:val="24"/>
          <w:lang w:eastAsia="en-NZ"/>
        </w:rPr>
      </w:pPr>
      <w:r w:rsidRPr="000A2EAA">
        <w:rPr>
          <w:rFonts w:ascii="Arial" w:eastAsia="Times New Roman" w:hAnsi="Arial" w:cs="Arial"/>
          <w:color w:val="000000"/>
          <w:sz w:val="24"/>
          <w:szCs w:val="24"/>
          <w:lang w:eastAsia="en-NZ"/>
        </w:rPr>
        <w:t>The term abuse is defined broadly to include</w:t>
      </w:r>
      <w:r>
        <w:rPr>
          <w:rFonts w:ascii="Arial" w:eastAsia="Times New Roman" w:hAnsi="Arial" w:cs="Arial"/>
          <w:color w:val="000000"/>
          <w:sz w:val="24"/>
          <w:szCs w:val="24"/>
          <w:lang w:eastAsia="en-NZ"/>
        </w:rPr>
        <w:t xml:space="preserve"> having</w:t>
      </w:r>
      <w:r w:rsidRPr="000A2EAA">
        <w:rPr>
          <w:rFonts w:ascii="Arial" w:eastAsia="Times New Roman" w:hAnsi="Arial" w:cs="Arial"/>
          <w:color w:val="000000"/>
          <w:sz w:val="24"/>
          <w:szCs w:val="24"/>
          <w:lang w:eastAsia="en-NZ"/>
        </w:rPr>
        <w:t>:</w:t>
      </w:r>
    </w:p>
    <w:p w14:paraId="7FD4815B" w14:textId="77777777" w:rsidR="009024C3" w:rsidRPr="009E21DE" w:rsidRDefault="009024C3" w:rsidP="009024C3">
      <w:pPr>
        <w:pStyle w:val="legclearfix2"/>
        <w:spacing w:after="0" w:line="259" w:lineRule="auto"/>
        <w:ind w:left="1928" w:hanging="794"/>
        <w:rPr>
          <w:rFonts w:ascii="Arial" w:hAnsi="Arial" w:cs="Arial"/>
          <w:sz w:val="24"/>
          <w:szCs w:val="24"/>
          <w:lang w:val="en"/>
        </w:rPr>
      </w:pPr>
      <w:r w:rsidRPr="009E21DE">
        <w:rPr>
          <w:rStyle w:val="legds2"/>
          <w:rFonts w:ascii="Arial" w:hAnsi="Arial" w:cs="Arial"/>
          <w:sz w:val="24"/>
          <w:szCs w:val="24"/>
          <w:lang w:val="en"/>
          <w:specVanish w:val="0"/>
        </w:rPr>
        <w:t xml:space="preserve">(a) </w:t>
      </w:r>
      <w:r>
        <w:rPr>
          <w:rStyle w:val="legds2"/>
          <w:rFonts w:ascii="Arial" w:hAnsi="Arial" w:cs="Arial"/>
          <w:sz w:val="24"/>
          <w:szCs w:val="24"/>
          <w:lang w:val="en"/>
          <w:specVanish w:val="0"/>
        </w:rPr>
        <w:tab/>
        <w:t>S</w:t>
      </w:r>
      <w:r w:rsidRPr="009E21DE">
        <w:rPr>
          <w:rFonts w:ascii="Arial" w:hAnsi="Arial" w:cs="Arial"/>
          <w:sz w:val="24"/>
          <w:szCs w:val="24"/>
          <w:lang w:val="en"/>
        </w:rPr>
        <w:t>uffered sexual, physical or emotional abuse or neglect or maltreatment,</w:t>
      </w:r>
    </w:p>
    <w:p w14:paraId="16737D57" w14:textId="77777777" w:rsidR="009024C3" w:rsidRPr="009E21DE" w:rsidRDefault="009024C3" w:rsidP="009024C3">
      <w:pPr>
        <w:pStyle w:val="legclearfix2"/>
        <w:spacing w:after="0" w:line="259" w:lineRule="auto"/>
        <w:ind w:left="1928" w:hanging="794"/>
        <w:rPr>
          <w:rFonts w:ascii="Arial" w:hAnsi="Arial" w:cs="Arial"/>
          <w:sz w:val="24"/>
          <w:szCs w:val="24"/>
          <w:lang w:val="en"/>
        </w:rPr>
      </w:pPr>
      <w:r w:rsidRPr="009E21DE">
        <w:rPr>
          <w:rFonts w:ascii="Arial" w:hAnsi="Arial" w:cs="Arial"/>
          <w:sz w:val="24"/>
          <w:szCs w:val="24"/>
          <w:lang w:val="en"/>
        </w:rPr>
        <w:lastRenderedPageBreak/>
        <w:t>(b)</w:t>
      </w:r>
      <w:r>
        <w:rPr>
          <w:rFonts w:ascii="Arial" w:hAnsi="Arial" w:cs="Arial"/>
          <w:sz w:val="24"/>
          <w:szCs w:val="24"/>
          <w:lang w:val="en"/>
        </w:rPr>
        <w:tab/>
        <w:t>W</w:t>
      </w:r>
      <w:r w:rsidRPr="009E21DE">
        <w:rPr>
          <w:rFonts w:ascii="Arial" w:hAnsi="Arial" w:cs="Arial"/>
          <w:sz w:val="24"/>
          <w:szCs w:val="24"/>
          <w:lang w:val="en"/>
        </w:rPr>
        <w:t>itnessed one or more other children suffer abuse of a kind referred to in paragraph (a),</w:t>
      </w:r>
    </w:p>
    <w:p w14:paraId="679C410E" w14:textId="77777777" w:rsidR="009024C3" w:rsidRPr="009E21DE" w:rsidRDefault="009024C3" w:rsidP="009024C3">
      <w:pPr>
        <w:pStyle w:val="legclearfix2"/>
        <w:spacing w:after="0" w:line="259" w:lineRule="auto"/>
        <w:ind w:left="1928" w:hanging="794"/>
        <w:rPr>
          <w:rFonts w:ascii="Arial" w:hAnsi="Arial" w:cs="Arial"/>
          <w:sz w:val="24"/>
          <w:szCs w:val="24"/>
          <w:lang w:val="en"/>
        </w:rPr>
      </w:pPr>
      <w:r w:rsidRPr="009E21DE">
        <w:rPr>
          <w:rFonts w:ascii="Arial" w:hAnsi="Arial" w:cs="Arial"/>
          <w:sz w:val="24"/>
          <w:szCs w:val="24"/>
          <w:lang w:val="en"/>
        </w:rPr>
        <w:t xml:space="preserve">(c) </w:t>
      </w:r>
      <w:r>
        <w:rPr>
          <w:rFonts w:ascii="Arial" w:hAnsi="Arial" w:cs="Arial"/>
          <w:sz w:val="24"/>
          <w:szCs w:val="24"/>
          <w:lang w:val="en"/>
        </w:rPr>
        <w:tab/>
        <w:t>O</w:t>
      </w:r>
      <w:r w:rsidRPr="009E21DE">
        <w:rPr>
          <w:rFonts w:ascii="Arial" w:hAnsi="Arial" w:cs="Arial"/>
          <w:sz w:val="24"/>
          <w:szCs w:val="24"/>
          <w:lang w:val="en"/>
        </w:rPr>
        <w:t>therwise been exposed to a harsh environment, or</w:t>
      </w:r>
    </w:p>
    <w:p w14:paraId="707896BE" w14:textId="77777777" w:rsidR="009024C3" w:rsidRPr="009E21DE" w:rsidRDefault="009024C3" w:rsidP="009024C3">
      <w:pPr>
        <w:pStyle w:val="legclearfix2"/>
        <w:spacing w:line="259" w:lineRule="auto"/>
        <w:ind w:left="1928" w:hanging="794"/>
        <w:rPr>
          <w:rFonts w:ascii="Arial" w:hAnsi="Arial" w:cs="Arial"/>
          <w:sz w:val="24"/>
          <w:szCs w:val="24"/>
          <w:lang w:val="en"/>
        </w:rPr>
      </w:pPr>
      <w:r w:rsidRPr="009E21DE">
        <w:rPr>
          <w:rFonts w:ascii="Arial" w:hAnsi="Arial" w:cs="Arial"/>
          <w:sz w:val="24"/>
          <w:szCs w:val="24"/>
          <w:lang w:val="en"/>
        </w:rPr>
        <w:t xml:space="preserve">(d) </w:t>
      </w:r>
      <w:r>
        <w:rPr>
          <w:rFonts w:ascii="Arial" w:hAnsi="Arial" w:cs="Arial"/>
          <w:sz w:val="24"/>
          <w:szCs w:val="24"/>
          <w:lang w:val="en"/>
        </w:rPr>
        <w:tab/>
        <w:t>B</w:t>
      </w:r>
      <w:r w:rsidRPr="009E21DE">
        <w:rPr>
          <w:rFonts w:ascii="Arial" w:hAnsi="Arial" w:cs="Arial"/>
          <w:sz w:val="24"/>
          <w:szCs w:val="24"/>
          <w:lang w:val="en"/>
        </w:rPr>
        <w:t>een sent to Australia under the programme commonly known as the “Child Migrants Programme”.</w:t>
      </w:r>
    </w:p>
    <w:p w14:paraId="5D3BDD00" w14:textId="77777777" w:rsidR="009024C3" w:rsidRDefault="009024C3" w:rsidP="00132136">
      <w:pPr>
        <w:pStyle w:val="ListParagraph"/>
        <w:numPr>
          <w:ilvl w:val="0"/>
          <w:numId w:val="53"/>
        </w:numPr>
        <w:spacing w:after="120"/>
        <w:ind w:left="1134" w:hanging="567"/>
        <w:contextualSpacing w:val="0"/>
        <w:rPr>
          <w:rFonts w:ascii="Arial" w:eastAsia="Times New Roman" w:hAnsi="Arial" w:cs="Arial"/>
          <w:color w:val="000000"/>
          <w:sz w:val="24"/>
          <w:szCs w:val="24"/>
          <w:lang w:eastAsia="en-NZ"/>
        </w:rPr>
      </w:pPr>
      <w:r w:rsidRPr="00A80D5C">
        <w:rPr>
          <w:rFonts w:ascii="Arial" w:eastAsia="Times New Roman" w:hAnsi="Arial" w:cs="Arial"/>
          <w:color w:val="000000"/>
          <w:sz w:val="24"/>
          <w:szCs w:val="24"/>
          <w:lang w:eastAsia="en-NZ"/>
        </w:rPr>
        <w:t>The HIA Act also establishes a new statutory position of Commissioner for Survivors of Institutional Childhood Abuse (</w:t>
      </w:r>
      <w:r w:rsidRPr="00A80D5C">
        <w:rPr>
          <w:rFonts w:ascii="Arial" w:eastAsia="Times New Roman" w:hAnsi="Arial" w:cs="Arial"/>
          <w:b/>
          <w:color w:val="000000"/>
          <w:sz w:val="24"/>
          <w:szCs w:val="24"/>
          <w:lang w:eastAsia="en-NZ"/>
        </w:rPr>
        <w:t>the Commissioner</w:t>
      </w:r>
      <w:r w:rsidRPr="00A80D5C">
        <w:rPr>
          <w:rFonts w:ascii="Arial" w:eastAsia="Times New Roman" w:hAnsi="Arial" w:cs="Arial"/>
          <w:color w:val="000000"/>
          <w:sz w:val="24"/>
          <w:szCs w:val="24"/>
          <w:lang w:eastAsia="en-NZ"/>
        </w:rPr>
        <w:t xml:space="preserve">). The principal role of the Commissioner is to act as an advocate for the interests of survivors of institutional child abuse. </w:t>
      </w:r>
    </w:p>
    <w:p w14:paraId="5C9A2B14" w14:textId="77777777" w:rsidR="009024C3" w:rsidRPr="00A80D5C" w:rsidRDefault="009024C3" w:rsidP="00132136">
      <w:pPr>
        <w:pStyle w:val="ListParagraph"/>
        <w:numPr>
          <w:ilvl w:val="0"/>
          <w:numId w:val="53"/>
        </w:numPr>
        <w:spacing w:after="120"/>
        <w:ind w:left="1134" w:hanging="567"/>
        <w:contextualSpacing w:val="0"/>
        <w:rPr>
          <w:rFonts w:ascii="Arial" w:eastAsia="Times New Roman" w:hAnsi="Arial" w:cs="Arial"/>
          <w:color w:val="000000"/>
          <w:sz w:val="24"/>
          <w:szCs w:val="24"/>
          <w:lang w:eastAsia="en-NZ"/>
        </w:rPr>
      </w:pPr>
      <w:r w:rsidRPr="00A80D5C">
        <w:rPr>
          <w:rFonts w:ascii="Arial" w:eastAsia="Times New Roman" w:hAnsi="Arial" w:cs="Arial"/>
          <w:color w:val="000000"/>
          <w:sz w:val="24"/>
          <w:szCs w:val="24"/>
          <w:lang w:eastAsia="en-NZ"/>
        </w:rPr>
        <w:t>The Commissioner may respond to requests for advice on issues of interest to victims and survivors or provide such advice independently. The Commissioner is also responsible for:</w:t>
      </w:r>
    </w:p>
    <w:p w14:paraId="2173958E" w14:textId="77777777" w:rsidR="009024C3" w:rsidRPr="009E21DE" w:rsidRDefault="009024C3" w:rsidP="009024C3">
      <w:pPr>
        <w:pStyle w:val="ListParagraph"/>
        <w:numPr>
          <w:ilvl w:val="0"/>
          <w:numId w:val="14"/>
        </w:numPr>
        <w:spacing w:after="0"/>
        <w:ind w:left="1928" w:hanging="794"/>
        <w:contextualSpacing w:val="0"/>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monitoring decisions of the Redress Board</w:t>
      </w:r>
    </w:p>
    <w:p w14:paraId="6A3D22A7" w14:textId="77777777" w:rsidR="009024C3" w:rsidRPr="009E21DE" w:rsidRDefault="009024C3" w:rsidP="009024C3">
      <w:pPr>
        <w:pStyle w:val="ListParagraph"/>
        <w:numPr>
          <w:ilvl w:val="0"/>
          <w:numId w:val="14"/>
        </w:numPr>
        <w:spacing w:after="0"/>
        <w:ind w:left="1928" w:hanging="794"/>
        <w:contextualSpacing w:val="0"/>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assisting and supporting persons wanting assistance with making applications to the Redress Board</w:t>
      </w:r>
    </w:p>
    <w:p w14:paraId="4667581B" w14:textId="77777777" w:rsidR="009024C3" w:rsidRPr="009E21DE" w:rsidRDefault="009024C3" w:rsidP="009024C3">
      <w:pPr>
        <w:pStyle w:val="ListParagraph"/>
        <w:numPr>
          <w:ilvl w:val="0"/>
          <w:numId w:val="14"/>
        </w:numPr>
        <w:spacing w:after="0"/>
        <w:ind w:left="1928" w:hanging="794"/>
        <w:contextualSpacing w:val="0"/>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advocating for survivors to ensure they have access to services, including education and employment opportunities.</w:t>
      </w:r>
    </w:p>
    <w:p w14:paraId="1C44648D" w14:textId="77777777" w:rsidR="00342850" w:rsidRDefault="00342850" w:rsidP="00342850">
      <w:pPr>
        <w:pStyle w:val="ListParagraph"/>
        <w:spacing w:after="120"/>
        <w:ind w:left="1134"/>
        <w:contextualSpacing w:val="0"/>
        <w:rPr>
          <w:rFonts w:ascii="Arial" w:eastAsia="Times New Roman" w:hAnsi="Arial" w:cs="Arial"/>
          <w:color w:val="000000"/>
          <w:sz w:val="24"/>
          <w:szCs w:val="24"/>
          <w:lang w:eastAsia="en-NZ"/>
        </w:rPr>
      </w:pPr>
    </w:p>
    <w:p w14:paraId="05ABCBD2" w14:textId="4E04768A" w:rsidR="009024C3" w:rsidRPr="00A80D5C" w:rsidRDefault="009024C3" w:rsidP="00132136">
      <w:pPr>
        <w:pStyle w:val="ListParagraph"/>
        <w:numPr>
          <w:ilvl w:val="0"/>
          <w:numId w:val="53"/>
        </w:numPr>
        <w:spacing w:after="120"/>
        <w:ind w:left="1134" w:hanging="567"/>
        <w:contextualSpacing w:val="0"/>
        <w:rPr>
          <w:rFonts w:ascii="Arial" w:eastAsia="Times New Roman" w:hAnsi="Arial" w:cs="Arial"/>
          <w:color w:val="000000"/>
          <w:sz w:val="24"/>
          <w:szCs w:val="24"/>
          <w:lang w:eastAsia="en-NZ"/>
        </w:rPr>
      </w:pPr>
      <w:r w:rsidRPr="00A80D5C">
        <w:rPr>
          <w:rFonts w:ascii="Arial" w:eastAsia="Times New Roman" w:hAnsi="Arial" w:cs="Arial"/>
          <w:color w:val="000000"/>
          <w:sz w:val="24"/>
          <w:szCs w:val="24"/>
          <w:lang w:eastAsia="en-NZ"/>
        </w:rPr>
        <w:t xml:space="preserve">The Commissioner must appoint an Advisory Panel. The Panel acts as a forum for consultation and discussion purposes. The Panel is be comprised of victims and survivors of abuse.  </w:t>
      </w:r>
    </w:p>
    <w:p w14:paraId="43CCB03B" w14:textId="77777777" w:rsidR="009024C3" w:rsidRDefault="009024C3" w:rsidP="009024C3">
      <w:pPr>
        <w:pStyle w:val="Heading2"/>
        <w:ind w:left="567"/>
        <w:rPr>
          <w:rFonts w:ascii="Arial" w:hAnsi="Arial" w:cs="Arial"/>
          <w:b/>
          <w:color w:val="000000" w:themeColor="text1"/>
          <w:sz w:val="24"/>
          <w:szCs w:val="24"/>
          <w:lang w:val="en-NZ"/>
        </w:rPr>
      </w:pPr>
    </w:p>
    <w:p w14:paraId="5AF3C725" w14:textId="77777777" w:rsidR="00640742" w:rsidRDefault="00640742">
      <w:pPr>
        <w:rPr>
          <w:rFonts w:ascii="Arial" w:eastAsiaTheme="majorEastAsia" w:hAnsi="Arial" w:cs="Arial"/>
          <w:b/>
          <w:color w:val="000000" w:themeColor="text1"/>
          <w:sz w:val="24"/>
          <w:szCs w:val="24"/>
        </w:rPr>
      </w:pPr>
      <w:r>
        <w:rPr>
          <w:rFonts w:ascii="Arial" w:hAnsi="Arial" w:cs="Arial"/>
          <w:b/>
          <w:color w:val="000000" w:themeColor="text1"/>
          <w:sz w:val="24"/>
          <w:szCs w:val="24"/>
        </w:rPr>
        <w:br w:type="page"/>
      </w:r>
    </w:p>
    <w:p w14:paraId="35829284" w14:textId="77DEDA98" w:rsidR="005C409F" w:rsidRPr="009E21DE" w:rsidRDefault="00A478E7" w:rsidP="00DE3B17">
      <w:pPr>
        <w:pStyle w:val="Heading2"/>
        <w:numPr>
          <w:ilvl w:val="0"/>
          <w:numId w:val="5"/>
        </w:numPr>
        <w:ind w:left="1134" w:hanging="567"/>
        <w:rPr>
          <w:rFonts w:ascii="Arial" w:hAnsi="Arial" w:cs="Arial"/>
          <w:b/>
          <w:color w:val="000000" w:themeColor="text1"/>
          <w:sz w:val="24"/>
          <w:szCs w:val="24"/>
          <w:lang w:val="en-NZ"/>
        </w:rPr>
      </w:pPr>
      <w:r>
        <w:rPr>
          <w:rFonts w:ascii="Arial" w:hAnsi="Arial" w:cs="Arial"/>
          <w:b/>
          <w:color w:val="000000" w:themeColor="text1"/>
          <w:sz w:val="24"/>
          <w:szCs w:val="24"/>
          <w:lang w:val="en-NZ"/>
        </w:rPr>
        <w:lastRenderedPageBreak/>
        <w:t>R</w:t>
      </w:r>
      <w:r w:rsidR="0087415F">
        <w:rPr>
          <w:rFonts w:ascii="Arial" w:hAnsi="Arial" w:cs="Arial"/>
          <w:b/>
          <w:color w:val="000000" w:themeColor="text1"/>
          <w:sz w:val="24"/>
          <w:szCs w:val="24"/>
          <w:lang w:val="en-NZ"/>
        </w:rPr>
        <w:t>EP</w:t>
      </w:r>
      <w:r w:rsidR="00640742">
        <w:rPr>
          <w:rFonts w:ascii="Arial" w:hAnsi="Arial" w:cs="Arial"/>
          <w:b/>
          <w:color w:val="000000" w:themeColor="text1"/>
          <w:sz w:val="24"/>
          <w:szCs w:val="24"/>
          <w:lang w:val="en-NZ"/>
        </w:rPr>
        <w:t>U</w:t>
      </w:r>
      <w:r w:rsidR="0087415F">
        <w:rPr>
          <w:rFonts w:ascii="Arial" w:hAnsi="Arial" w:cs="Arial"/>
          <w:b/>
          <w:color w:val="000000" w:themeColor="text1"/>
          <w:sz w:val="24"/>
          <w:szCs w:val="24"/>
          <w:lang w:val="en-NZ"/>
        </w:rPr>
        <w:t>BLIC OF IRELAND</w:t>
      </w:r>
    </w:p>
    <w:p w14:paraId="7954103A" w14:textId="77777777" w:rsidR="003369C4" w:rsidRDefault="003369C4" w:rsidP="00A478E7">
      <w:pPr>
        <w:spacing w:after="120" w:line="240" w:lineRule="auto"/>
        <w:ind w:left="567"/>
        <w:rPr>
          <w:rFonts w:ascii="Arial" w:eastAsia="Times New Roman" w:hAnsi="Arial" w:cs="Arial"/>
          <w:b/>
          <w:bCs/>
          <w:color w:val="000000"/>
          <w:sz w:val="24"/>
          <w:szCs w:val="24"/>
          <w:lang w:eastAsia="en-NZ"/>
        </w:rPr>
      </w:pPr>
    </w:p>
    <w:p w14:paraId="00BF8264" w14:textId="4D8B6FFD" w:rsidR="00D96413" w:rsidRPr="00D96413" w:rsidRDefault="00D96413" w:rsidP="00A478E7">
      <w:pPr>
        <w:spacing w:after="120" w:line="240" w:lineRule="auto"/>
        <w:ind w:left="567"/>
        <w:rPr>
          <w:rFonts w:ascii="Arial" w:eastAsia="Times New Roman" w:hAnsi="Arial" w:cs="Arial"/>
          <w:b/>
          <w:bCs/>
          <w:color w:val="000000"/>
          <w:sz w:val="24"/>
          <w:szCs w:val="24"/>
          <w:lang w:eastAsia="en-NZ"/>
        </w:rPr>
      </w:pPr>
      <w:r>
        <w:rPr>
          <w:rFonts w:ascii="Arial" w:eastAsia="Times New Roman" w:hAnsi="Arial" w:cs="Arial"/>
          <w:b/>
          <w:bCs/>
          <w:color w:val="000000"/>
          <w:sz w:val="24"/>
          <w:szCs w:val="24"/>
          <w:lang w:eastAsia="en-NZ"/>
        </w:rPr>
        <w:t>Commission to Inquiry into Child Abuse</w:t>
      </w:r>
    </w:p>
    <w:p w14:paraId="6CF82D35" w14:textId="77777777" w:rsidR="003369C4" w:rsidRDefault="003369C4" w:rsidP="003369C4">
      <w:pPr>
        <w:pStyle w:val="ListParagraph"/>
        <w:spacing w:after="120" w:line="240" w:lineRule="auto"/>
        <w:ind w:left="1134"/>
        <w:contextualSpacing w:val="0"/>
        <w:rPr>
          <w:rFonts w:ascii="Arial" w:eastAsia="Times New Roman" w:hAnsi="Arial" w:cs="Arial"/>
          <w:sz w:val="24"/>
          <w:szCs w:val="24"/>
          <w:lang w:val="en" w:eastAsia="en-NZ"/>
        </w:rPr>
      </w:pPr>
    </w:p>
    <w:p w14:paraId="2DAF5E07" w14:textId="28FF80AD" w:rsidR="00B902D9" w:rsidRPr="00B902D9" w:rsidRDefault="00B902D9" w:rsidP="00132136">
      <w:pPr>
        <w:pStyle w:val="ListParagraph"/>
        <w:numPr>
          <w:ilvl w:val="0"/>
          <w:numId w:val="54"/>
        </w:numPr>
        <w:spacing w:after="120"/>
        <w:ind w:left="1134" w:hanging="567"/>
        <w:contextualSpacing w:val="0"/>
        <w:rPr>
          <w:rFonts w:ascii="Arial" w:eastAsia="Times New Roman" w:hAnsi="Arial" w:cs="Arial"/>
          <w:sz w:val="24"/>
          <w:szCs w:val="24"/>
          <w:lang w:val="en" w:eastAsia="en-NZ"/>
        </w:rPr>
      </w:pPr>
      <w:r w:rsidRPr="00B902D9">
        <w:rPr>
          <w:rFonts w:ascii="Arial" w:eastAsia="Times New Roman" w:hAnsi="Arial" w:cs="Arial"/>
          <w:sz w:val="24"/>
          <w:szCs w:val="24"/>
          <w:lang w:val="en" w:eastAsia="en-NZ"/>
        </w:rPr>
        <w:t xml:space="preserve">The Commission </w:t>
      </w:r>
      <w:r>
        <w:rPr>
          <w:rFonts w:ascii="Arial" w:eastAsia="Times New Roman" w:hAnsi="Arial" w:cs="Arial"/>
          <w:sz w:val="24"/>
          <w:szCs w:val="24"/>
          <w:lang w:val="en" w:eastAsia="en-NZ"/>
        </w:rPr>
        <w:t xml:space="preserve">to Inquire into Child Abuse </w:t>
      </w:r>
      <w:r w:rsidRPr="00B902D9">
        <w:rPr>
          <w:rFonts w:ascii="Arial" w:eastAsia="Times New Roman" w:hAnsi="Arial" w:cs="Arial"/>
          <w:sz w:val="24"/>
          <w:szCs w:val="24"/>
          <w:lang w:val="en" w:eastAsia="en-NZ"/>
        </w:rPr>
        <w:t>was established on 23 May 2000</w:t>
      </w:r>
      <w:r>
        <w:rPr>
          <w:rFonts w:ascii="Arial" w:eastAsia="Times New Roman" w:hAnsi="Arial" w:cs="Arial"/>
          <w:sz w:val="24"/>
          <w:szCs w:val="24"/>
          <w:lang w:val="en" w:eastAsia="en-NZ"/>
        </w:rPr>
        <w:t xml:space="preserve"> (</w:t>
      </w:r>
      <w:r>
        <w:rPr>
          <w:rFonts w:ascii="Arial" w:eastAsia="Times New Roman" w:hAnsi="Arial" w:cs="Arial"/>
          <w:b/>
          <w:sz w:val="24"/>
          <w:szCs w:val="24"/>
          <w:lang w:val="en" w:eastAsia="en-NZ"/>
        </w:rPr>
        <w:t>CICA</w:t>
      </w:r>
      <w:r>
        <w:rPr>
          <w:rFonts w:ascii="Arial" w:eastAsia="Times New Roman" w:hAnsi="Arial" w:cs="Arial"/>
          <w:sz w:val="24"/>
          <w:szCs w:val="24"/>
          <w:lang w:val="en" w:eastAsia="en-NZ"/>
        </w:rPr>
        <w:t>). CICA was</w:t>
      </w:r>
      <w:r w:rsidRPr="00B902D9">
        <w:rPr>
          <w:rFonts w:ascii="Arial" w:eastAsia="Times New Roman" w:hAnsi="Arial" w:cs="Arial"/>
          <w:sz w:val="24"/>
          <w:szCs w:val="24"/>
          <w:lang w:val="en" w:eastAsia="en-NZ"/>
        </w:rPr>
        <w:t xml:space="preserve"> given three primary functions:</w:t>
      </w:r>
    </w:p>
    <w:p w14:paraId="3BB6FF0C" w14:textId="77777777" w:rsidR="00B902D9" w:rsidRPr="00B902D9" w:rsidRDefault="00B902D9" w:rsidP="00132136">
      <w:pPr>
        <w:numPr>
          <w:ilvl w:val="0"/>
          <w:numId w:val="42"/>
        </w:numPr>
        <w:spacing w:after="0" w:line="240" w:lineRule="auto"/>
        <w:ind w:left="1928" w:hanging="794"/>
        <w:rPr>
          <w:rFonts w:ascii="Arial" w:eastAsia="Times New Roman" w:hAnsi="Arial" w:cs="Arial"/>
          <w:sz w:val="24"/>
          <w:szCs w:val="24"/>
          <w:lang w:val="en" w:eastAsia="en-NZ"/>
        </w:rPr>
      </w:pPr>
      <w:r w:rsidRPr="00B902D9">
        <w:rPr>
          <w:rFonts w:ascii="Arial" w:eastAsia="Times New Roman" w:hAnsi="Arial" w:cs="Arial"/>
          <w:sz w:val="24"/>
          <w:szCs w:val="24"/>
          <w:lang w:val="en" w:eastAsia="en-NZ"/>
        </w:rPr>
        <w:t>to hear evidence of abuse from persons who allege they suffered abuse in childhood, in institutions, during the period from 1940 or earlier, to the present day;</w:t>
      </w:r>
    </w:p>
    <w:p w14:paraId="7663344A" w14:textId="77777777" w:rsidR="00B902D9" w:rsidRPr="00B902D9" w:rsidRDefault="00B902D9" w:rsidP="00132136">
      <w:pPr>
        <w:numPr>
          <w:ilvl w:val="0"/>
          <w:numId w:val="42"/>
        </w:numPr>
        <w:spacing w:after="0" w:line="240" w:lineRule="auto"/>
        <w:ind w:left="1928" w:hanging="794"/>
        <w:rPr>
          <w:rFonts w:ascii="Arial" w:eastAsia="Times New Roman" w:hAnsi="Arial" w:cs="Arial"/>
          <w:sz w:val="24"/>
          <w:szCs w:val="24"/>
          <w:lang w:val="en" w:eastAsia="en-NZ"/>
        </w:rPr>
      </w:pPr>
      <w:r w:rsidRPr="00B902D9">
        <w:rPr>
          <w:rFonts w:ascii="Arial" w:eastAsia="Times New Roman" w:hAnsi="Arial" w:cs="Arial"/>
          <w:sz w:val="24"/>
          <w:szCs w:val="24"/>
          <w:lang w:val="en" w:eastAsia="en-NZ"/>
        </w:rPr>
        <w:t>to conduct an inquiry into abuse of children in institutions during that period and, where satisfied that abuse occurred, to determine the causes, nature, circumstances and extent of such abuse; and</w:t>
      </w:r>
    </w:p>
    <w:p w14:paraId="56D9FF48" w14:textId="77777777" w:rsidR="00B902D9" w:rsidRPr="00B902D9" w:rsidRDefault="00B902D9" w:rsidP="00132136">
      <w:pPr>
        <w:numPr>
          <w:ilvl w:val="0"/>
          <w:numId w:val="42"/>
        </w:numPr>
        <w:spacing w:after="120" w:line="240" w:lineRule="auto"/>
        <w:ind w:left="1928" w:hanging="794"/>
        <w:rPr>
          <w:rFonts w:ascii="Arial" w:eastAsia="Times New Roman" w:hAnsi="Arial" w:cs="Arial"/>
          <w:sz w:val="24"/>
          <w:szCs w:val="24"/>
          <w:lang w:val="en" w:eastAsia="en-NZ"/>
        </w:rPr>
      </w:pPr>
      <w:r w:rsidRPr="00B902D9">
        <w:rPr>
          <w:rFonts w:ascii="Arial" w:eastAsia="Times New Roman" w:hAnsi="Arial" w:cs="Arial"/>
          <w:sz w:val="24"/>
          <w:szCs w:val="24"/>
          <w:lang w:val="en" w:eastAsia="en-NZ"/>
        </w:rPr>
        <w:t>to prepare and publish reports on the results of the inquiry and on its recommendations in relation to dealing with the effects of such abuse.</w:t>
      </w:r>
    </w:p>
    <w:p w14:paraId="39A843E8" w14:textId="00CBCC00" w:rsidR="003550FF" w:rsidRPr="00B902D9" w:rsidRDefault="00B902D9" w:rsidP="00132136">
      <w:pPr>
        <w:pStyle w:val="ListParagraph"/>
        <w:numPr>
          <w:ilvl w:val="0"/>
          <w:numId w:val="55"/>
        </w:numPr>
        <w:spacing w:after="120"/>
        <w:ind w:left="1134" w:hanging="567"/>
        <w:contextualSpacing w:val="0"/>
        <w:rPr>
          <w:rFonts w:ascii="Arial" w:eastAsia="Times New Roman" w:hAnsi="Arial" w:cs="Arial"/>
          <w:color w:val="000000"/>
          <w:sz w:val="24"/>
          <w:szCs w:val="24"/>
          <w:lang w:eastAsia="en-NZ"/>
        </w:rPr>
      </w:pPr>
      <w:r w:rsidRPr="00B902D9">
        <w:rPr>
          <w:rFonts w:ascii="Arial" w:eastAsia="Times New Roman" w:hAnsi="Arial" w:cs="Arial"/>
          <w:sz w:val="24"/>
          <w:szCs w:val="24"/>
          <w:lang w:val="en" w:eastAsia="en-NZ"/>
        </w:rPr>
        <w:t xml:space="preserve">However, </w:t>
      </w:r>
      <w:r w:rsidR="008624D2">
        <w:rPr>
          <w:rFonts w:ascii="Arial" w:eastAsia="Times New Roman" w:hAnsi="Arial" w:cs="Arial"/>
          <w:sz w:val="24"/>
          <w:szCs w:val="24"/>
          <w:lang w:val="en" w:eastAsia="en-NZ"/>
        </w:rPr>
        <w:t xml:space="preserve">CICA </w:t>
      </w:r>
      <w:r w:rsidRPr="00B902D9">
        <w:rPr>
          <w:rFonts w:ascii="Arial" w:eastAsia="Times New Roman" w:hAnsi="Arial" w:cs="Arial"/>
          <w:sz w:val="24"/>
          <w:szCs w:val="24"/>
          <w:lang w:val="en" w:eastAsia="en-NZ"/>
        </w:rPr>
        <w:t xml:space="preserve">has no role in relation to financial compensation. The Irish Government instead introduced the Residential Institutions Redress Act </w:t>
      </w:r>
      <w:r>
        <w:rPr>
          <w:rFonts w:ascii="Arial" w:eastAsia="Times New Roman" w:hAnsi="Arial" w:cs="Arial"/>
          <w:sz w:val="24"/>
          <w:szCs w:val="24"/>
          <w:lang w:val="en" w:eastAsia="en-NZ"/>
        </w:rPr>
        <w:t>(</w:t>
      </w:r>
      <w:r>
        <w:rPr>
          <w:rFonts w:ascii="Arial" w:eastAsia="Times New Roman" w:hAnsi="Arial" w:cs="Arial"/>
          <w:b/>
          <w:sz w:val="24"/>
          <w:szCs w:val="24"/>
          <w:lang w:val="en" w:eastAsia="en-NZ"/>
        </w:rPr>
        <w:t xml:space="preserve">the </w:t>
      </w:r>
      <w:r w:rsidRPr="00B902D9">
        <w:rPr>
          <w:rFonts w:ascii="Arial" w:eastAsia="Times New Roman" w:hAnsi="Arial" w:cs="Arial"/>
          <w:b/>
          <w:sz w:val="24"/>
          <w:szCs w:val="24"/>
          <w:lang w:val="en" w:eastAsia="en-NZ"/>
        </w:rPr>
        <w:t>2002 Act</w:t>
      </w:r>
      <w:r>
        <w:rPr>
          <w:rFonts w:ascii="Arial" w:eastAsia="Times New Roman" w:hAnsi="Arial" w:cs="Arial"/>
          <w:sz w:val="24"/>
          <w:szCs w:val="24"/>
          <w:lang w:val="en" w:eastAsia="en-NZ"/>
        </w:rPr>
        <w:t xml:space="preserve">) </w:t>
      </w:r>
      <w:r w:rsidRPr="00B902D9">
        <w:rPr>
          <w:rFonts w:ascii="Arial" w:eastAsia="Times New Roman" w:hAnsi="Arial" w:cs="Arial"/>
          <w:sz w:val="24"/>
          <w:szCs w:val="24"/>
          <w:lang w:val="en" w:eastAsia="en-NZ"/>
        </w:rPr>
        <w:t xml:space="preserve">and </w:t>
      </w:r>
      <w:r>
        <w:rPr>
          <w:rFonts w:ascii="Arial" w:eastAsia="Times New Roman" w:hAnsi="Arial" w:cs="Arial"/>
          <w:sz w:val="24"/>
          <w:szCs w:val="24"/>
          <w:lang w:val="en" w:eastAsia="en-NZ"/>
        </w:rPr>
        <w:t>t</w:t>
      </w:r>
      <w:r w:rsidR="0097030A" w:rsidRPr="00B902D9">
        <w:rPr>
          <w:rFonts w:ascii="Arial" w:eastAsia="Times New Roman" w:hAnsi="Arial" w:cs="Arial"/>
          <w:color w:val="000000"/>
          <w:sz w:val="24"/>
          <w:szCs w:val="24"/>
          <w:lang w:eastAsia="en-NZ"/>
        </w:rPr>
        <w:t>he Compensation Advisory Committee (</w:t>
      </w:r>
      <w:r w:rsidR="0097030A" w:rsidRPr="00B902D9">
        <w:rPr>
          <w:rFonts w:ascii="Arial" w:eastAsia="Times New Roman" w:hAnsi="Arial" w:cs="Arial"/>
          <w:b/>
          <w:color w:val="000000"/>
          <w:sz w:val="24"/>
          <w:szCs w:val="24"/>
          <w:lang w:eastAsia="en-NZ"/>
        </w:rPr>
        <w:t>the CAC</w:t>
      </w:r>
      <w:r w:rsidR="0097030A" w:rsidRPr="00B902D9">
        <w:rPr>
          <w:rFonts w:ascii="Arial" w:eastAsia="Times New Roman" w:hAnsi="Arial" w:cs="Arial"/>
          <w:color w:val="000000"/>
          <w:sz w:val="24"/>
          <w:szCs w:val="24"/>
          <w:lang w:eastAsia="en-NZ"/>
        </w:rPr>
        <w:t xml:space="preserve">) </w:t>
      </w:r>
      <w:r w:rsidR="005C409F" w:rsidRPr="00B902D9">
        <w:rPr>
          <w:rFonts w:ascii="Arial" w:eastAsia="Times New Roman" w:hAnsi="Arial" w:cs="Arial"/>
          <w:color w:val="000000"/>
          <w:sz w:val="24"/>
          <w:szCs w:val="24"/>
          <w:lang w:eastAsia="en-NZ"/>
        </w:rPr>
        <w:t xml:space="preserve">to provide recommendations on mechanisms for calculating financial compensation for survivors of abuse. </w:t>
      </w:r>
    </w:p>
    <w:p w14:paraId="013C987F" w14:textId="1631B459" w:rsidR="001C443F" w:rsidRPr="00A478E7" w:rsidRDefault="001C443F"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A478E7">
        <w:rPr>
          <w:rFonts w:ascii="Arial" w:eastAsia="Times New Roman" w:hAnsi="Arial" w:cs="Arial"/>
          <w:color w:val="000000"/>
          <w:sz w:val="24"/>
          <w:szCs w:val="24"/>
          <w:lang w:eastAsia="en-NZ"/>
        </w:rPr>
        <w:t xml:space="preserve">The CAC determined that payments should be consistent with what courts would award under tort law. </w:t>
      </w:r>
    </w:p>
    <w:p w14:paraId="63627093" w14:textId="45AFAFD8" w:rsidR="0097030A" w:rsidRPr="00A478E7" w:rsidRDefault="005C409F"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A478E7">
        <w:rPr>
          <w:rFonts w:ascii="Arial" w:eastAsia="Times New Roman" w:hAnsi="Arial" w:cs="Arial"/>
          <w:color w:val="000000"/>
          <w:sz w:val="24"/>
          <w:szCs w:val="24"/>
          <w:lang w:eastAsia="en-NZ"/>
        </w:rPr>
        <w:t>The recommendations of the C</w:t>
      </w:r>
      <w:r w:rsidR="00A51AA5">
        <w:rPr>
          <w:rFonts w:ascii="Arial" w:eastAsia="Times New Roman" w:hAnsi="Arial" w:cs="Arial"/>
          <w:color w:val="000000"/>
          <w:sz w:val="24"/>
          <w:szCs w:val="24"/>
          <w:lang w:eastAsia="en-NZ"/>
        </w:rPr>
        <w:t>AC</w:t>
      </w:r>
      <w:r w:rsidRPr="00A478E7">
        <w:rPr>
          <w:rFonts w:ascii="Arial" w:eastAsia="Times New Roman" w:hAnsi="Arial" w:cs="Arial"/>
          <w:color w:val="000000"/>
          <w:sz w:val="24"/>
          <w:szCs w:val="24"/>
          <w:lang w:eastAsia="en-NZ"/>
        </w:rPr>
        <w:t xml:space="preserve"> were adopted and incorporated within the </w:t>
      </w:r>
      <w:r w:rsidR="00227CAD" w:rsidRPr="00A51AA5">
        <w:rPr>
          <w:rFonts w:ascii="Arial" w:eastAsia="Times New Roman" w:hAnsi="Arial" w:cs="Arial"/>
          <w:color w:val="000000"/>
          <w:sz w:val="24"/>
          <w:szCs w:val="24"/>
          <w:lang w:eastAsia="en-NZ"/>
        </w:rPr>
        <w:t>2002 Act</w:t>
      </w:r>
      <w:r w:rsidR="001C443F" w:rsidRPr="00A478E7">
        <w:rPr>
          <w:rFonts w:ascii="Arial" w:eastAsia="Times New Roman" w:hAnsi="Arial" w:cs="Arial"/>
          <w:color w:val="000000"/>
          <w:sz w:val="24"/>
          <w:szCs w:val="24"/>
          <w:lang w:eastAsia="en-NZ"/>
        </w:rPr>
        <w:t xml:space="preserve"> and</w:t>
      </w:r>
      <w:r w:rsidR="008624D2">
        <w:rPr>
          <w:rFonts w:ascii="Arial" w:eastAsia="Times New Roman" w:hAnsi="Arial" w:cs="Arial"/>
          <w:color w:val="000000"/>
          <w:sz w:val="24"/>
          <w:szCs w:val="24"/>
          <w:lang w:eastAsia="en-NZ"/>
        </w:rPr>
        <w:t xml:space="preserve"> the </w:t>
      </w:r>
      <w:r w:rsidR="001C443F" w:rsidRPr="00A478E7">
        <w:rPr>
          <w:rFonts w:ascii="Arial" w:eastAsia="Times New Roman" w:hAnsi="Arial" w:cs="Arial"/>
          <w:color w:val="000000"/>
          <w:sz w:val="24"/>
          <w:szCs w:val="24"/>
          <w:lang w:eastAsia="en-NZ"/>
        </w:rPr>
        <w:t>Residential Institutions Redress Act 2002 (section 17) Regulations</w:t>
      </w:r>
      <w:r w:rsidR="0097030A" w:rsidRPr="00A478E7">
        <w:rPr>
          <w:rFonts w:ascii="Arial" w:eastAsia="Times New Roman" w:hAnsi="Arial" w:cs="Arial"/>
          <w:color w:val="000000"/>
          <w:sz w:val="24"/>
          <w:szCs w:val="24"/>
          <w:lang w:eastAsia="en-NZ"/>
        </w:rPr>
        <w:t xml:space="preserve"> (</w:t>
      </w:r>
      <w:r w:rsidR="0097030A" w:rsidRPr="00A478E7">
        <w:rPr>
          <w:rFonts w:ascii="Arial" w:eastAsia="Times New Roman" w:hAnsi="Arial" w:cs="Arial"/>
          <w:b/>
          <w:color w:val="000000"/>
          <w:sz w:val="24"/>
          <w:szCs w:val="24"/>
          <w:lang w:eastAsia="en-NZ"/>
        </w:rPr>
        <w:t>the section 17 regulations</w:t>
      </w:r>
      <w:r w:rsidR="0097030A" w:rsidRPr="00A478E7">
        <w:rPr>
          <w:rFonts w:ascii="Arial" w:eastAsia="Times New Roman" w:hAnsi="Arial" w:cs="Arial"/>
          <w:color w:val="000000"/>
          <w:sz w:val="24"/>
          <w:szCs w:val="24"/>
          <w:lang w:eastAsia="en-NZ"/>
        </w:rPr>
        <w:t>)</w:t>
      </w:r>
      <w:r w:rsidRPr="00A478E7">
        <w:rPr>
          <w:rFonts w:ascii="Arial" w:eastAsia="Times New Roman" w:hAnsi="Arial" w:cs="Arial"/>
          <w:color w:val="000000"/>
          <w:sz w:val="24"/>
          <w:szCs w:val="24"/>
          <w:lang w:eastAsia="en-NZ"/>
        </w:rPr>
        <w:t xml:space="preserve">. </w:t>
      </w:r>
    </w:p>
    <w:p w14:paraId="23FB4AC6" w14:textId="52859BCE" w:rsidR="005C409F" w:rsidRPr="00A478E7" w:rsidRDefault="005C409F"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A478E7">
        <w:rPr>
          <w:rFonts w:ascii="Arial" w:eastAsia="Times New Roman" w:hAnsi="Arial" w:cs="Arial"/>
          <w:color w:val="000000"/>
          <w:sz w:val="24"/>
          <w:szCs w:val="24"/>
          <w:lang w:eastAsia="en-NZ"/>
        </w:rPr>
        <w:t xml:space="preserve">The 2002 Act established the Residential Institutions Redress Board </w:t>
      </w:r>
      <w:r w:rsidR="00B92CCE" w:rsidRPr="00A478E7">
        <w:rPr>
          <w:rFonts w:ascii="Arial" w:eastAsia="Times New Roman" w:hAnsi="Arial" w:cs="Arial"/>
          <w:color w:val="000000"/>
          <w:sz w:val="24"/>
          <w:szCs w:val="24"/>
          <w:lang w:eastAsia="en-NZ"/>
        </w:rPr>
        <w:t>(</w:t>
      </w:r>
      <w:r w:rsidR="00B92CCE" w:rsidRPr="00A478E7">
        <w:rPr>
          <w:rFonts w:ascii="Arial" w:eastAsia="Times New Roman" w:hAnsi="Arial" w:cs="Arial"/>
          <w:b/>
          <w:color w:val="000000"/>
          <w:sz w:val="24"/>
          <w:szCs w:val="24"/>
          <w:lang w:eastAsia="en-NZ"/>
        </w:rPr>
        <w:t>the RIRB</w:t>
      </w:r>
      <w:r w:rsidR="00B92CCE" w:rsidRPr="00A478E7">
        <w:rPr>
          <w:rFonts w:ascii="Arial" w:eastAsia="Times New Roman" w:hAnsi="Arial" w:cs="Arial"/>
          <w:color w:val="000000"/>
          <w:sz w:val="24"/>
          <w:szCs w:val="24"/>
          <w:lang w:eastAsia="en-NZ"/>
        </w:rPr>
        <w:t xml:space="preserve">) </w:t>
      </w:r>
      <w:r w:rsidRPr="00A478E7">
        <w:rPr>
          <w:rFonts w:ascii="Arial" w:eastAsia="Times New Roman" w:hAnsi="Arial" w:cs="Arial"/>
          <w:color w:val="000000"/>
          <w:sz w:val="24"/>
          <w:szCs w:val="24"/>
          <w:lang w:eastAsia="en-NZ"/>
        </w:rPr>
        <w:t>which administers the redress scheme.</w:t>
      </w:r>
      <w:r w:rsidR="00B92CCE">
        <w:rPr>
          <w:rStyle w:val="FootnoteReference"/>
          <w:rFonts w:ascii="Arial" w:eastAsia="Times New Roman" w:hAnsi="Arial" w:cs="Arial"/>
          <w:color w:val="000000"/>
          <w:sz w:val="24"/>
          <w:szCs w:val="24"/>
          <w:lang w:eastAsia="en-NZ"/>
        </w:rPr>
        <w:footnoteReference w:id="25"/>
      </w:r>
    </w:p>
    <w:p w14:paraId="44CB47EE" w14:textId="3F16937A" w:rsidR="005C409F" w:rsidRPr="00A478E7" w:rsidRDefault="005C409F"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A478E7">
        <w:rPr>
          <w:rFonts w:ascii="Arial" w:eastAsia="Times New Roman" w:hAnsi="Arial" w:cs="Arial"/>
          <w:color w:val="000000"/>
          <w:sz w:val="24"/>
          <w:szCs w:val="24"/>
          <w:lang w:eastAsia="en-NZ"/>
        </w:rPr>
        <w:t xml:space="preserve">Applications needed to be submitted within 3 years of the establishment of the RIRB under legislation, although the Board had discretion to extend time limits if </w:t>
      </w:r>
      <w:r w:rsidR="00792CF5">
        <w:rPr>
          <w:rFonts w:ascii="Arial" w:eastAsia="Times New Roman" w:hAnsi="Arial" w:cs="Arial"/>
          <w:color w:val="000000"/>
          <w:sz w:val="24"/>
          <w:szCs w:val="24"/>
          <w:lang w:eastAsia="en-NZ"/>
        </w:rPr>
        <w:t xml:space="preserve">the </w:t>
      </w:r>
      <w:r w:rsidRPr="00A478E7">
        <w:rPr>
          <w:rFonts w:ascii="Arial" w:eastAsia="Times New Roman" w:hAnsi="Arial" w:cs="Arial"/>
          <w:color w:val="000000"/>
          <w:sz w:val="24"/>
          <w:szCs w:val="24"/>
          <w:lang w:eastAsia="en-NZ"/>
        </w:rPr>
        <w:t xml:space="preserve">person was under a </w:t>
      </w:r>
      <w:r w:rsidR="00EC53FC" w:rsidRPr="00A478E7">
        <w:rPr>
          <w:rFonts w:ascii="Arial" w:eastAsia="Times New Roman" w:hAnsi="Arial" w:cs="Arial"/>
          <w:color w:val="000000"/>
          <w:sz w:val="24"/>
          <w:szCs w:val="24"/>
          <w:lang w:eastAsia="en-NZ"/>
        </w:rPr>
        <w:t xml:space="preserve">legal </w:t>
      </w:r>
      <w:r w:rsidRPr="00A478E7">
        <w:rPr>
          <w:rFonts w:ascii="Arial" w:eastAsia="Times New Roman" w:hAnsi="Arial" w:cs="Arial"/>
          <w:color w:val="000000"/>
          <w:sz w:val="24"/>
          <w:szCs w:val="24"/>
          <w:lang w:eastAsia="en-NZ"/>
        </w:rPr>
        <w:t>disability.</w:t>
      </w:r>
      <w:r w:rsidR="006872F8">
        <w:rPr>
          <w:rFonts w:ascii="Arial" w:eastAsia="Times New Roman" w:hAnsi="Arial" w:cs="Arial"/>
          <w:color w:val="000000"/>
          <w:sz w:val="24"/>
          <w:szCs w:val="24"/>
          <w:lang w:eastAsia="en-NZ"/>
        </w:rPr>
        <w:t xml:space="preserve"> Guidance material is available on </w:t>
      </w:r>
      <w:r w:rsidR="00792CF5">
        <w:rPr>
          <w:rFonts w:ascii="Arial" w:eastAsia="Times New Roman" w:hAnsi="Arial" w:cs="Arial"/>
          <w:color w:val="000000"/>
          <w:sz w:val="24"/>
          <w:szCs w:val="24"/>
          <w:lang w:eastAsia="en-NZ"/>
        </w:rPr>
        <w:t xml:space="preserve">the </w:t>
      </w:r>
      <w:r w:rsidR="006872F8">
        <w:rPr>
          <w:rFonts w:ascii="Arial" w:eastAsia="Times New Roman" w:hAnsi="Arial" w:cs="Arial"/>
          <w:color w:val="000000"/>
          <w:sz w:val="24"/>
          <w:szCs w:val="24"/>
          <w:lang w:eastAsia="en-NZ"/>
        </w:rPr>
        <w:t>RIRB website to support survivors through this process.</w:t>
      </w:r>
    </w:p>
    <w:p w14:paraId="39D06202" w14:textId="2CCB7E24" w:rsidR="00EC53FC" w:rsidRPr="00A478E7" w:rsidRDefault="00227CAD"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A478E7">
        <w:rPr>
          <w:rFonts w:ascii="Arial" w:eastAsia="Times New Roman" w:hAnsi="Arial" w:cs="Arial"/>
          <w:color w:val="000000"/>
          <w:sz w:val="24"/>
          <w:szCs w:val="24"/>
          <w:lang w:eastAsia="en-NZ"/>
        </w:rPr>
        <w:t xml:space="preserve">The 2002 Act was subsequently amended </w:t>
      </w:r>
      <w:r w:rsidR="00EC53FC" w:rsidRPr="00A478E7">
        <w:rPr>
          <w:rFonts w:ascii="Arial" w:eastAsia="Times New Roman" w:hAnsi="Arial" w:cs="Arial"/>
          <w:color w:val="000000"/>
          <w:sz w:val="24"/>
          <w:szCs w:val="24"/>
          <w:lang w:eastAsia="en-NZ"/>
        </w:rPr>
        <w:t>to allow late applications to be received until 17 September 2011</w:t>
      </w:r>
      <w:r w:rsidRPr="00A478E7">
        <w:rPr>
          <w:rFonts w:ascii="Arial" w:eastAsia="Times New Roman" w:hAnsi="Arial" w:cs="Arial"/>
          <w:color w:val="000000"/>
          <w:sz w:val="24"/>
          <w:szCs w:val="24"/>
          <w:lang w:eastAsia="en-NZ"/>
        </w:rPr>
        <w:t>.</w:t>
      </w:r>
    </w:p>
    <w:p w14:paraId="7E28C3CB" w14:textId="73642A70" w:rsidR="00EC53FC" w:rsidRPr="00A478E7" w:rsidRDefault="00EC53FC"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A478E7">
        <w:rPr>
          <w:rFonts w:ascii="Arial" w:eastAsia="Times New Roman" w:hAnsi="Arial" w:cs="Arial"/>
          <w:color w:val="000000"/>
          <w:sz w:val="24"/>
          <w:szCs w:val="24"/>
          <w:lang w:eastAsia="en-NZ"/>
        </w:rPr>
        <w:t>The 2002 Act</w:t>
      </w:r>
      <w:r w:rsidR="00792CF5">
        <w:rPr>
          <w:rFonts w:ascii="Arial" w:eastAsia="Times New Roman" w:hAnsi="Arial" w:cs="Arial"/>
          <w:color w:val="000000"/>
          <w:sz w:val="24"/>
          <w:szCs w:val="24"/>
          <w:lang w:eastAsia="en-NZ"/>
        </w:rPr>
        <w:t>,</w:t>
      </w:r>
      <w:r w:rsidRPr="00A478E7">
        <w:rPr>
          <w:rFonts w:ascii="Arial" w:eastAsia="Times New Roman" w:hAnsi="Arial" w:cs="Arial"/>
          <w:color w:val="000000"/>
          <w:sz w:val="24"/>
          <w:szCs w:val="24"/>
          <w:lang w:eastAsia="en-NZ"/>
        </w:rPr>
        <w:t xml:space="preserve"> as amended</w:t>
      </w:r>
      <w:r w:rsidR="00792CF5">
        <w:rPr>
          <w:rFonts w:ascii="Arial" w:eastAsia="Times New Roman" w:hAnsi="Arial" w:cs="Arial"/>
          <w:color w:val="000000"/>
          <w:sz w:val="24"/>
          <w:szCs w:val="24"/>
          <w:lang w:eastAsia="en-NZ"/>
        </w:rPr>
        <w:t>,</w:t>
      </w:r>
      <w:r w:rsidRPr="00A478E7">
        <w:rPr>
          <w:rFonts w:ascii="Arial" w:eastAsia="Times New Roman" w:hAnsi="Arial" w:cs="Arial"/>
          <w:color w:val="000000"/>
          <w:sz w:val="24"/>
          <w:szCs w:val="24"/>
          <w:lang w:eastAsia="en-NZ"/>
        </w:rPr>
        <w:t xml:space="preserve"> provides the basis for:</w:t>
      </w:r>
    </w:p>
    <w:p w14:paraId="0FF388E4" w14:textId="77777777" w:rsidR="00EC53FC" w:rsidRDefault="00EC53FC"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Entitlements;</w:t>
      </w:r>
    </w:p>
    <w:p w14:paraId="0CD74BB4" w14:textId="77777777" w:rsidR="00EC53FC" w:rsidRDefault="00EC53FC"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Participation and representation;</w:t>
      </w:r>
    </w:p>
    <w:p w14:paraId="3A7FE6B2" w14:textId="77777777" w:rsidR="00EC53FC" w:rsidRDefault="00EC53FC"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application and hearing process;</w:t>
      </w:r>
    </w:p>
    <w:p w14:paraId="57C21E3E" w14:textId="7BC8788E" w:rsidR="00EC53FC" w:rsidRDefault="000A371E"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hearing of e</w:t>
      </w:r>
      <w:r w:rsidR="00EC53FC">
        <w:rPr>
          <w:rFonts w:ascii="Arial" w:eastAsia="Times New Roman" w:hAnsi="Arial" w:cs="Arial"/>
          <w:color w:val="000000"/>
          <w:sz w:val="24"/>
          <w:szCs w:val="24"/>
          <w:lang w:eastAsia="en-NZ"/>
        </w:rPr>
        <w:t>vidence</w:t>
      </w:r>
      <w:r w:rsidR="006872F8">
        <w:rPr>
          <w:rFonts w:ascii="Arial" w:eastAsia="Times New Roman" w:hAnsi="Arial" w:cs="Arial"/>
          <w:color w:val="000000"/>
          <w:sz w:val="24"/>
          <w:szCs w:val="24"/>
          <w:lang w:eastAsia="en-NZ"/>
        </w:rPr>
        <w:t>, including expert witnesses and burden of proof</w:t>
      </w:r>
      <w:r w:rsidR="00EC53FC">
        <w:rPr>
          <w:rFonts w:ascii="Arial" w:eastAsia="Times New Roman" w:hAnsi="Arial" w:cs="Arial"/>
          <w:color w:val="000000"/>
          <w:sz w:val="24"/>
          <w:szCs w:val="24"/>
          <w:lang w:eastAsia="en-NZ"/>
        </w:rPr>
        <w:t>;</w:t>
      </w:r>
    </w:p>
    <w:p w14:paraId="662F4AD7" w14:textId="04E9E94F" w:rsidR="000A371E" w:rsidRDefault="000A371E"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The production of information;</w:t>
      </w:r>
    </w:p>
    <w:p w14:paraId="4D0F19B9" w14:textId="5A827DBA" w:rsidR="00EC53FC" w:rsidRDefault="00EC53FC"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lastRenderedPageBreak/>
        <w:t xml:space="preserve">Offers and acceptance of </w:t>
      </w:r>
      <w:r w:rsidR="00FF5F27">
        <w:rPr>
          <w:rFonts w:ascii="Arial" w:eastAsia="Times New Roman" w:hAnsi="Arial" w:cs="Arial"/>
          <w:color w:val="000000"/>
          <w:sz w:val="24"/>
          <w:szCs w:val="24"/>
          <w:lang w:eastAsia="en-NZ"/>
        </w:rPr>
        <w:t>monetary compensation</w:t>
      </w:r>
      <w:r>
        <w:rPr>
          <w:rFonts w:ascii="Arial" w:eastAsia="Times New Roman" w:hAnsi="Arial" w:cs="Arial"/>
          <w:color w:val="000000"/>
          <w:sz w:val="24"/>
          <w:szCs w:val="24"/>
          <w:lang w:eastAsia="en-NZ"/>
        </w:rPr>
        <w:t>;</w:t>
      </w:r>
    </w:p>
    <w:p w14:paraId="575AA8F2" w14:textId="64BCF1A3" w:rsidR="00EC53FC" w:rsidRDefault="00EC53FC"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Reviews of decisions</w:t>
      </w:r>
      <w:r w:rsidR="00792CF5">
        <w:rPr>
          <w:rFonts w:ascii="Arial" w:eastAsia="Times New Roman" w:hAnsi="Arial" w:cs="Arial"/>
          <w:color w:val="000000"/>
          <w:sz w:val="24"/>
          <w:szCs w:val="24"/>
          <w:lang w:eastAsia="en-NZ"/>
        </w:rPr>
        <w:t>;</w:t>
      </w:r>
    </w:p>
    <w:p w14:paraId="4C10247B" w14:textId="79B78FF7" w:rsidR="00EC53FC" w:rsidRDefault="00EC53FC"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Provision of </w:t>
      </w:r>
      <w:r w:rsidR="00384274">
        <w:rPr>
          <w:rFonts w:ascii="Arial" w:eastAsia="Times New Roman" w:hAnsi="Arial" w:cs="Arial"/>
          <w:color w:val="000000"/>
          <w:sz w:val="24"/>
          <w:szCs w:val="24"/>
          <w:lang w:eastAsia="en-NZ"/>
        </w:rPr>
        <w:t>monetary compensation</w:t>
      </w:r>
      <w:r>
        <w:rPr>
          <w:rFonts w:ascii="Arial" w:eastAsia="Times New Roman" w:hAnsi="Arial" w:cs="Arial"/>
          <w:color w:val="000000"/>
          <w:sz w:val="24"/>
          <w:szCs w:val="24"/>
          <w:lang w:eastAsia="en-NZ"/>
        </w:rPr>
        <w:t>;</w:t>
      </w:r>
    </w:p>
    <w:p w14:paraId="7C713425" w14:textId="27A65896" w:rsidR="000A371E" w:rsidRDefault="000A371E" w:rsidP="00A3296A">
      <w:pPr>
        <w:pStyle w:val="ListParagraph"/>
        <w:numPr>
          <w:ilvl w:val="0"/>
          <w:numId w:val="11"/>
        </w:numPr>
        <w:spacing w:after="0" w:line="240" w:lineRule="auto"/>
        <w:ind w:left="1928" w:hanging="794"/>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Release from civil liability;</w:t>
      </w:r>
    </w:p>
    <w:p w14:paraId="33A14C69" w14:textId="0302871C" w:rsidR="000A371E" w:rsidRDefault="000A371E" w:rsidP="00A3296A">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Regulation-making powers relating to assessment of compensation; and</w:t>
      </w:r>
    </w:p>
    <w:p w14:paraId="0A9324B3" w14:textId="427378F6" w:rsidR="000A371E" w:rsidRDefault="000A371E" w:rsidP="00A3296A">
      <w:pPr>
        <w:pStyle w:val="ListParagraph"/>
        <w:numPr>
          <w:ilvl w:val="0"/>
          <w:numId w:val="11"/>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Other administrative matters.</w:t>
      </w:r>
    </w:p>
    <w:p w14:paraId="6C541B31" w14:textId="0A4CB39B" w:rsidR="003550FF" w:rsidRPr="009E21DE" w:rsidRDefault="003550FF" w:rsidP="009E21DE">
      <w:pPr>
        <w:spacing w:after="0" w:line="240" w:lineRule="auto"/>
        <w:ind w:left="567"/>
        <w:rPr>
          <w:rFonts w:ascii="Arial" w:eastAsia="Times New Roman" w:hAnsi="Arial" w:cs="Arial"/>
          <w:color w:val="000000"/>
          <w:sz w:val="24"/>
          <w:szCs w:val="24"/>
          <w:lang w:eastAsia="en-NZ"/>
        </w:rPr>
      </w:pPr>
    </w:p>
    <w:p w14:paraId="3B63AE67" w14:textId="3F8EEA3C" w:rsidR="0097030A" w:rsidRPr="00A478E7" w:rsidRDefault="001C443F" w:rsidP="00132136">
      <w:pPr>
        <w:pStyle w:val="ListParagraph"/>
        <w:numPr>
          <w:ilvl w:val="0"/>
          <w:numId w:val="55"/>
        </w:numPr>
        <w:spacing w:after="0" w:line="240" w:lineRule="auto"/>
        <w:ind w:left="1134" w:hanging="567"/>
        <w:contextualSpacing w:val="0"/>
        <w:rPr>
          <w:rFonts w:ascii="Arial" w:eastAsia="Times New Roman" w:hAnsi="Arial" w:cs="Arial"/>
          <w:color w:val="000000"/>
          <w:sz w:val="24"/>
          <w:szCs w:val="24"/>
          <w:lang w:eastAsia="en-NZ"/>
        </w:rPr>
      </w:pPr>
      <w:r w:rsidRPr="00A478E7">
        <w:rPr>
          <w:rFonts w:ascii="Arial" w:eastAsia="Times New Roman" w:hAnsi="Arial" w:cs="Arial"/>
          <w:color w:val="000000"/>
          <w:sz w:val="24"/>
          <w:szCs w:val="24"/>
          <w:lang w:eastAsia="en-NZ"/>
        </w:rPr>
        <w:t xml:space="preserve">The RIRB provides redress is available for four forms of harm: physical; sexual; emotional, and neglect. </w:t>
      </w:r>
    </w:p>
    <w:p w14:paraId="4A61C312" w14:textId="0CF8AF24" w:rsidR="0097030A" w:rsidRDefault="001C443F" w:rsidP="001C443F">
      <w:pPr>
        <w:spacing w:after="0" w:line="240" w:lineRule="auto"/>
        <w:ind w:left="567"/>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 xml:space="preserve"> </w:t>
      </w:r>
    </w:p>
    <w:p w14:paraId="057AE08D" w14:textId="77777777" w:rsidR="00F96B21" w:rsidRPr="00F96B21" w:rsidRDefault="0097030A"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F96B21">
        <w:rPr>
          <w:rFonts w:ascii="Arial" w:eastAsia="Times New Roman" w:hAnsi="Arial" w:cs="Arial"/>
          <w:color w:val="000000"/>
          <w:sz w:val="24"/>
          <w:szCs w:val="24"/>
          <w:lang w:eastAsia="en-NZ"/>
        </w:rPr>
        <w:t xml:space="preserve">The section 17 regulations set out a methodology for awarding compensation based on the model recommended by the CAC. That is, applications would be scored according to: </w:t>
      </w:r>
    </w:p>
    <w:p w14:paraId="7F52B4CF" w14:textId="77777777" w:rsidR="00F96B21" w:rsidRDefault="0097030A" w:rsidP="00132136">
      <w:pPr>
        <w:pStyle w:val="ListParagraph"/>
        <w:numPr>
          <w:ilvl w:val="0"/>
          <w:numId w:val="39"/>
        </w:numPr>
        <w:spacing w:after="0" w:line="240" w:lineRule="auto"/>
        <w:ind w:left="1928" w:hanging="794"/>
        <w:contextualSpacing w:val="0"/>
        <w:rPr>
          <w:rFonts w:ascii="Arial" w:eastAsia="Times New Roman" w:hAnsi="Arial" w:cs="Arial"/>
          <w:color w:val="000000"/>
          <w:sz w:val="24"/>
          <w:szCs w:val="24"/>
          <w:lang w:eastAsia="en-NZ"/>
        </w:rPr>
      </w:pPr>
      <w:r w:rsidRPr="00F96B21">
        <w:rPr>
          <w:rFonts w:ascii="Arial" w:eastAsia="Times New Roman" w:hAnsi="Arial" w:cs="Arial"/>
          <w:color w:val="000000"/>
          <w:sz w:val="24"/>
          <w:szCs w:val="24"/>
          <w:lang w:eastAsia="en-NZ"/>
        </w:rPr>
        <w:t xml:space="preserve">severity of abuse; </w:t>
      </w:r>
    </w:p>
    <w:p w14:paraId="571875D0" w14:textId="77777777" w:rsidR="00F96B21" w:rsidRDefault="0097030A" w:rsidP="00132136">
      <w:pPr>
        <w:pStyle w:val="ListParagraph"/>
        <w:numPr>
          <w:ilvl w:val="0"/>
          <w:numId w:val="39"/>
        </w:numPr>
        <w:spacing w:after="0" w:line="240" w:lineRule="auto"/>
        <w:ind w:left="1928" w:hanging="794"/>
        <w:contextualSpacing w:val="0"/>
        <w:rPr>
          <w:rFonts w:ascii="Arial" w:eastAsia="Times New Roman" w:hAnsi="Arial" w:cs="Arial"/>
          <w:color w:val="000000"/>
          <w:sz w:val="24"/>
          <w:szCs w:val="24"/>
          <w:lang w:eastAsia="en-NZ"/>
        </w:rPr>
      </w:pPr>
      <w:r w:rsidRPr="00F96B21">
        <w:rPr>
          <w:rFonts w:ascii="Arial" w:eastAsia="Times New Roman" w:hAnsi="Arial" w:cs="Arial"/>
          <w:color w:val="000000"/>
          <w:sz w:val="24"/>
          <w:szCs w:val="24"/>
          <w:lang w:eastAsia="en-NZ"/>
        </w:rPr>
        <w:t xml:space="preserve">extent of physical and mental injury; </w:t>
      </w:r>
    </w:p>
    <w:p w14:paraId="42806025" w14:textId="77777777" w:rsidR="00F96B21" w:rsidRDefault="0097030A" w:rsidP="00132136">
      <w:pPr>
        <w:pStyle w:val="ListParagraph"/>
        <w:numPr>
          <w:ilvl w:val="0"/>
          <w:numId w:val="39"/>
        </w:numPr>
        <w:spacing w:after="0" w:line="240" w:lineRule="auto"/>
        <w:ind w:left="1928" w:hanging="794"/>
        <w:contextualSpacing w:val="0"/>
        <w:rPr>
          <w:rFonts w:ascii="Arial" w:eastAsia="Times New Roman" w:hAnsi="Arial" w:cs="Arial"/>
          <w:color w:val="000000"/>
          <w:sz w:val="24"/>
          <w:szCs w:val="24"/>
          <w:lang w:eastAsia="en-NZ"/>
        </w:rPr>
      </w:pPr>
      <w:r w:rsidRPr="00F96B21">
        <w:rPr>
          <w:rFonts w:ascii="Arial" w:eastAsia="Times New Roman" w:hAnsi="Arial" w:cs="Arial"/>
          <w:color w:val="000000"/>
          <w:sz w:val="24"/>
          <w:szCs w:val="24"/>
          <w:lang w:eastAsia="en-NZ"/>
        </w:rPr>
        <w:t xml:space="preserve">psycho-social sequelae of injury, and; </w:t>
      </w:r>
    </w:p>
    <w:p w14:paraId="0E49F49D" w14:textId="606CA199" w:rsidR="0097030A" w:rsidRPr="00F96B21" w:rsidRDefault="0097030A" w:rsidP="00132136">
      <w:pPr>
        <w:pStyle w:val="ListParagraph"/>
        <w:numPr>
          <w:ilvl w:val="0"/>
          <w:numId w:val="39"/>
        </w:numPr>
        <w:spacing w:after="0" w:line="240" w:lineRule="auto"/>
        <w:ind w:left="1928" w:hanging="794"/>
        <w:contextualSpacing w:val="0"/>
        <w:rPr>
          <w:rFonts w:ascii="Arial" w:eastAsia="Times New Roman" w:hAnsi="Arial" w:cs="Arial"/>
          <w:color w:val="000000"/>
          <w:sz w:val="24"/>
          <w:szCs w:val="24"/>
          <w:lang w:eastAsia="en-NZ"/>
        </w:rPr>
      </w:pPr>
      <w:r w:rsidRPr="00F96B21">
        <w:rPr>
          <w:rFonts w:ascii="Arial" w:eastAsia="Times New Roman" w:hAnsi="Arial" w:cs="Arial"/>
          <w:color w:val="000000"/>
          <w:sz w:val="24"/>
          <w:szCs w:val="24"/>
          <w:lang w:eastAsia="en-NZ"/>
        </w:rPr>
        <w:t>loss of opportunity.</w:t>
      </w:r>
      <w:r w:rsidR="00FF5F27">
        <w:rPr>
          <w:rStyle w:val="FootnoteReference"/>
          <w:rFonts w:ascii="Arial" w:eastAsia="Times New Roman" w:hAnsi="Arial" w:cs="Arial"/>
          <w:color w:val="000000"/>
          <w:sz w:val="24"/>
          <w:szCs w:val="24"/>
          <w:lang w:eastAsia="en-NZ"/>
        </w:rPr>
        <w:footnoteReference w:id="26"/>
      </w:r>
    </w:p>
    <w:p w14:paraId="33203006" w14:textId="77777777" w:rsidR="0097030A" w:rsidRDefault="0097030A" w:rsidP="001C443F">
      <w:pPr>
        <w:spacing w:after="0" w:line="240" w:lineRule="auto"/>
        <w:ind w:left="567"/>
        <w:rPr>
          <w:rFonts w:ascii="Arial" w:eastAsia="Times New Roman" w:hAnsi="Arial" w:cs="Arial"/>
          <w:color w:val="000000"/>
          <w:sz w:val="24"/>
          <w:szCs w:val="24"/>
          <w:lang w:eastAsia="en-NZ"/>
        </w:rPr>
      </w:pPr>
    </w:p>
    <w:p w14:paraId="67B62442" w14:textId="7DFA1559" w:rsidR="004D2234" w:rsidRPr="00F96B21" w:rsidRDefault="00F96B21"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F96B21">
        <w:rPr>
          <w:rFonts w:ascii="Arial" w:hAnsi="Arial" w:cs="Arial"/>
          <w:sz w:val="24"/>
          <w:szCs w:val="24"/>
        </w:rPr>
        <w:t>The survivor would receive a score based on the factors listed above with the total score being positioned within a band.</w:t>
      </w:r>
      <w:r>
        <w:rPr>
          <w:rFonts w:ascii="Arial" w:hAnsi="Arial" w:cs="Arial"/>
          <w:sz w:val="24"/>
          <w:szCs w:val="24"/>
        </w:rPr>
        <w:t xml:space="preserve"> </w:t>
      </w:r>
      <w:r w:rsidR="0097030A" w:rsidRPr="00F96B21">
        <w:rPr>
          <w:rFonts w:ascii="Arial" w:eastAsia="Times New Roman" w:hAnsi="Arial" w:cs="Arial"/>
          <w:color w:val="000000"/>
          <w:sz w:val="24"/>
          <w:szCs w:val="24"/>
          <w:lang w:eastAsia="en-NZ"/>
        </w:rPr>
        <w:t>Aggregated s</w:t>
      </w:r>
      <w:r w:rsidR="001C443F" w:rsidRPr="00F96B21">
        <w:rPr>
          <w:rFonts w:ascii="Arial" w:eastAsia="Times New Roman" w:hAnsi="Arial" w:cs="Arial"/>
          <w:color w:val="000000"/>
          <w:sz w:val="24"/>
          <w:szCs w:val="24"/>
          <w:lang w:eastAsia="en-NZ"/>
        </w:rPr>
        <w:t xml:space="preserve">cores would be placed into bands ranging </w:t>
      </w:r>
      <w:r>
        <w:rPr>
          <w:rFonts w:ascii="Arial" w:eastAsia="Times New Roman" w:hAnsi="Arial" w:cs="Arial"/>
          <w:color w:val="000000"/>
          <w:sz w:val="24"/>
          <w:szCs w:val="24"/>
          <w:lang w:eastAsia="en-NZ"/>
        </w:rPr>
        <w:t xml:space="preserve">in value </w:t>
      </w:r>
      <w:r w:rsidR="001C443F" w:rsidRPr="00F96B21">
        <w:rPr>
          <w:rFonts w:ascii="Arial" w:eastAsia="Times New Roman" w:hAnsi="Arial" w:cs="Arial"/>
          <w:color w:val="000000"/>
          <w:sz w:val="24"/>
          <w:szCs w:val="24"/>
          <w:lang w:eastAsia="en-NZ"/>
        </w:rPr>
        <w:t xml:space="preserve">from €25,000 </w:t>
      </w:r>
      <w:r w:rsidR="00792CF5">
        <w:rPr>
          <w:rFonts w:ascii="Arial" w:eastAsia="Times New Roman" w:hAnsi="Arial" w:cs="Arial"/>
          <w:color w:val="000000"/>
          <w:sz w:val="24"/>
          <w:szCs w:val="24"/>
          <w:lang w:eastAsia="en-NZ"/>
        </w:rPr>
        <w:t xml:space="preserve">up </w:t>
      </w:r>
      <w:r w:rsidR="001C443F" w:rsidRPr="00F96B21">
        <w:rPr>
          <w:rFonts w:ascii="Arial" w:eastAsia="Times New Roman" w:hAnsi="Arial" w:cs="Arial"/>
          <w:color w:val="000000"/>
          <w:sz w:val="24"/>
          <w:szCs w:val="24"/>
          <w:lang w:eastAsia="en-NZ"/>
        </w:rPr>
        <w:t xml:space="preserve">to €300,000. </w:t>
      </w:r>
    </w:p>
    <w:p w14:paraId="042C42B7" w14:textId="16969B81" w:rsidR="004D2234" w:rsidRPr="00F96B21" w:rsidRDefault="004D2234"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F96B21">
        <w:rPr>
          <w:rFonts w:ascii="Arial" w:eastAsia="Times New Roman" w:hAnsi="Arial" w:cs="Arial"/>
          <w:color w:val="000000"/>
          <w:sz w:val="24"/>
          <w:szCs w:val="24"/>
          <w:lang w:eastAsia="en-NZ"/>
        </w:rPr>
        <w:t>The RIRB can award interim payments of up to €10,000 where the person was eligible to receive compensation, the compensation would be at least an equivalent value, and the payment is reasonable considering the age and health of the applicant.</w:t>
      </w:r>
    </w:p>
    <w:p w14:paraId="33765914" w14:textId="77777777" w:rsidR="001C2920" w:rsidRPr="006872F8" w:rsidRDefault="001C2920"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6872F8">
        <w:rPr>
          <w:rFonts w:ascii="Arial" w:eastAsia="Times New Roman" w:hAnsi="Arial" w:cs="Arial"/>
          <w:color w:val="000000"/>
          <w:sz w:val="24"/>
          <w:szCs w:val="24"/>
          <w:lang w:eastAsia="en-NZ"/>
        </w:rPr>
        <w:t>In order to be eligible for redress, the individual must:</w:t>
      </w:r>
    </w:p>
    <w:p w14:paraId="5E44184D" w14:textId="77777777" w:rsidR="001C2920" w:rsidRPr="009E21DE" w:rsidRDefault="001C2920" w:rsidP="00A3296A">
      <w:pPr>
        <w:pStyle w:val="ListParagraph"/>
        <w:numPr>
          <w:ilvl w:val="0"/>
          <w:numId w:val="4"/>
        </w:numPr>
        <w:spacing w:after="0" w:line="240" w:lineRule="auto"/>
        <w:ind w:left="1928" w:hanging="794"/>
        <w:contextualSpacing w:val="0"/>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have been a resident of one of the institutions listed in the 2002 Act;</w:t>
      </w:r>
    </w:p>
    <w:p w14:paraId="7565191C" w14:textId="77777777" w:rsidR="001C2920" w:rsidRPr="009E21DE" w:rsidRDefault="001C2920" w:rsidP="00A3296A">
      <w:pPr>
        <w:pStyle w:val="ListParagraph"/>
        <w:numPr>
          <w:ilvl w:val="0"/>
          <w:numId w:val="4"/>
        </w:numPr>
        <w:spacing w:after="0" w:line="240" w:lineRule="auto"/>
        <w:ind w:left="1928" w:hanging="794"/>
        <w:contextualSpacing w:val="0"/>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have been under 18 years of age at the time;</w:t>
      </w:r>
    </w:p>
    <w:p w14:paraId="428150E4" w14:textId="77777777" w:rsidR="001C2920" w:rsidRPr="009E21DE" w:rsidRDefault="001C2920" w:rsidP="00A3296A">
      <w:pPr>
        <w:pStyle w:val="ListParagraph"/>
        <w:numPr>
          <w:ilvl w:val="0"/>
          <w:numId w:val="4"/>
        </w:numPr>
        <w:spacing w:after="0" w:line="240" w:lineRule="auto"/>
        <w:ind w:left="1928" w:hanging="794"/>
        <w:contextualSpacing w:val="0"/>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have suffered abuse while at the institution and suffered some form of injury consistent with that abuse, and;</w:t>
      </w:r>
    </w:p>
    <w:p w14:paraId="76090F45" w14:textId="77777777" w:rsidR="001C2920" w:rsidRPr="009E21DE" w:rsidRDefault="001C2920" w:rsidP="00A3296A">
      <w:pPr>
        <w:pStyle w:val="ListParagraph"/>
        <w:numPr>
          <w:ilvl w:val="0"/>
          <w:numId w:val="4"/>
        </w:numPr>
        <w:spacing w:after="0" w:line="240" w:lineRule="auto"/>
        <w:ind w:left="1928" w:hanging="794"/>
        <w:contextualSpacing w:val="0"/>
        <w:rPr>
          <w:rFonts w:ascii="Arial" w:eastAsia="Times New Roman" w:hAnsi="Arial" w:cs="Arial"/>
          <w:color w:val="000000"/>
          <w:sz w:val="24"/>
          <w:szCs w:val="24"/>
          <w:lang w:eastAsia="en-NZ"/>
        </w:rPr>
      </w:pPr>
      <w:r w:rsidRPr="009E21DE">
        <w:rPr>
          <w:rFonts w:ascii="Arial" w:eastAsia="Times New Roman" w:hAnsi="Arial" w:cs="Arial"/>
          <w:color w:val="000000"/>
          <w:sz w:val="24"/>
          <w:szCs w:val="24"/>
          <w:lang w:eastAsia="en-NZ"/>
        </w:rPr>
        <w:t>not have previously settled a claim for compensation.</w:t>
      </w:r>
    </w:p>
    <w:p w14:paraId="75FF3E28" w14:textId="77777777" w:rsidR="001C2920" w:rsidRPr="009E21DE" w:rsidRDefault="001C2920" w:rsidP="001C2920">
      <w:pPr>
        <w:spacing w:after="0" w:line="240" w:lineRule="auto"/>
        <w:ind w:left="567"/>
        <w:rPr>
          <w:rFonts w:ascii="Arial" w:eastAsia="Times New Roman" w:hAnsi="Arial" w:cs="Arial"/>
          <w:color w:val="000000"/>
          <w:sz w:val="24"/>
          <w:szCs w:val="24"/>
          <w:lang w:eastAsia="en-NZ"/>
        </w:rPr>
      </w:pPr>
    </w:p>
    <w:p w14:paraId="2C9801CB" w14:textId="39E0CF2C" w:rsidR="004D2234" w:rsidRPr="00AD5A2C" w:rsidRDefault="00280942"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M</w:t>
      </w:r>
      <w:r w:rsidR="001C443F" w:rsidRPr="00AD5A2C">
        <w:rPr>
          <w:rFonts w:ascii="Arial" w:eastAsia="Times New Roman" w:hAnsi="Arial" w:cs="Arial"/>
          <w:color w:val="000000"/>
          <w:sz w:val="24"/>
          <w:szCs w:val="24"/>
          <w:lang w:eastAsia="en-NZ"/>
        </w:rPr>
        <w:t>edia reports</w:t>
      </w:r>
      <w:r>
        <w:rPr>
          <w:rStyle w:val="FootnoteReference"/>
          <w:rFonts w:ascii="Arial" w:eastAsia="Times New Roman" w:hAnsi="Arial" w:cs="Arial"/>
          <w:color w:val="000000"/>
          <w:sz w:val="24"/>
          <w:szCs w:val="24"/>
          <w:lang w:eastAsia="en-NZ"/>
        </w:rPr>
        <w:footnoteReference w:id="27"/>
      </w:r>
      <w:r w:rsidR="001C443F" w:rsidRPr="00AD5A2C">
        <w:rPr>
          <w:rFonts w:ascii="Arial" w:eastAsia="Times New Roman" w:hAnsi="Arial" w:cs="Arial"/>
          <w:color w:val="000000"/>
          <w:sz w:val="24"/>
          <w:szCs w:val="24"/>
          <w:lang w:eastAsia="en-NZ"/>
        </w:rPr>
        <w:t xml:space="preserve"> show that</w:t>
      </w:r>
      <w:r w:rsidR="004D2234" w:rsidRPr="00AD5A2C">
        <w:rPr>
          <w:rFonts w:ascii="Arial" w:eastAsia="Times New Roman" w:hAnsi="Arial" w:cs="Arial"/>
          <w:color w:val="000000"/>
          <w:sz w:val="24"/>
          <w:szCs w:val="24"/>
          <w:lang w:eastAsia="en-NZ"/>
        </w:rPr>
        <w:t>:</w:t>
      </w:r>
    </w:p>
    <w:p w14:paraId="44BDB7D4" w14:textId="77777777" w:rsidR="004D2234" w:rsidRDefault="001C443F" w:rsidP="00A3296A">
      <w:pPr>
        <w:pStyle w:val="ListParagraph"/>
        <w:numPr>
          <w:ilvl w:val="0"/>
          <w:numId w:val="13"/>
        </w:numPr>
        <w:spacing w:after="0" w:line="240" w:lineRule="auto"/>
        <w:ind w:left="1928" w:hanging="794"/>
        <w:contextualSpacing w:val="0"/>
        <w:rPr>
          <w:rFonts w:ascii="Arial" w:eastAsia="Times New Roman" w:hAnsi="Arial" w:cs="Arial"/>
          <w:color w:val="000000"/>
          <w:sz w:val="24"/>
          <w:szCs w:val="24"/>
          <w:lang w:eastAsia="en-NZ"/>
        </w:rPr>
      </w:pPr>
      <w:r w:rsidRPr="004D2234">
        <w:rPr>
          <w:rFonts w:ascii="Arial" w:eastAsia="Times New Roman" w:hAnsi="Arial" w:cs="Arial"/>
          <w:color w:val="000000"/>
          <w:sz w:val="24"/>
          <w:szCs w:val="24"/>
          <w:lang w:eastAsia="en-NZ"/>
        </w:rPr>
        <w:t>16,650 applications have been received</w:t>
      </w:r>
    </w:p>
    <w:p w14:paraId="21BF22A7" w14:textId="7B6554A0" w:rsidR="004D2234" w:rsidRDefault="004D2234" w:rsidP="00A3296A">
      <w:pPr>
        <w:pStyle w:val="ListParagraph"/>
        <w:numPr>
          <w:ilvl w:val="0"/>
          <w:numId w:val="13"/>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less than 10% (1,069)</w:t>
      </w:r>
      <w:r w:rsidR="003C5E47">
        <w:rPr>
          <w:rFonts w:ascii="Arial" w:eastAsia="Times New Roman" w:hAnsi="Arial" w:cs="Arial"/>
          <w:color w:val="000000"/>
          <w:sz w:val="24"/>
          <w:szCs w:val="24"/>
          <w:lang w:eastAsia="en-NZ"/>
        </w:rPr>
        <w:t xml:space="preserve"> of</w:t>
      </w:r>
      <w:r>
        <w:rPr>
          <w:rFonts w:ascii="Arial" w:eastAsia="Times New Roman" w:hAnsi="Arial" w:cs="Arial"/>
          <w:color w:val="000000"/>
          <w:sz w:val="24"/>
          <w:szCs w:val="24"/>
          <w:lang w:eastAsia="en-NZ"/>
        </w:rPr>
        <w:t xml:space="preserve"> applications were withdrawn, refused or resulted in no compensation being awarded</w:t>
      </w:r>
    </w:p>
    <w:p w14:paraId="791AE329" w14:textId="37DD7EC3" w:rsidR="004D2234" w:rsidRDefault="001C443F" w:rsidP="00A3296A">
      <w:pPr>
        <w:pStyle w:val="ListParagraph"/>
        <w:numPr>
          <w:ilvl w:val="0"/>
          <w:numId w:val="13"/>
        </w:numPr>
        <w:spacing w:after="0" w:line="240" w:lineRule="auto"/>
        <w:ind w:left="1928" w:hanging="794"/>
        <w:contextualSpacing w:val="0"/>
        <w:rPr>
          <w:rFonts w:ascii="Arial" w:eastAsia="Times New Roman" w:hAnsi="Arial" w:cs="Arial"/>
          <w:color w:val="000000"/>
          <w:sz w:val="24"/>
          <w:szCs w:val="24"/>
          <w:lang w:eastAsia="en-NZ"/>
        </w:rPr>
      </w:pPr>
      <w:r w:rsidRPr="004D2234">
        <w:rPr>
          <w:rFonts w:ascii="Arial" w:eastAsia="Times New Roman" w:hAnsi="Arial" w:cs="Arial"/>
          <w:color w:val="000000"/>
          <w:sz w:val="24"/>
          <w:szCs w:val="24"/>
          <w:lang w:eastAsia="en-NZ"/>
        </w:rPr>
        <w:t>awards totall</w:t>
      </w:r>
      <w:r w:rsidR="004D2234">
        <w:rPr>
          <w:rFonts w:ascii="Arial" w:eastAsia="Times New Roman" w:hAnsi="Arial" w:cs="Arial"/>
          <w:color w:val="000000"/>
          <w:sz w:val="24"/>
          <w:szCs w:val="24"/>
          <w:lang w:eastAsia="en-NZ"/>
        </w:rPr>
        <w:t>ed</w:t>
      </w:r>
      <w:r w:rsidRPr="004D2234">
        <w:rPr>
          <w:rFonts w:ascii="Arial" w:eastAsia="Times New Roman" w:hAnsi="Arial" w:cs="Arial"/>
          <w:color w:val="000000"/>
          <w:sz w:val="24"/>
          <w:szCs w:val="24"/>
          <w:lang w:eastAsia="en-NZ"/>
        </w:rPr>
        <w:t xml:space="preserve"> almost €1 billion</w:t>
      </w:r>
    </w:p>
    <w:p w14:paraId="72998017" w14:textId="187E1948" w:rsidR="004D2234" w:rsidRDefault="004D2234" w:rsidP="00A3296A">
      <w:pPr>
        <w:pStyle w:val="ListParagraph"/>
        <w:numPr>
          <w:ilvl w:val="0"/>
          <w:numId w:val="13"/>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the </w:t>
      </w:r>
      <w:r w:rsidR="001C443F" w:rsidRPr="004D2234">
        <w:rPr>
          <w:rFonts w:ascii="Arial" w:eastAsia="Times New Roman" w:hAnsi="Arial" w:cs="Arial"/>
          <w:color w:val="000000"/>
          <w:sz w:val="24"/>
          <w:szCs w:val="24"/>
          <w:lang w:eastAsia="en-NZ"/>
        </w:rPr>
        <w:t xml:space="preserve">average payment </w:t>
      </w:r>
      <w:r>
        <w:rPr>
          <w:rFonts w:ascii="Arial" w:eastAsia="Times New Roman" w:hAnsi="Arial" w:cs="Arial"/>
          <w:color w:val="000000"/>
          <w:sz w:val="24"/>
          <w:szCs w:val="24"/>
          <w:lang w:eastAsia="en-NZ"/>
        </w:rPr>
        <w:t>was</w:t>
      </w:r>
      <w:r w:rsidR="001C443F" w:rsidRPr="004D2234">
        <w:rPr>
          <w:rFonts w:ascii="Arial" w:eastAsia="Times New Roman" w:hAnsi="Arial" w:cs="Arial"/>
          <w:color w:val="000000"/>
          <w:sz w:val="24"/>
          <w:szCs w:val="24"/>
          <w:lang w:eastAsia="en-NZ"/>
        </w:rPr>
        <w:t xml:space="preserve"> €62,000</w:t>
      </w:r>
    </w:p>
    <w:p w14:paraId="389CA13E" w14:textId="14485300" w:rsidR="001C2920" w:rsidRDefault="001C2920" w:rsidP="00A3296A">
      <w:pPr>
        <w:pStyle w:val="ListParagraph"/>
        <w:numPr>
          <w:ilvl w:val="0"/>
          <w:numId w:val="13"/>
        </w:numPr>
        <w:spacing w:after="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t xml:space="preserve">most </w:t>
      </w:r>
      <w:r w:rsidR="00787F0F">
        <w:rPr>
          <w:rFonts w:ascii="Arial" w:eastAsia="Times New Roman" w:hAnsi="Arial" w:cs="Arial"/>
          <w:color w:val="000000"/>
          <w:sz w:val="24"/>
          <w:szCs w:val="24"/>
          <w:lang w:eastAsia="en-NZ"/>
        </w:rPr>
        <w:t>applications</w:t>
      </w:r>
      <w:r w:rsidR="00BF3194">
        <w:rPr>
          <w:rFonts w:ascii="Arial" w:eastAsia="Times New Roman" w:hAnsi="Arial" w:cs="Arial"/>
          <w:color w:val="000000"/>
          <w:sz w:val="24"/>
          <w:szCs w:val="24"/>
          <w:lang w:eastAsia="en-NZ"/>
        </w:rPr>
        <w:t xml:space="preserve"> (12,016)</w:t>
      </w:r>
      <w:r w:rsidR="00787F0F">
        <w:rPr>
          <w:rFonts w:ascii="Arial" w:eastAsia="Times New Roman" w:hAnsi="Arial" w:cs="Arial"/>
          <w:color w:val="000000"/>
          <w:sz w:val="24"/>
          <w:szCs w:val="24"/>
          <w:lang w:eastAsia="en-NZ"/>
        </w:rPr>
        <w:t xml:space="preserve"> were resolved through settlement rather than proceed</w:t>
      </w:r>
      <w:r w:rsidR="00BF3194">
        <w:rPr>
          <w:rFonts w:ascii="Arial" w:eastAsia="Times New Roman" w:hAnsi="Arial" w:cs="Arial"/>
          <w:color w:val="000000"/>
          <w:sz w:val="24"/>
          <w:szCs w:val="24"/>
          <w:lang w:eastAsia="en-NZ"/>
        </w:rPr>
        <w:t>ed</w:t>
      </w:r>
      <w:r w:rsidR="00787F0F">
        <w:rPr>
          <w:rFonts w:ascii="Arial" w:eastAsia="Times New Roman" w:hAnsi="Arial" w:cs="Arial"/>
          <w:color w:val="000000"/>
          <w:sz w:val="24"/>
          <w:szCs w:val="24"/>
          <w:lang w:eastAsia="en-NZ"/>
        </w:rPr>
        <w:t xml:space="preserve"> to a hearing (2,994 claims were resolved following a hearing</w:t>
      </w:r>
      <w:r w:rsidR="00BF3194">
        <w:rPr>
          <w:rFonts w:ascii="Arial" w:eastAsia="Times New Roman" w:hAnsi="Arial" w:cs="Arial"/>
          <w:color w:val="000000"/>
          <w:sz w:val="24"/>
          <w:szCs w:val="24"/>
          <w:lang w:eastAsia="en-NZ"/>
        </w:rPr>
        <w:t>, with 571 awards following an appeal</w:t>
      </w:r>
      <w:r w:rsidR="00787F0F">
        <w:rPr>
          <w:rFonts w:ascii="Arial" w:eastAsia="Times New Roman" w:hAnsi="Arial" w:cs="Arial"/>
          <w:color w:val="000000"/>
          <w:sz w:val="24"/>
          <w:szCs w:val="24"/>
          <w:lang w:eastAsia="en-NZ"/>
        </w:rPr>
        <w:t>)</w:t>
      </w:r>
    </w:p>
    <w:p w14:paraId="44B894E5" w14:textId="77777777" w:rsidR="004D2234" w:rsidRDefault="004D2234" w:rsidP="00A51AA5">
      <w:pPr>
        <w:pStyle w:val="ListParagraph"/>
        <w:numPr>
          <w:ilvl w:val="0"/>
          <w:numId w:val="13"/>
        </w:numPr>
        <w:spacing w:after="120" w:line="240" w:lineRule="auto"/>
        <w:ind w:left="1928" w:hanging="794"/>
        <w:contextualSpacing w:val="0"/>
        <w:rPr>
          <w:rFonts w:ascii="Arial" w:eastAsia="Times New Roman" w:hAnsi="Arial" w:cs="Arial"/>
          <w:color w:val="000000"/>
          <w:sz w:val="24"/>
          <w:szCs w:val="24"/>
          <w:lang w:eastAsia="en-NZ"/>
        </w:rPr>
      </w:pPr>
      <w:r>
        <w:rPr>
          <w:rFonts w:ascii="Arial" w:eastAsia="Times New Roman" w:hAnsi="Arial" w:cs="Arial"/>
          <w:color w:val="000000"/>
          <w:sz w:val="24"/>
          <w:szCs w:val="24"/>
          <w:lang w:eastAsia="en-NZ"/>
        </w:rPr>
        <w:lastRenderedPageBreak/>
        <w:t>t</w:t>
      </w:r>
      <w:r w:rsidRPr="004D2234">
        <w:rPr>
          <w:rFonts w:ascii="Arial" w:eastAsia="Times New Roman" w:hAnsi="Arial" w:cs="Arial"/>
          <w:color w:val="000000"/>
          <w:sz w:val="24"/>
          <w:szCs w:val="24"/>
          <w:lang w:eastAsia="en-NZ"/>
        </w:rPr>
        <w:t xml:space="preserve">he scheme cost a further €1.1bn to administer. </w:t>
      </w:r>
    </w:p>
    <w:p w14:paraId="4BA14830" w14:textId="6E96DE77" w:rsidR="005C409F" w:rsidRPr="000A182B" w:rsidRDefault="00FF5F27" w:rsidP="00132136">
      <w:pPr>
        <w:pStyle w:val="ListParagraph"/>
        <w:numPr>
          <w:ilvl w:val="0"/>
          <w:numId w:val="55"/>
        </w:numPr>
        <w:spacing w:after="120" w:line="240" w:lineRule="auto"/>
        <w:ind w:left="1134" w:hanging="567"/>
        <w:contextualSpacing w:val="0"/>
        <w:rPr>
          <w:rFonts w:ascii="Arial" w:eastAsia="Times New Roman" w:hAnsi="Arial" w:cs="Arial"/>
          <w:color w:val="000000"/>
          <w:sz w:val="24"/>
          <w:szCs w:val="24"/>
          <w:lang w:eastAsia="en-NZ"/>
        </w:rPr>
      </w:pPr>
      <w:r w:rsidRPr="000A182B">
        <w:rPr>
          <w:rFonts w:ascii="Arial" w:hAnsi="Arial" w:cs="Arial"/>
          <w:sz w:val="24"/>
          <w:szCs w:val="24"/>
        </w:rPr>
        <w:t xml:space="preserve">The Irish Government established the position of </w:t>
      </w:r>
      <w:r w:rsidR="005C409F" w:rsidRPr="000A182B">
        <w:rPr>
          <w:rFonts w:ascii="Arial" w:hAnsi="Arial" w:cs="Arial"/>
          <w:sz w:val="24"/>
          <w:szCs w:val="24"/>
        </w:rPr>
        <w:t xml:space="preserve">Education Coordinator within the National Office for Victims of Abuse. The Coordinator was employed to assist those </w:t>
      </w:r>
      <w:r w:rsidRPr="000A182B">
        <w:rPr>
          <w:rFonts w:ascii="Arial" w:hAnsi="Arial" w:cs="Arial"/>
          <w:sz w:val="24"/>
          <w:szCs w:val="24"/>
        </w:rPr>
        <w:t xml:space="preserve">victims and survivors </w:t>
      </w:r>
      <w:r w:rsidR="005C409F" w:rsidRPr="000A182B">
        <w:rPr>
          <w:rFonts w:ascii="Arial" w:hAnsi="Arial" w:cs="Arial"/>
          <w:sz w:val="24"/>
          <w:szCs w:val="24"/>
        </w:rPr>
        <w:t>who wished to return to education.</w:t>
      </w:r>
    </w:p>
    <w:p w14:paraId="031C366F" w14:textId="6A9E2DE8" w:rsidR="000A182B" w:rsidRPr="000A182B" w:rsidRDefault="000A182B" w:rsidP="00132136">
      <w:pPr>
        <w:pStyle w:val="ListParagraph"/>
        <w:numPr>
          <w:ilvl w:val="0"/>
          <w:numId w:val="55"/>
        </w:numPr>
        <w:spacing w:after="120" w:line="240" w:lineRule="auto"/>
        <w:ind w:left="1134" w:hanging="567"/>
        <w:contextualSpacing w:val="0"/>
        <w:rPr>
          <w:rFonts w:ascii="Arial" w:hAnsi="Arial" w:cs="Arial"/>
          <w:sz w:val="24"/>
          <w:szCs w:val="24"/>
        </w:rPr>
      </w:pPr>
      <w:r w:rsidRPr="000A182B">
        <w:rPr>
          <w:rFonts w:ascii="Arial" w:eastAsia="Times New Roman" w:hAnsi="Arial" w:cs="Arial"/>
          <w:color w:val="000000"/>
          <w:sz w:val="24"/>
          <w:szCs w:val="24"/>
          <w:lang w:eastAsia="en-NZ"/>
        </w:rPr>
        <w:t>T</w:t>
      </w:r>
      <w:r w:rsidR="005C409F" w:rsidRPr="000A182B">
        <w:rPr>
          <w:rFonts w:ascii="Arial" w:eastAsia="Times New Roman" w:hAnsi="Arial" w:cs="Arial"/>
          <w:color w:val="000000"/>
          <w:sz w:val="24"/>
          <w:szCs w:val="24"/>
          <w:lang w:eastAsia="en-NZ"/>
        </w:rPr>
        <w:t>he Irish Government</w:t>
      </w:r>
      <w:r w:rsidR="005C409F" w:rsidRPr="000A182B">
        <w:rPr>
          <w:rFonts w:ascii="Arial" w:hAnsi="Arial" w:cs="Arial"/>
          <w:sz w:val="24"/>
          <w:szCs w:val="24"/>
        </w:rPr>
        <w:t xml:space="preserve"> </w:t>
      </w:r>
      <w:r w:rsidRPr="000A182B">
        <w:rPr>
          <w:rFonts w:ascii="Arial" w:hAnsi="Arial" w:cs="Arial"/>
          <w:sz w:val="24"/>
          <w:szCs w:val="24"/>
        </w:rPr>
        <w:t xml:space="preserve">enacted the Residential Institutions Statutory Fund Act 2012 and established the Residential Institutions Statutory Fund Board (now known as </w:t>
      </w:r>
      <w:r w:rsidRPr="000A182B">
        <w:rPr>
          <w:rFonts w:ascii="Arial" w:hAnsi="Arial" w:cs="Arial"/>
          <w:b/>
          <w:sz w:val="24"/>
          <w:szCs w:val="24"/>
        </w:rPr>
        <w:t>Caranua</w:t>
      </w:r>
      <w:r w:rsidRPr="000A182B">
        <w:rPr>
          <w:rFonts w:ascii="Arial" w:hAnsi="Arial" w:cs="Arial"/>
          <w:sz w:val="24"/>
          <w:szCs w:val="24"/>
        </w:rPr>
        <w:t>).</w:t>
      </w:r>
      <w:r w:rsidR="00F2692E">
        <w:rPr>
          <w:rStyle w:val="FootnoteReference"/>
          <w:rFonts w:ascii="Arial" w:hAnsi="Arial" w:cs="Arial"/>
          <w:sz w:val="24"/>
          <w:szCs w:val="24"/>
        </w:rPr>
        <w:footnoteReference w:id="28"/>
      </w:r>
      <w:r w:rsidRPr="000A182B">
        <w:rPr>
          <w:rFonts w:ascii="Arial" w:hAnsi="Arial" w:cs="Arial"/>
          <w:sz w:val="24"/>
          <w:szCs w:val="24"/>
        </w:rPr>
        <w:t xml:space="preserve"> </w:t>
      </w:r>
    </w:p>
    <w:p w14:paraId="6C9909B4" w14:textId="6E8B7D00" w:rsidR="000A182B" w:rsidRPr="000A182B" w:rsidRDefault="000A182B" w:rsidP="00132136">
      <w:pPr>
        <w:pStyle w:val="ListParagraph"/>
        <w:numPr>
          <w:ilvl w:val="0"/>
          <w:numId w:val="55"/>
        </w:numPr>
        <w:spacing w:after="120" w:line="240" w:lineRule="auto"/>
        <w:ind w:left="1134" w:hanging="567"/>
        <w:contextualSpacing w:val="0"/>
        <w:rPr>
          <w:rFonts w:ascii="Arial" w:eastAsia="Times New Roman" w:hAnsi="Arial" w:cs="Arial"/>
          <w:sz w:val="24"/>
          <w:szCs w:val="24"/>
          <w:lang w:eastAsia="en-NZ"/>
        </w:rPr>
      </w:pPr>
      <w:r w:rsidRPr="000A182B">
        <w:rPr>
          <w:rFonts w:ascii="Arial" w:eastAsia="Times New Roman" w:hAnsi="Arial" w:cs="Arial"/>
          <w:sz w:val="24"/>
          <w:szCs w:val="24"/>
          <w:lang w:eastAsia="en-NZ"/>
        </w:rPr>
        <w:t>Caranua oversees the use of cash contributions pledged by the religious congregations to support the needs of survivors of residential institutional child abuse. These survivors have received awards from the Residential Institutions Redress Board or equivalent court awards.</w:t>
      </w:r>
    </w:p>
    <w:p w14:paraId="5BEDFBAD" w14:textId="7A566076" w:rsidR="000A182B" w:rsidRPr="000A182B" w:rsidRDefault="000A182B" w:rsidP="00132136">
      <w:pPr>
        <w:pStyle w:val="ListParagraph"/>
        <w:numPr>
          <w:ilvl w:val="0"/>
          <w:numId w:val="55"/>
        </w:numPr>
        <w:spacing w:after="120" w:line="240" w:lineRule="auto"/>
        <w:ind w:left="1134" w:hanging="567"/>
        <w:contextualSpacing w:val="0"/>
        <w:rPr>
          <w:rFonts w:ascii="Arial" w:eastAsia="Times New Roman" w:hAnsi="Arial" w:cs="Arial"/>
          <w:sz w:val="24"/>
          <w:szCs w:val="24"/>
          <w:lang w:eastAsia="en-NZ"/>
        </w:rPr>
      </w:pPr>
      <w:r w:rsidRPr="000A182B">
        <w:rPr>
          <w:rFonts w:ascii="Arial" w:eastAsia="Times New Roman" w:hAnsi="Arial" w:cs="Arial"/>
          <w:sz w:val="24"/>
          <w:szCs w:val="24"/>
          <w:lang w:eastAsia="en-NZ"/>
        </w:rPr>
        <w:t xml:space="preserve">The key functions of </w:t>
      </w:r>
      <w:r>
        <w:rPr>
          <w:rFonts w:ascii="Arial" w:eastAsia="Times New Roman" w:hAnsi="Arial" w:cs="Arial"/>
          <w:sz w:val="24"/>
          <w:szCs w:val="24"/>
          <w:lang w:eastAsia="en-NZ"/>
        </w:rPr>
        <w:t>Caranua</w:t>
      </w:r>
      <w:r w:rsidRPr="000A182B">
        <w:rPr>
          <w:rFonts w:ascii="Arial" w:eastAsia="Times New Roman" w:hAnsi="Arial" w:cs="Arial"/>
          <w:sz w:val="24"/>
          <w:szCs w:val="24"/>
          <w:lang w:eastAsia="en-NZ"/>
        </w:rPr>
        <w:t xml:space="preserve"> include:</w:t>
      </w:r>
    </w:p>
    <w:p w14:paraId="2710C625" w14:textId="40CDA3B4" w:rsidR="000A182B" w:rsidRPr="000A182B" w:rsidRDefault="000A182B" w:rsidP="00132136">
      <w:pPr>
        <w:pStyle w:val="ListParagraph"/>
        <w:numPr>
          <w:ilvl w:val="0"/>
          <w:numId w:val="40"/>
        </w:numPr>
        <w:spacing w:after="120" w:line="240" w:lineRule="auto"/>
        <w:ind w:left="1928" w:hanging="794"/>
        <w:contextualSpacing w:val="0"/>
        <w:rPr>
          <w:rFonts w:ascii="Arial" w:hAnsi="Arial" w:cs="Arial"/>
          <w:sz w:val="24"/>
          <w:szCs w:val="24"/>
        </w:rPr>
      </w:pPr>
      <w:r w:rsidRPr="000A182B">
        <w:rPr>
          <w:rFonts w:ascii="Arial" w:eastAsia="Times New Roman" w:hAnsi="Arial" w:cs="Arial"/>
          <w:sz w:val="24"/>
          <w:szCs w:val="24"/>
          <w:lang w:eastAsia="en-NZ"/>
        </w:rPr>
        <w:t>The payment of grants to former residents in order that they may avail of approved services, which include</w:t>
      </w:r>
      <w:r w:rsidR="00717C5C">
        <w:rPr>
          <w:rFonts w:ascii="Arial" w:eastAsia="Times New Roman" w:hAnsi="Arial" w:cs="Arial"/>
          <w:sz w:val="24"/>
          <w:szCs w:val="24"/>
          <w:lang w:eastAsia="en-NZ"/>
        </w:rPr>
        <w:t>:</w:t>
      </w:r>
      <w:r w:rsidRPr="000A182B">
        <w:rPr>
          <w:rFonts w:ascii="Arial" w:eastAsia="Times New Roman" w:hAnsi="Arial" w:cs="Arial"/>
          <w:sz w:val="24"/>
          <w:szCs w:val="24"/>
          <w:lang w:eastAsia="en-NZ"/>
        </w:rPr>
        <w:t xml:space="preserve"> mental health services, health and personal social services, educational services and a housing support service.</w:t>
      </w:r>
    </w:p>
    <w:p w14:paraId="4A63E683" w14:textId="498E457E" w:rsidR="000A182B" w:rsidRPr="000A182B" w:rsidRDefault="000A182B" w:rsidP="00132136">
      <w:pPr>
        <w:pStyle w:val="ListParagraph"/>
        <w:numPr>
          <w:ilvl w:val="0"/>
          <w:numId w:val="40"/>
        </w:numPr>
        <w:spacing w:after="120" w:line="240" w:lineRule="auto"/>
        <w:ind w:left="1928" w:hanging="794"/>
        <w:contextualSpacing w:val="0"/>
        <w:rPr>
          <w:rFonts w:ascii="Arial" w:hAnsi="Arial" w:cs="Arial"/>
          <w:sz w:val="24"/>
          <w:szCs w:val="24"/>
        </w:rPr>
      </w:pPr>
      <w:r w:rsidRPr="000A182B">
        <w:rPr>
          <w:rFonts w:ascii="Arial" w:eastAsia="Times New Roman" w:hAnsi="Arial" w:cs="Arial"/>
          <w:sz w:val="24"/>
          <w:szCs w:val="24"/>
          <w:lang w:eastAsia="en-NZ"/>
        </w:rPr>
        <w:t>It will also promote understanding, among persons involved in the provision of approved services and publicly available services to former residents, of the effects of abuse on former residents.</w:t>
      </w:r>
    </w:p>
    <w:p w14:paraId="32BC5ED2" w14:textId="77777777" w:rsidR="00717C5C" w:rsidRDefault="00717C5C" w:rsidP="007014E7">
      <w:pPr>
        <w:spacing w:after="120"/>
        <w:ind w:left="567"/>
        <w:rPr>
          <w:rFonts w:ascii="Arial" w:hAnsi="Arial" w:cs="Arial"/>
          <w:b/>
          <w:i/>
          <w:sz w:val="24"/>
          <w:szCs w:val="24"/>
        </w:rPr>
      </w:pPr>
    </w:p>
    <w:p w14:paraId="42000067" w14:textId="2C0E1159" w:rsidR="00F2692E" w:rsidRPr="00F2692E" w:rsidRDefault="00F2692E" w:rsidP="007014E7">
      <w:pPr>
        <w:spacing w:after="120"/>
        <w:ind w:left="567"/>
        <w:rPr>
          <w:rFonts w:ascii="Arial" w:hAnsi="Arial" w:cs="Arial"/>
          <w:b/>
          <w:i/>
          <w:sz w:val="24"/>
          <w:szCs w:val="24"/>
        </w:rPr>
      </w:pPr>
      <w:r>
        <w:rPr>
          <w:rFonts w:ascii="Arial" w:hAnsi="Arial" w:cs="Arial"/>
          <w:b/>
          <w:i/>
          <w:sz w:val="24"/>
          <w:szCs w:val="24"/>
        </w:rPr>
        <w:t>Civil litigation: Limitation period</w:t>
      </w:r>
    </w:p>
    <w:p w14:paraId="6F2811E0" w14:textId="682A8367" w:rsidR="00A3296A" w:rsidRPr="00A3296A" w:rsidRDefault="00A3296A" w:rsidP="00132136">
      <w:pPr>
        <w:pStyle w:val="ListParagraph"/>
        <w:numPr>
          <w:ilvl w:val="0"/>
          <w:numId w:val="55"/>
        </w:numPr>
        <w:spacing w:after="120"/>
        <w:ind w:left="1134" w:hanging="567"/>
        <w:contextualSpacing w:val="0"/>
        <w:rPr>
          <w:rFonts w:ascii="Arial" w:hAnsi="Arial" w:cs="Arial"/>
          <w:sz w:val="24"/>
          <w:szCs w:val="24"/>
        </w:rPr>
      </w:pPr>
      <w:r>
        <w:rPr>
          <w:rFonts w:ascii="Arial" w:hAnsi="Arial" w:cs="Arial"/>
          <w:sz w:val="24"/>
          <w:szCs w:val="24"/>
        </w:rPr>
        <w:t>The Statute of Limitations Act was amended in 2000 to extend t</w:t>
      </w:r>
      <w:r w:rsidRPr="00A3296A">
        <w:rPr>
          <w:rFonts w:ascii="Arial" w:hAnsi="Arial" w:cs="Arial"/>
          <w:sz w:val="24"/>
          <w:szCs w:val="24"/>
        </w:rPr>
        <w:t xml:space="preserve">he time within which a person may bring a claim for damages for negligence or breach of duty where the damages claimed consist of or include damages for personal injuries caused by sexual abuse in cases where the person was precluded from bringing such a claim due to the provisions of the Statute of Limitations Act. </w:t>
      </w:r>
    </w:p>
    <w:p w14:paraId="6F42A852" w14:textId="77777777" w:rsidR="00A3296A" w:rsidRPr="00A3296A" w:rsidRDefault="00A3296A" w:rsidP="00132136">
      <w:pPr>
        <w:pStyle w:val="ListParagraph"/>
        <w:numPr>
          <w:ilvl w:val="0"/>
          <w:numId w:val="55"/>
        </w:numPr>
        <w:spacing w:after="120"/>
        <w:ind w:left="1134" w:hanging="567"/>
        <w:contextualSpacing w:val="0"/>
        <w:rPr>
          <w:rFonts w:ascii="Arial" w:hAnsi="Arial" w:cs="Arial"/>
          <w:sz w:val="24"/>
          <w:szCs w:val="24"/>
        </w:rPr>
      </w:pPr>
      <w:r w:rsidRPr="00A3296A">
        <w:rPr>
          <w:rFonts w:ascii="Arial" w:hAnsi="Arial" w:cs="Arial"/>
          <w:sz w:val="24"/>
          <w:szCs w:val="24"/>
        </w:rPr>
        <w:t>Such a person has 12 months within which to bring a claim from the time the Amendment comes into force. The claim can only be brought if the plaintiff believed he or she was prevented from bringing a claim because of the statutory bar acting on advice from a lawyer or a complaint was made to the Garda Síochána.</w:t>
      </w:r>
    </w:p>
    <w:p w14:paraId="16644A05" w14:textId="77777777" w:rsidR="00717C5C" w:rsidRDefault="00717C5C" w:rsidP="007014E7">
      <w:pPr>
        <w:spacing w:after="0" w:line="240" w:lineRule="auto"/>
        <w:ind w:left="567"/>
        <w:rPr>
          <w:rFonts w:ascii="Arial" w:hAnsi="Arial" w:cs="Arial"/>
          <w:b/>
          <w:i/>
          <w:sz w:val="24"/>
          <w:szCs w:val="24"/>
        </w:rPr>
      </w:pPr>
    </w:p>
    <w:p w14:paraId="0E99EDE8" w14:textId="7F8E6FCF" w:rsidR="000A182B" w:rsidRDefault="00C93149" w:rsidP="007014E7">
      <w:pPr>
        <w:spacing w:after="0" w:line="240" w:lineRule="auto"/>
        <w:ind w:left="567"/>
        <w:rPr>
          <w:rFonts w:ascii="Arial" w:hAnsi="Arial" w:cs="Arial"/>
          <w:b/>
          <w:i/>
          <w:sz w:val="24"/>
          <w:szCs w:val="24"/>
        </w:rPr>
      </w:pPr>
      <w:r>
        <w:rPr>
          <w:rFonts w:ascii="Arial" w:hAnsi="Arial" w:cs="Arial"/>
          <w:b/>
          <w:i/>
          <w:sz w:val="24"/>
          <w:szCs w:val="24"/>
        </w:rPr>
        <w:t>Civil litigation: Identifying a proper defendant</w:t>
      </w:r>
    </w:p>
    <w:p w14:paraId="17FB08E5" w14:textId="1490F789" w:rsidR="00840796" w:rsidRDefault="00840796" w:rsidP="00C93149">
      <w:pPr>
        <w:spacing w:after="0" w:line="240" w:lineRule="auto"/>
        <w:rPr>
          <w:rFonts w:ascii="Arial" w:hAnsi="Arial" w:cs="Arial"/>
          <w:b/>
          <w:i/>
          <w:sz w:val="24"/>
          <w:szCs w:val="24"/>
        </w:rPr>
      </w:pPr>
    </w:p>
    <w:p w14:paraId="5ACF9848" w14:textId="09257CA8" w:rsidR="00840796" w:rsidRPr="00840796" w:rsidRDefault="00840796" w:rsidP="00132136">
      <w:pPr>
        <w:pStyle w:val="ListParagraph"/>
        <w:numPr>
          <w:ilvl w:val="0"/>
          <w:numId w:val="55"/>
        </w:numPr>
        <w:spacing w:after="120"/>
        <w:ind w:left="1134" w:hanging="567"/>
        <w:contextualSpacing w:val="0"/>
        <w:rPr>
          <w:rFonts w:ascii="Arial" w:hAnsi="Arial" w:cs="Arial"/>
          <w:sz w:val="24"/>
          <w:szCs w:val="24"/>
        </w:rPr>
      </w:pPr>
      <w:r w:rsidRPr="00840796">
        <w:rPr>
          <w:rFonts w:ascii="Arial" w:hAnsi="Arial" w:cs="Arial"/>
          <w:sz w:val="24"/>
          <w:szCs w:val="24"/>
        </w:rPr>
        <w:t>The Irish Supreme Court (</w:t>
      </w:r>
      <w:r w:rsidRPr="00840796">
        <w:rPr>
          <w:rFonts w:ascii="Arial" w:hAnsi="Arial" w:cs="Arial"/>
          <w:i/>
          <w:sz w:val="24"/>
          <w:szCs w:val="24"/>
        </w:rPr>
        <w:t xml:space="preserve">Hickey v McGowan </w:t>
      </w:r>
      <w:r w:rsidRPr="00840796">
        <w:rPr>
          <w:rFonts w:ascii="Arial" w:hAnsi="Arial" w:cs="Arial"/>
          <w:sz w:val="24"/>
          <w:szCs w:val="24"/>
        </w:rPr>
        <w:t xml:space="preserve">[2017] IESC 6) has held that an unincorporated organisation cannot be held vicariously liable for the actions of one of its members. This is because there was no statutory intervention or other exception that would justify a departure from the common law position. The Irish Supreme Court declined to follow the approach previously taken in the UK (see </w:t>
      </w:r>
      <w:r w:rsidR="00331256">
        <w:rPr>
          <w:rFonts w:ascii="Arial" w:hAnsi="Arial" w:cs="Arial"/>
          <w:sz w:val="24"/>
          <w:szCs w:val="24"/>
        </w:rPr>
        <w:t>above</w:t>
      </w:r>
      <w:r w:rsidRPr="00840796">
        <w:rPr>
          <w:rFonts w:ascii="Arial" w:hAnsi="Arial" w:cs="Arial"/>
          <w:sz w:val="24"/>
          <w:szCs w:val="24"/>
        </w:rPr>
        <w:t>).</w:t>
      </w:r>
    </w:p>
    <w:p w14:paraId="0C141B40" w14:textId="77777777" w:rsidR="00840796" w:rsidRPr="00840796" w:rsidRDefault="00840796" w:rsidP="00132136">
      <w:pPr>
        <w:pStyle w:val="ListParagraph"/>
        <w:numPr>
          <w:ilvl w:val="0"/>
          <w:numId w:val="55"/>
        </w:numPr>
        <w:spacing w:after="120"/>
        <w:ind w:left="1134" w:hanging="567"/>
        <w:contextualSpacing w:val="0"/>
      </w:pPr>
      <w:r w:rsidRPr="00840796">
        <w:rPr>
          <w:rFonts w:ascii="Arial" w:hAnsi="Arial" w:cs="Arial"/>
          <w:sz w:val="24"/>
          <w:szCs w:val="24"/>
        </w:rPr>
        <w:lastRenderedPageBreak/>
        <w:t xml:space="preserve">However, individual members of the order could be held vicariously liable if they were members of the order at the time the action accrued. </w:t>
      </w:r>
    </w:p>
    <w:p w14:paraId="6911E057" w14:textId="045F8406" w:rsidR="00840796" w:rsidRPr="00560D52" w:rsidRDefault="00840796" w:rsidP="00132136">
      <w:pPr>
        <w:pStyle w:val="ListParagraph"/>
        <w:numPr>
          <w:ilvl w:val="0"/>
          <w:numId w:val="55"/>
        </w:numPr>
        <w:spacing w:after="120"/>
        <w:ind w:left="1134" w:hanging="567"/>
        <w:contextualSpacing w:val="0"/>
      </w:pPr>
      <w:r w:rsidRPr="00840796">
        <w:rPr>
          <w:rFonts w:ascii="Arial" w:hAnsi="Arial" w:cs="Arial"/>
          <w:sz w:val="24"/>
          <w:szCs w:val="24"/>
        </w:rPr>
        <w:t>Religious</w:t>
      </w:r>
      <w:r w:rsidR="00331CC6">
        <w:rPr>
          <w:rFonts w:ascii="Arial" w:hAnsi="Arial" w:cs="Arial"/>
          <w:sz w:val="24"/>
          <w:szCs w:val="24"/>
        </w:rPr>
        <w:t>-</w:t>
      </w:r>
      <w:r w:rsidRPr="00840796">
        <w:rPr>
          <w:rFonts w:ascii="Arial" w:hAnsi="Arial" w:cs="Arial"/>
          <w:sz w:val="24"/>
          <w:szCs w:val="24"/>
        </w:rPr>
        <w:t>based orders differ from other forms of unincorporated entities due to the closeness or intensity of the relationship between members of the order and the extent they are subsumed into a collective entity.</w:t>
      </w:r>
      <w:r>
        <w:t xml:space="preserve"> </w:t>
      </w:r>
    </w:p>
    <w:p w14:paraId="70B44BB6" w14:textId="1C40021A" w:rsidR="005C409F" w:rsidRDefault="008C1454" w:rsidP="00DE3B17">
      <w:pPr>
        <w:pStyle w:val="ListParagraph"/>
        <w:numPr>
          <w:ilvl w:val="0"/>
          <w:numId w:val="5"/>
        </w:numPr>
        <w:ind w:left="1134" w:hanging="567"/>
        <w:rPr>
          <w:rFonts w:ascii="Arial" w:hAnsi="Arial" w:cs="Arial"/>
          <w:b/>
          <w:color w:val="000000" w:themeColor="text1"/>
          <w:sz w:val="24"/>
          <w:szCs w:val="24"/>
        </w:rPr>
      </w:pPr>
      <w:r w:rsidRPr="0087415F">
        <w:rPr>
          <w:rFonts w:ascii="Arial" w:hAnsi="Arial" w:cs="Arial"/>
          <w:b/>
          <w:color w:val="000000" w:themeColor="text1"/>
          <w:sz w:val="24"/>
          <w:szCs w:val="24"/>
        </w:rPr>
        <w:br w:type="page"/>
      </w:r>
      <w:r w:rsidR="005C409F" w:rsidRPr="0087415F">
        <w:rPr>
          <w:rFonts w:ascii="Arial" w:hAnsi="Arial" w:cs="Arial"/>
          <w:b/>
          <w:color w:val="000000" w:themeColor="text1"/>
          <w:sz w:val="24"/>
          <w:szCs w:val="24"/>
        </w:rPr>
        <w:lastRenderedPageBreak/>
        <w:t>S</w:t>
      </w:r>
      <w:r w:rsidR="0087415F">
        <w:rPr>
          <w:rFonts w:ascii="Arial" w:hAnsi="Arial" w:cs="Arial"/>
          <w:b/>
          <w:color w:val="000000" w:themeColor="text1"/>
          <w:sz w:val="24"/>
          <w:szCs w:val="24"/>
        </w:rPr>
        <w:t>COTLAND</w:t>
      </w:r>
    </w:p>
    <w:p w14:paraId="5E9D5D8F" w14:textId="26AE773A" w:rsidR="00365B23" w:rsidRPr="00365B23" w:rsidRDefault="00365B23" w:rsidP="00365B23">
      <w:pPr>
        <w:ind w:left="567"/>
        <w:rPr>
          <w:rFonts w:ascii="Arial" w:hAnsi="Arial" w:cs="Arial"/>
          <w:b/>
          <w:bCs/>
          <w:color w:val="000000" w:themeColor="text1"/>
          <w:sz w:val="24"/>
          <w:szCs w:val="24"/>
        </w:rPr>
      </w:pPr>
      <w:r w:rsidRPr="00365B23">
        <w:rPr>
          <w:rFonts w:ascii="Arial" w:hAnsi="Arial" w:cs="Arial"/>
          <w:b/>
          <w:bCs/>
          <w:sz w:val="24"/>
          <w:szCs w:val="24"/>
        </w:rPr>
        <w:t>Scottish Child Abuse Inquiry</w:t>
      </w:r>
    </w:p>
    <w:p w14:paraId="52C01739" w14:textId="77777777" w:rsidR="008C1454" w:rsidRDefault="005C409F" w:rsidP="00132136">
      <w:pPr>
        <w:pStyle w:val="ListParagraph"/>
        <w:numPr>
          <w:ilvl w:val="0"/>
          <w:numId w:val="55"/>
        </w:numPr>
        <w:spacing w:after="120"/>
        <w:ind w:left="1134" w:hanging="567"/>
        <w:contextualSpacing w:val="0"/>
        <w:rPr>
          <w:rFonts w:ascii="Arial" w:hAnsi="Arial" w:cs="Arial"/>
          <w:sz w:val="24"/>
          <w:szCs w:val="24"/>
        </w:rPr>
      </w:pPr>
      <w:r w:rsidRPr="008C1454">
        <w:rPr>
          <w:rFonts w:ascii="Arial" w:hAnsi="Arial" w:cs="Arial"/>
          <w:sz w:val="24"/>
          <w:szCs w:val="24"/>
        </w:rPr>
        <w:t xml:space="preserve">The Scottish Government has recently released a consultation paper on the detailed design of a statutory financial redress scheme for historical survivors of abuse in care. </w:t>
      </w:r>
    </w:p>
    <w:p w14:paraId="67B37F73" w14:textId="77777777" w:rsidR="008C1454" w:rsidRDefault="005C409F" w:rsidP="00132136">
      <w:pPr>
        <w:pStyle w:val="ListParagraph"/>
        <w:numPr>
          <w:ilvl w:val="0"/>
          <w:numId w:val="55"/>
        </w:numPr>
        <w:spacing w:after="120"/>
        <w:ind w:left="1134" w:hanging="567"/>
        <w:contextualSpacing w:val="0"/>
        <w:rPr>
          <w:rFonts w:ascii="Arial" w:hAnsi="Arial" w:cs="Arial"/>
          <w:sz w:val="24"/>
          <w:szCs w:val="24"/>
        </w:rPr>
      </w:pPr>
      <w:r w:rsidRPr="008C1454">
        <w:rPr>
          <w:rFonts w:ascii="Arial" w:hAnsi="Arial" w:cs="Arial"/>
          <w:sz w:val="24"/>
          <w:szCs w:val="24"/>
        </w:rPr>
        <w:t xml:space="preserve">The Scottish Government has previously launched the Advance Payment Scheme for survivors of historic abuse in care who are over 70 years of age or have a terminal illness. </w:t>
      </w:r>
    </w:p>
    <w:p w14:paraId="7D4977C8" w14:textId="7D2DF8EC" w:rsidR="005C409F" w:rsidRPr="008C1454" w:rsidRDefault="005C409F" w:rsidP="00132136">
      <w:pPr>
        <w:pStyle w:val="ListParagraph"/>
        <w:numPr>
          <w:ilvl w:val="0"/>
          <w:numId w:val="55"/>
        </w:numPr>
        <w:spacing w:after="120"/>
        <w:ind w:left="1134" w:hanging="567"/>
        <w:contextualSpacing w:val="0"/>
        <w:rPr>
          <w:rFonts w:ascii="Arial" w:hAnsi="Arial" w:cs="Arial"/>
          <w:sz w:val="24"/>
          <w:szCs w:val="24"/>
        </w:rPr>
      </w:pPr>
      <w:r w:rsidRPr="008C1454">
        <w:rPr>
          <w:rFonts w:ascii="Arial" w:hAnsi="Arial" w:cs="Arial"/>
          <w:sz w:val="24"/>
          <w:szCs w:val="24"/>
        </w:rPr>
        <w:t>The Scottish Government has undertaken initiatives that are dedicated to providing survivors of abuse in care with access to a range of counselling, psychological and rehabilitation services. These initiatives include:</w:t>
      </w:r>
    </w:p>
    <w:p w14:paraId="068532E3" w14:textId="77777777" w:rsidR="005C409F" w:rsidRPr="009E21DE" w:rsidRDefault="005C409F" w:rsidP="00A3296A">
      <w:pPr>
        <w:pStyle w:val="ListParagraph"/>
        <w:numPr>
          <w:ilvl w:val="0"/>
          <w:numId w:val="15"/>
        </w:numPr>
        <w:ind w:left="1349" w:hanging="357"/>
        <w:rPr>
          <w:rFonts w:ascii="Arial" w:hAnsi="Arial" w:cs="Arial"/>
          <w:color w:val="333333"/>
          <w:sz w:val="24"/>
          <w:szCs w:val="24"/>
          <w:lang w:val="en"/>
        </w:rPr>
      </w:pPr>
      <w:r w:rsidRPr="009E21DE">
        <w:rPr>
          <w:rFonts w:ascii="Arial" w:hAnsi="Arial" w:cs="Arial"/>
          <w:sz w:val="24"/>
          <w:szCs w:val="24"/>
        </w:rPr>
        <w:t xml:space="preserve">establishing a </w:t>
      </w:r>
      <w:r w:rsidRPr="009E21DE">
        <w:rPr>
          <w:rFonts w:ascii="Arial" w:hAnsi="Arial" w:cs="Arial"/>
          <w:color w:val="333333"/>
          <w:sz w:val="24"/>
          <w:szCs w:val="24"/>
          <w:lang w:val="en"/>
        </w:rPr>
        <w:t xml:space="preserve">fund to help organisations improve access to services which can reduce the impact of inequalities and disadvantage experienced as a result of childhood abuse. </w:t>
      </w:r>
    </w:p>
    <w:p w14:paraId="3EFDF26D" w14:textId="57D4689D" w:rsidR="005C409F" w:rsidRPr="009E21DE" w:rsidRDefault="005C409F" w:rsidP="00A3296A">
      <w:pPr>
        <w:pStyle w:val="ListParagraph"/>
        <w:numPr>
          <w:ilvl w:val="0"/>
          <w:numId w:val="15"/>
        </w:numPr>
        <w:ind w:left="1349" w:hanging="357"/>
        <w:rPr>
          <w:rFonts w:ascii="Arial" w:hAnsi="Arial" w:cs="Arial"/>
          <w:color w:val="333333"/>
          <w:sz w:val="24"/>
          <w:szCs w:val="24"/>
          <w:lang w:val="en"/>
        </w:rPr>
      </w:pPr>
      <w:r w:rsidRPr="009E21DE">
        <w:rPr>
          <w:rFonts w:ascii="Arial" w:hAnsi="Arial" w:cs="Arial"/>
          <w:sz w:val="24"/>
          <w:szCs w:val="24"/>
        </w:rPr>
        <w:t>providing funding</w:t>
      </w:r>
      <w:r w:rsidRPr="009E21DE">
        <w:rPr>
          <w:rFonts w:ascii="Arial" w:hAnsi="Arial" w:cs="Arial"/>
          <w:color w:val="333333"/>
          <w:sz w:val="24"/>
          <w:szCs w:val="24"/>
          <w:lang w:val="en"/>
        </w:rPr>
        <w:t xml:space="preserve"> to enable service providers to expand their capacity and capability by partnering with local statutory and/or other third </w:t>
      </w:r>
      <w:r w:rsidR="006B0FD5">
        <w:rPr>
          <w:rFonts w:ascii="Arial" w:hAnsi="Arial" w:cs="Arial"/>
          <w:color w:val="333333"/>
          <w:sz w:val="24"/>
          <w:szCs w:val="24"/>
          <w:lang w:val="en"/>
        </w:rPr>
        <w:t xml:space="preserve">party </w:t>
      </w:r>
      <w:r w:rsidRPr="009E21DE">
        <w:rPr>
          <w:rFonts w:ascii="Arial" w:hAnsi="Arial" w:cs="Arial"/>
          <w:color w:val="333333"/>
          <w:sz w:val="24"/>
          <w:szCs w:val="24"/>
          <w:lang w:val="en"/>
        </w:rPr>
        <w:t>sector services</w:t>
      </w:r>
    </w:p>
    <w:p w14:paraId="2F4A0FC6" w14:textId="0ABE32C5" w:rsidR="005C409F" w:rsidRPr="009E21DE" w:rsidRDefault="005C409F" w:rsidP="00A3296A">
      <w:pPr>
        <w:pStyle w:val="ListParagraph"/>
        <w:numPr>
          <w:ilvl w:val="0"/>
          <w:numId w:val="15"/>
        </w:numPr>
        <w:ind w:left="1349" w:hanging="357"/>
        <w:rPr>
          <w:rFonts w:ascii="Arial" w:hAnsi="Arial" w:cs="Arial"/>
          <w:color w:val="333333"/>
          <w:sz w:val="24"/>
          <w:szCs w:val="24"/>
          <w:lang w:val="en"/>
        </w:rPr>
      </w:pPr>
      <w:r w:rsidRPr="009E21DE">
        <w:rPr>
          <w:rFonts w:ascii="Arial" w:hAnsi="Arial" w:cs="Arial"/>
          <w:sz w:val="24"/>
          <w:szCs w:val="24"/>
        </w:rPr>
        <w:t xml:space="preserve">establishing an umbrella network of services providers that support survivors by navigating access to a range of services, such as counselling / therapy, assisting with gaining access to records, and </w:t>
      </w:r>
      <w:r w:rsidRPr="009E21DE">
        <w:rPr>
          <w:rFonts w:ascii="Arial" w:hAnsi="Arial" w:cs="Arial"/>
          <w:color w:val="333333"/>
          <w:sz w:val="24"/>
          <w:szCs w:val="24"/>
          <w:lang w:val="en"/>
        </w:rPr>
        <w:t>work and education</w:t>
      </w:r>
      <w:r w:rsidRPr="009E21DE">
        <w:rPr>
          <w:rFonts w:ascii="Arial" w:hAnsi="Arial" w:cs="Arial"/>
          <w:sz w:val="24"/>
          <w:szCs w:val="24"/>
        </w:rPr>
        <w:t xml:space="preserve"> </w:t>
      </w:r>
    </w:p>
    <w:p w14:paraId="474BE00B" w14:textId="77777777" w:rsidR="005C409F" w:rsidRPr="009E21DE" w:rsidRDefault="005C409F" w:rsidP="00A3296A">
      <w:pPr>
        <w:pStyle w:val="ListParagraph"/>
        <w:numPr>
          <w:ilvl w:val="0"/>
          <w:numId w:val="15"/>
        </w:numPr>
        <w:ind w:left="1349" w:hanging="357"/>
        <w:rPr>
          <w:rFonts w:ascii="Arial" w:hAnsi="Arial" w:cs="Arial"/>
          <w:color w:val="333333"/>
          <w:sz w:val="24"/>
          <w:szCs w:val="24"/>
          <w:lang w:val="en"/>
        </w:rPr>
      </w:pPr>
      <w:r w:rsidRPr="009E21DE">
        <w:rPr>
          <w:rFonts w:ascii="Arial" w:hAnsi="Arial" w:cs="Arial"/>
          <w:color w:val="333333"/>
          <w:sz w:val="24"/>
          <w:szCs w:val="24"/>
          <w:lang w:val="en"/>
        </w:rPr>
        <w:t xml:space="preserve">developing a national training programme, to support over 5000 frontline workers across all sectors of the Scottish workforce who are responding to psychological trauma. </w:t>
      </w:r>
    </w:p>
    <w:p w14:paraId="64BE9E50" w14:textId="77777777" w:rsidR="006B0FD5" w:rsidRDefault="006B0FD5" w:rsidP="00A3296A">
      <w:pPr>
        <w:ind w:left="410"/>
        <w:rPr>
          <w:rFonts w:ascii="Arial" w:hAnsi="Arial" w:cs="Arial"/>
          <w:b/>
          <w:i/>
          <w:sz w:val="24"/>
          <w:szCs w:val="24"/>
        </w:rPr>
      </w:pPr>
    </w:p>
    <w:p w14:paraId="250194DA" w14:textId="3DAE59FA" w:rsidR="008C1454" w:rsidRPr="008C1454" w:rsidRDefault="008C1454" w:rsidP="00A3296A">
      <w:pPr>
        <w:ind w:left="410"/>
        <w:rPr>
          <w:rFonts w:ascii="Arial" w:hAnsi="Arial" w:cs="Arial"/>
          <w:b/>
          <w:i/>
          <w:sz w:val="24"/>
          <w:szCs w:val="24"/>
        </w:rPr>
      </w:pPr>
      <w:r>
        <w:rPr>
          <w:rFonts w:ascii="Arial" w:hAnsi="Arial" w:cs="Arial"/>
          <w:b/>
          <w:i/>
          <w:sz w:val="24"/>
          <w:szCs w:val="24"/>
        </w:rPr>
        <w:t>Civil litigation: Limitation periods</w:t>
      </w:r>
    </w:p>
    <w:p w14:paraId="14FD137A" w14:textId="75683289" w:rsidR="00A3296A" w:rsidRPr="008C1454" w:rsidRDefault="008C1454" w:rsidP="00132136">
      <w:pPr>
        <w:pStyle w:val="ListParagraph"/>
        <w:numPr>
          <w:ilvl w:val="0"/>
          <w:numId w:val="55"/>
        </w:numPr>
        <w:spacing w:after="120"/>
        <w:ind w:left="1134" w:hanging="567"/>
        <w:contextualSpacing w:val="0"/>
        <w:rPr>
          <w:rFonts w:ascii="Arial" w:hAnsi="Arial" w:cs="Arial"/>
          <w:sz w:val="24"/>
          <w:szCs w:val="24"/>
        </w:rPr>
      </w:pPr>
      <w:r w:rsidRPr="008C1454">
        <w:rPr>
          <w:rFonts w:ascii="Arial" w:hAnsi="Arial" w:cs="Arial"/>
          <w:sz w:val="24"/>
          <w:szCs w:val="24"/>
        </w:rPr>
        <w:t xml:space="preserve">The </w:t>
      </w:r>
      <w:r w:rsidR="00A3296A" w:rsidRPr="008C1454">
        <w:rPr>
          <w:rFonts w:ascii="Arial" w:hAnsi="Arial" w:cs="Arial"/>
          <w:sz w:val="24"/>
          <w:szCs w:val="24"/>
        </w:rPr>
        <w:t>Limitation (Childhood Abuse) (Scotland) Act 2017</w:t>
      </w:r>
      <w:r w:rsidR="00A3296A" w:rsidRPr="008C1454">
        <w:rPr>
          <w:rFonts w:ascii="Arial" w:hAnsi="Arial" w:cs="Arial"/>
          <w:b/>
          <w:sz w:val="24"/>
          <w:szCs w:val="24"/>
        </w:rPr>
        <w:t xml:space="preserve"> </w:t>
      </w:r>
      <w:r w:rsidR="00A3296A" w:rsidRPr="008C1454">
        <w:rPr>
          <w:rFonts w:ascii="Arial" w:hAnsi="Arial" w:cs="Arial"/>
          <w:sz w:val="24"/>
          <w:szCs w:val="24"/>
        </w:rPr>
        <w:t>provides that the statutory limitation period for bring</w:t>
      </w:r>
      <w:r w:rsidR="00E32340">
        <w:rPr>
          <w:rFonts w:ascii="Arial" w:hAnsi="Arial" w:cs="Arial"/>
          <w:sz w:val="24"/>
          <w:szCs w:val="24"/>
        </w:rPr>
        <w:t>ing</w:t>
      </w:r>
      <w:r w:rsidR="00A3296A" w:rsidRPr="008C1454">
        <w:rPr>
          <w:rFonts w:ascii="Arial" w:hAnsi="Arial" w:cs="Arial"/>
          <w:sz w:val="24"/>
          <w:szCs w:val="24"/>
        </w:rPr>
        <w:t xml:space="preserve"> civil claims based on personal injury do not apply if the person was a child under the age of 18 years at the time the abuse commenced, the injuries are attributable to abuse of the person concerned, and the person is bringing the claim. </w:t>
      </w:r>
    </w:p>
    <w:p w14:paraId="1154B0A6" w14:textId="77777777" w:rsidR="00A3296A" w:rsidRPr="008C1454" w:rsidRDefault="00A3296A" w:rsidP="00132136">
      <w:pPr>
        <w:pStyle w:val="ListParagraph"/>
        <w:numPr>
          <w:ilvl w:val="0"/>
          <w:numId w:val="55"/>
        </w:numPr>
        <w:spacing w:after="120"/>
        <w:ind w:left="1134" w:hanging="567"/>
        <w:contextualSpacing w:val="0"/>
        <w:rPr>
          <w:rFonts w:ascii="Arial" w:hAnsi="Arial" w:cs="Arial"/>
          <w:sz w:val="24"/>
          <w:szCs w:val="24"/>
        </w:rPr>
      </w:pPr>
      <w:r w:rsidRPr="008C1454">
        <w:rPr>
          <w:rFonts w:ascii="Arial" w:hAnsi="Arial" w:cs="Arial"/>
          <w:sz w:val="24"/>
          <w:szCs w:val="24"/>
        </w:rPr>
        <w:t xml:space="preserve">Abuse is defined to include sexual, physical and emotional abuse and abuse in the form of neglect. </w:t>
      </w:r>
    </w:p>
    <w:p w14:paraId="1CA0F88C" w14:textId="12952134" w:rsidR="00A3296A" w:rsidRPr="008C1454" w:rsidRDefault="00A3296A" w:rsidP="00132136">
      <w:pPr>
        <w:pStyle w:val="ListParagraph"/>
        <w:numPr>
          <w:ilvl w:val="0"/>
          <w:numId w:val="55"/>
        </w:numPr>
        <w:spacing w:after="120"/>
        <w:ind w:left="1134" w:hanging="567"/>
        <w:contextualSpacing w:val="0"/>
        <w:rPr>
          <w:rFonts w:ascii="Arial" w:hAnsi="Arial" w:cs="Arial"/>
          <w:sz w:val="24"/>
          <w:szCs w:val="24"/>
        </w:rPr>
      </w:pPr>
      <w:r w:rsidRPr="008C1454">
        <w:rPr>
          <w:rFonts w:ascii="Arial" w:hAnsi="Arial" w:cs="Arial"/>
          <w:sz w:val="24"/>
          <w:szCs w:val="24"/>
        </w:rPr>
        <w:t xml:space="preserve">The provision applies retrospectively if a person’s previous claim has been denied because of the time bar or if the person has settled the claim as they believed the claim would be disposed of </w:t>
      </w:r>
      <w:r w:rsidR="00E32340">
        <w:rPr>
          <w:rFonts w:ascii="Arial" w:hAnsi="Arial" w:cs="Arial"/>
          <w:sz w:val="24"/>
          <w:szCs w:val="24"/>
        </w:rPr>
        <w:t xml:space="preserve">on the basis </w:t>
      </w:r>
      <w:r w:rsidRPr="008C1454">
        <w:rPr>
          <w:rFonts w:ascii="Arial" w:hAnsi="Arial" w:cs="Arial"/>
          <w:sz w:val="24"/>
          <w:szCs w:val="24"/>
        </w:rPr>
        <w:t>of the limitation period.</w:t>
      </w:r>
    </w:p>
    <w:p w14:paraId="6BC7CC88" w14:textId="1DE4E470" w:rsidR="008C1454" w:rsidRDefault="00A3296A" w:rsidP="00132136">
      <w:pPr>
        <w:pStyle w:val="ListParagraph"/>
        <w:numPr>
          <w:ilvl w:val="0"/>
          <w:numId w:val="55"/>
        </w:numPr>
        <w:spacing w:after="120"/>
        <w:ind w:left="1134" w:hanging="567"/>
        <w:contextualSpacing w:val="0"/>
        <w:rPr>
          <w:rFonts w:ascii="Arial" w:hAnsi="Arial" w:cs="Arial"/>
          <w:sz w:val="24"/>
          <w:szCs w:val="24"/>
        </w:rPr>
      </w:pPr>
      <w:r w:rsidRPr="004A10A8">
        <w:rPr>
          <w:rFonts w:ascii="Arial" w:hAnsi="Arial" w:cs="Arial"/>
          <w:sz w:val="24"/>
          <w:szCs w:val="24"/>
        </w:rPr>
        <w:t xml:space="preserve">The provision does not apply in the case of abuse which occurred prior to 26 </w:t>
      </w:r>
      <w:r w:rsidRPr="00E32340">
        <w:rPr>
          <w:rFonts w:ascii="Arial" w:hAnsi="Arial" w:cs="Arial"/>
          <w:sz w:val="24"/>
          <w:szCs w:val="24"/>
        </w:rPr>
        <w:t>September 196</w:t>
      </w:r>
      <w:r w:rsidR="00E32340" w:rsidRPr="00E32340">
        <w:rPr>
          <w:rFonts w:ascii="Arial" w:hAnsi="Arial" w:cs="Arial"/>
          <w:sz w:val="24"/>
          <w:szCs w:val="24"/>
        </w:rPr>
        <w:t>4.</w:t>
      </w:r>
    </w:p>
    <w:p w14:paraId="711C5CE6" w14:textId="4861251B" w:rsidR="00DE3B17" w:rsidRDefault="00DE3B17" w:rsidP="00DE3B17">
      <w:pPr>
        <w:spacing w:after="120"/>
        <w:rPr>
          <w:rFonts w:ascii="Arial" w:hAnsi="Arial" w:cs="Arial"/>
          <w:sz w:val="24"/>
          <w:szCs w:val="24"/>
        </w:rPr>
      </w:pPr>
    </w:p>
    <w:p w14:paraId="51D9676E" w14:textId="1C61D303" w:rsidR="00DE3B17" w:rsidRDefault="00DE3B17" w:rsidP="00DE3B17">
      <w:pPr>
        <w:spacing w:after="120"/>
        <w:rPr>
          <w:rFonts w:ascii="Arial" w:hAnsi="Arial" w:cs="Arial"/>
          <w:sz w:val="24"/>
          <w:szCs w:val="24"/>
        </w:rPr>
      </w:pPr>
    </w:p>
    <w:p w14:paraId="6FE8CAB7" w14:textId="7BA15E95" w:rsidR="00DE3B17" w:rsidRDefault="00DE3B17" w:rsidP="00DE3B17">
      <w:pPr>
        <w:pStyle w:val="Heading1"/>
        <w:jc w:val="center"/>
        <w:rPr>
          <w:rFonts w:ascii="Arial" w:hAnsi="Arial" w:cs="Arial"/>
          <w:b/>
          <w:color w:val="000000" w:themeColor="text1"/>
        </w:rPr>
      </w:pPr>
      <w:r w:rsidRPr="00DE3B17">
        <w:rPr>
          <w:rFonts w:ascii="Arial" w:hAnsi="Arial" w:cs="Arial"/>
          <w:b/>
          <w:color w:val="000000" w:themeColor="text1"/>
        </w:rPr>
        <w:lastRenderedPageBreak/>
        <w:t>A</w:t>
      </w:r>
      <w:r>
        <w:rPr>
          <w:rFonts w:ascii="Arial" w:hAnsi="Arial" w:cs="Arial"/>
          <w:b/>
          <w:color w:val="000000" w:themeColor="text1"/>
        </w:rPr>
        <w:t>PPENDICES</w:t>
      </w:r>
    </w:p>
    <w:p w14:paraId="78B6657F" w14:textId="0860C495" w:rsidR="00DE3B17" w:rsidRDefault="00DE3B17" w:rsidP="00DE3B17"/>
    <w:p w14:paraId="03623CF5" w14:textId="6895B84A" w:rsidR="00DE3B17" w:rsidRDefault="00DE3B17" w:rsidP="00DE3B17">
      <w:pPr>
        <w:rPr>
          <w:rFonts w:ascii="Arial" w:hAnsi="Arial" w:cs="Arial"/>
          <w:b/>
          <w:sz w:val="24"/>
          <w:szCs w:val="24"/>
        </w:rPr>
      </w:pPr>
      <w:r>
        <w:rPr>
          <w:rFonts w:ascii="Arial" w:hAnsi="Arial" w:cs="Arial"/>
          <w:b/>
          <w:sz w:val="24"/>
          <w:szCs w:val="24"/>
        </w:rPr>
        <w:t>Table of Contents</w:t>
      </w:r>
      <w:r w:rsidR="00487D45">
        <w:rPr>
          <w:rFonts w:ascii="Arial" w:hAnsi="Arial" w:cs="Arial"/>
          <w:b/>
          <w:sz w:val="24"/>
          <w:szCs w:val="24"/>
        </w:rPr>
        <w:t>:</w:t>
      </w:r>
    </w:p>
    <w:p w14:paraId="52CBE006" w14:textId="77777777" w:rsidR="004E58E7" w:rsidRDefault="004E58E7" w:rsidP="00DE3B17">
      <w:pPr>
        <w:rPr>
          <w:rFonts w:ascii="Arial" w:hAnsi="Arial" w:cs="Arial"/>
          <w:b/>
          <w:sz w:val="24"/>
          <w:szCs w:val="24"/>
        </w:rPr>
      </w:pPr>
    </w:p>
    <w:tbl>
      <w:tblPr>
        <w:tblStyle w:val="PlainTable2"/>
        <w:tblW w:w="0" w:type="auto"/>
        <w:tblBorders>
          <w:top w:val="none" w:sz="0" w:space="0" w:color="auto"/>
          <w:bottom w:val="none" w:sz="0" w:space="0" w:color="auto"/>
        </w:tblBorders>
        <w:tblLook w:val="0000" w:firstRow="0" w:lastRow="0" w:firstColumn="0" w:lastColumn="0" w:noHBand="0" w:noVBand="0"/>
      </w:tblPr>
      <w:tblGrid>
        <w:gridCol w:w="1838"/>
        <w:gridCol w:w="7178"/>
      </w:tblGrid>
      <w:tr w:rsidR="00DE3B17" w14:paraId="52D54D65" w14:textId="77777777" w:rsidTr="009A74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57C8A567" w14:textId="5D131A6B" w:rsidR="00DE3B17" w:rsidRDefault="00DE3B17" w:rsidP="00DE3B17">
            <w:pPr>
              <w:rPr>
                <w:rFonts w:ascii="Arial" w:hAnsi="Arial" w:cs="Arial"/>
                <w:b/>
                <w:sz w:val="24"/>
                <w:szCs w:val="24"/>
              </w:rPr>
            </w:pPr>
            <w:r>
              <w:rPr>
                <w:rFonts w:ascii="Arial" w:hAnsi="Arial" w:cs="Arial"/>
                <w:b/>
                <w:sz w:val="24"/>
                <w:szCs w:val="24"/>
              </w:rPr>
              <w:t>Appendix 1</w:t>
            </w:r>
          </w:p>
        </w:tc>
        <w:tc>
          <w:tcPr>
            <w:cnfStyle w:val="000001000000" w:firstRow="0" w:lastRow="0" w:firstColumn="0" w:lastColumn="0" w:oddVBand="0" w:evenVBand="1" w:oddHBand="0" w:evenHBand="0" w:firstRowFirstColumn="0" w:firstRowLastColumn="0" w:lastRowFirstColumn="0" w:lastRowLastColumn="0"/>
            <w:tcW w:w="7178" w:type="dxa"/>
            <w:tcBorders>
              <w:top w:val="none" w:sz="0" w:space="0" w:color="auto"/>
              <w:left w:val="none" w:sz="0" w:space="0" w:color="auto"/>
              <w:bottom w:val="none" w:sz="0" w:space="0" w:color="auto"/>
              <w:right w:val="none" w:sz="0" w:space="0" w:color="auto"/>
            </w:tcBorders>
          </w:tcPr>
          <w:p w14:paraId="477E4978" w14:textId="7F6D4364" w:rsidR="00DE3B17" w:rsidRPr="005315C1" w:rsidRDefault="005315C1" w:rsidP="00DE3B17">
            <w:pPr>
              <w:rPr>
                <w:rFonts w:ascii="Arial" w:hAnsi="Arial" w:cs="Arial"/>
                <w:sz w:val="24"/>
                <w:szCs w:val="24"/>
              </w:rPr>
            </w:pPr>
            <w:r>
              <w:rPr>
                <w:rFonts w:ascii="Arial" w:hAnsi="Arial" w:cs="Arial"/>
                <w:sz w:val="24"/>
                <w:szCs w:val="24"/>
              </w:rPr>
              <w:t>New South Wales Model Litigant Policy for Civil Litigation</w:t>
            </w:r>
          </w:p>
        </w:tc>
      </w:tr>
      <w:tr w:rsidR="00DE3B17" w14:paraId="229D347D" w14:textId="77777777" w:rsidTr="009A74BB">
        <w:tc>
          <w:tcPr>
            <w:cnfStyle w:val="000010000000" w:firstRow="0" w:lastRow="0" w:firstColumn="0" w:lastColumn="0" w:oddVBand="1" w:evenVBand="0" w:oddHBand="0" w:evenHBand="0" w:firstRowFirstColumn="0" w:firstRowLastColumn="0" w:lastRowFirstColumn="0" w:lastRowLastColumn="0"/>
            <w:tcW w:w="1838" w:type="dxa"/>
            <w:tcBorders>
              <w:left w:val="none" w:sz="0" w:space="0" w:color="auto"/>
              <w:right w:val="none" w:sz="0" w:space="0" w:color="auto"/>
            </w:tcBorders>
          </w:tcPr>
          <w:p w14:paraId="5C077AEB" w14:textId="77777777" w:rsidR="00C758F1" w:rsidRDefault="00C758F1" w:rsidP="00DE3B17">
            <w:pPr>
              <w:rPr>
                <w:rFonts w:ascii="Arial" w:hAnsi="Arial" w:cs="Arial"/>
                <w:b/>
                <w:sz w:val="24"/>
                <w:szCs w:val="24"/>
              </w:rPr>
            </w:pPr>
          </w:p>
          <w:p w14:paraId="5C06FC7F" w14:textId="5A50778E" w:rsidR="00DE3B17" w:rsidRDefault="005315C1" w:rsidP="00DE3B17">
            <w:pPr>
              <w:rPr>
                <w:rFonts w:ascii="Arial" w:hAnsi="Arial" w:cs="Arial"/>
                <w:b/>
                <w:sz w:val="24"/>
                <w:szCs w:val="24"/>
              </w:rPr>
            </w:pPr>
            <w:r>
              <w:rPr>
                <w:rFonts w:ascii="Arial" w:hAnsi="Arial" w:cs="Arial"/>
                <w:b/>
                <w:sz w:val="24"/>
                <w:szCs w:val="24"/>
              </w:rPr>
              <w:t>Appendix 2</w:t>
            </w:r>
          </w:p>
        </w:tc>
        <w:tc>
          <w:tcPr>
            <w:cnfStyle w:val="000001000000" w:firstRow="0" w:lastRow="0" w:firstColumn="0" w:lastColumn="0" w:oddVBand="0" w:evenVBand="1" w:oddHBand="0" w:evenHBand="0" w:firstRowFirstColumn="0" w:firstRowLastColumn="0" w:lastRowFirstColumn="0" w:lastRowLastColumn="0"/>
            <w:tcW w:w="7178" w:type="dxa"/>
            <w:tcBorders>
              <w:left w:val="none" w:sz="0" w:space="0" w:color="auto"/>
              <w:right w:val="none" w:sz="0" w:space="0" w:color="auto"/>
            </w:tcBorders>
          </w:tcPr>
          <w:p w14:paraId="6F1DF0F4" w14:textId="77777777" w:rsidR="00C758F1" w:rsidRDefault="00C758F1" w:rsidP="00DE3B17">
            <w:pPr>
              <w:rPr>
                <w:rFonts w:ascii="Arial" w:hAnsi="Arial" w:cs="Arial"/>
                <w:sz w:val="24"/>
                <w:szCs w:val="24"/>
              </w:rPr>
            </w:pPr>
          </w:p>
          <w:p w14:paraId="1311880E" w14:textId="26037EA3" w:rsidR="00DE3B17" w:rsidRPr="005315C1" w:rsidRDefault="005315C1" w:rsidP="00DE3B17">
            <w:pPr>
              <w:rPr>
                <w:rFonts w:ascii="Arial" w:hAnsi="Arial" w:cs="Arial"/>
                <w:sz w:val="24"/>
                <w:szCs w:val="24"/>
              </w:rPr>
            </w:pPr>
            <w:r w:rsidRPr="005315C1">
              <w:rPr>
                <w:rFonts w:ascii="Arial" w:hAnsi="Arial" w:cs="Arial"/>
                <w:sz w:val="24"/>
                <w:szCs w:val="24"/>
              </w:rPr>
              <w:t>New South Wales Guiding Principles for Government Agencies Responding to Civil Claims for Child Abuse</w:t>
            </w:r>
          </w:p>
        </w:tc>
      </w:tr>
      <w:tr w:rsidR="00DE3B17" w14:paraId="63B37235" w14:textId="77777777" w:rsidTr="009A74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208887A6" w14:textId="77777777" w:rsidR="00C758F1" w:rsidRDefault="00C758F1" w:rsidP="00DE3B17">
            <w:pPr>
              <w:rPr>
                <w:rFonts w:ascii="Arial" w:hAnsi="Arial" w:cs="Arial"/>
                <w:b/>
                <w:sz w:val="24"/>
                <w:szCs w:val="24"/>
              </w:rPr>
            </w:pPr>
          </w:p>
          <w:p w14:paraId="03F36A1E" w14:textId="11B9D0B6" w:rsidR="00DE3B17" w:rsidRDefault="005315C1" w:rsidP="00DE3B17">
            <w:pPr>
              <w:rPr>
                <w:rFonts w:ascii="Arial" w:hAnsi="Arial" w:cs="Arial"/>
                <w:b/>
                <w:sz w:val="24"/>
                <w:szCs w:val="24"/>
              </w:rPr>
            </w:pPr>
            <w:r>
              <w:rPr>
                <w:rFonts w:ascii="Arial" w:hAnsi="Arial" w:cs="Arial"/>
                <w:b/>
                <w:sz w:val="24"/>
                <w:szCs w:val="24"/>
              </w:rPr>
              <w:t>Appendix 3</w:t>
            </w:r>
          </w:p>
        </w:tc>
        <w:tc>
          <w:tcPr>
            <w:cnfStyle w:val="000001000000" w:firstRow="0" w:lastRow="0" w:firstColumn="0" w:lastColumn="0" w:oddVBand="0" w:evenVBand="1" w:oddHBand="0" w:evenHBand="0" w:firstRowFirstColumn="0" w:firstRowLastColumn="0" w:lastRowFirstColumn="0" w:lastRowLastColumn="0"/>
            <w:tcW w:w="7178" w:type="dxa"/>
            <w:tcBorders>
              <w:top w:val="none" w:sz="0" w:space="0" w:color="auto"/>
              <w:left w:val="none" w:sz="0" w:space="0" w:color="auto"/>
              <w:bottom w:val="none" w:sz="0" w:space="0" w:color="auto"/>
              <w:right w:val="none" w:sz="0" w:space="0" w:color="auto"/>
            </w:tcBorders>
          </w:tcPr>
          <w:p w14:paraId="3E5D05F1" w14:textId="77777777" w:rsidR="00C758F1" w:rsidRDefault="00C758F1" w:rsidP="00DE3B17">
            <w:pPr>
              <w:rPr>
                <w:rFonts w:ascii="Arial" w:hAnsi="Arial" w:cs="Arial"/>
                <w:sz w:val="24"/>
                <w:szCs w:val="24"/>
              </w:rPr>
            </w:pPr>
          </w:p>
          <w:p w14:paraId="2C3AB80C" w14:textId="6AB1B441" w:rsidR="00DE3B17" w:rsidRPr="005315C1" w:rsidRDefault="005315C1" w:rsidP="00DE3B17">
            <w:pPr>
              <w:rPr>
                <w:rFonts w:ascii="Arial" w:hAnsi="Arial" w:cs="Arial"/>
                <w:sz w:val="24"/>
                <w:szCs w:val="24"/>
              </w:rPr>
            </w:pPr>
            <w:r w:rsidRPr="005315C1">
              <w:rPr>
                <w:rFonts w:ascii="Arial" w:hAnsi="Arial" w:cs="Arial"/>
                <w:sz w:val="24"/>
                <w:szCs w:val="24"/>
              </w:rPr>
              <w:t>Northern Territory Government Revised Litigant Policy</w:t>
            </w:r>
          </w:p>
        </w:tc>
      </w:tr>
      <w:tr w:rsidR="00DE3B17" w14:paraId="5B9D6A3A" w14:textId="77777777" w:rsidTr="009A74BB">
        <w:tc>
          <w:tcPr>
            <w:cnfStyle w:val="000010000000" w:firstRow="0" w:lastRow="0" w:firstColumn="0" w:lastColumn="0" w:oddVBand="1" w:evenVBand="0" w:oddHBand="0" w:evenHBand="0" w:firstRowFirstColumn="0" w:firstRowLastColumn="0" w:lastRowFirstColumn="0" w:lastRowLastColumn="0"/>
            <w:tcW w:w="1838" w:type="dxa"/>
            <w:tcBorders>
              <w:left w:val="none" w:sz="0" w:space="0" w:color="auto"/>
              <w:right w:val="none" w:sz="0" w:space="0" w:color="auto"/>
            </w:tcBorders>
          </w:tcPr>
          <w:p w14:paraId="1BDF0C10" w14:textId="77777777" w:rsidR="00C758F1" w:rsidRDefault="00C758F1" w:rsidP="00DE3B17">
            <w:pPr>
              <w:rPr>
                <w:rFonts w:ascii="Arial" w:hAnsi="Arial" w:cs="Arial"/>
                <w:b/>
                <w:sz w:val="24"/>
                <w:szCs w:val="24"/>
              </w:rPr>
            </w:pPr>
          </w:p>
          <w:p w14:paraId="763150E3" w14:textId="30C8A141" w:rsidR="00DE3B17" w:rsidRDefault="005315C1" w:rsidP="00DE3B17">
            <w:pPr>
              <w:rPr>
                <w:rFonts w:ascii="Arial" w:hAnsi="Arial" w:cs="Arial"/>
                <w:b/>
                <w:sz w:val="24"/>
                <w:szCs w:val="24"/>
              </w:rPr>
            </w:pPr>
            <w:r>
              <w:rPr>
                <w:rFonts w:ascii="Arial" w:hAnsi="Arial" w:cs="Arial"/>
                <w:b/>
                <w:sz w:val="24"/>
                <w:szCs w:val="24"/>
              </w:rPr>
              <w:t>Appendix 4</w:t>
            </w:r>
          </w:p>
        </w:tc>
        <w:tc>
          <w:tcPr>
            <w:cnfStyle w:val="000001000000" w:firstRow="0" w:lastRow="0" w:firstColumn="0" w:lastColumn="0" w:oddVBand="0" w:evenVBand="1" w:oddHBand="0" w:evenHBand="0" w:firstRowFirstColumn="0" w:firstRowLastColumn="0" w:lastRowFirstColumn="0" w:lastRowLastColumn="0"/>
            <w:tcW w:w="7178" w:type="dxa"/>
            <w:tcBorders>
              <w:left w:val="none" w:sz="0" w:space="0" w:color="auto"/>
              <w:right w:val="none" w:sz="0" w:space="0" w:color="auto"/>
            </w:tcBorders>
          </w:tcPr>
          <w:p w14:paraId="31D2EC33" w14:textId="77777777" w:rsidR="00C758F1" w:rsidRDefault="00C758F1" w:rsidP="00DE3B17">
            <w:pPr>
              <w:rPr>
                <w:rFonts w:ascii="Arial" w:hAnsi="Arial" w:cs="Arial"/>
                <w:sz w:val="24"/>
                <w:szCs w:val="24"/>
              </w:rPr>
            </w:pPr>
          </w:p>
          <w:p w14:paraId="5CF91B69" w14:textId="56DE864C" w:rsidR="00DE3B17" w:rsidRPr="005315C1" w:rsidRDefault="005315C1" w:rsidP="00DE3B17">
            <w:pPr>
              <w:rPr>
                <w:rFonts w:ascii="Arial" w:hAnsi="Arial" w:cs="Arial"/>
                <w:sz w:val="24"/>
                <w:szCs w:val="24"/>
              </w:rPr>
            </w:pPr>
            <w:r w:rsidRPr="005315C1">
              <w:rPr>
                <w:rFonts w:ascii="Arial" w:hAnsi="Arial" w:cs="Arial"/>
                <w:sz w:val="24"/>
                <w:szCs w:val="24"/>
              </w:rPr>
              <w:t>Northern Territory Government Guiding Principles for Responding to Civil Claims Alleging Child Abuse</w:t>
            </w:r>
          </w:p>
        </w:tc>
      </w:tr>
      <w:tr w:rsidR="00DE3B17" w14:paraId="09B702B8" w14:textId="77777777" w:rsidTr="009A74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5C6A3646" w14:textId="77777777" w:rsidR="00C758F1" w:rsidRDefault="00C758F1" w:rsidP="00DE3B17">
            <w:pPr>
              <w:rPr>
                <w:rFonts w:ascii="Arial" w:hAnsi="Arial" w:cs="Arial"/>
                <w:b/>
                <w:sz w:val="24"/>
                <w:szCs w:val="24"/>
              </w:rPr>
            </w:pPr>
          </w:p>
          <w:p w14:paraId="4101202B" w14:textId="2C01CEE0" w:rsidR="00DE3B17" w:rsidRDefault="005315C1" w:rsidP="00DE3B17">
            <w:pPr>
              <w:rPr>
                <w:rFonts w:ascii="Arial" w:hAnsi="Arial" w:cs="Arial"/>
                <w:b/>
                <w:sz w:val="24"/>
                <w:szCs w:val="24"/>
              </w:rPr>
            </w:pPr>
            <w:r>
              <w:rPr>
                <w:rFonts w:ascii="Arial" w:hAnsi="Arial" w:cs="Arial"/>
                <w:b/>
                <w:sz w:val="24"/>
                <w:szCs w:val="24"/>
              </w:rPr>
              <w:t>Appendix 5</w:t>
            </w:r>
          </w:p>
        </w:tc>
        <w:tc>
          <w:tcPr>
            <w:cnfStyle w:val="000001000000" w:firstRow="0" w:lastRow="0" w:firstColumn="0" w:lastColumn="0" w:oddVBand="0" w:evenVBand="1" w:oddHBand="0" w:evenHBand="0" w:firstRowFirstColumn="0" w:firstRowLastColumn="0" w:lastRowFirstColumn="0" w:lastRowLastColumn="0"/>
            <w:tcW w:w="7178" w:type="dxa"/>
            <w:tcBorders>
              <w:top w:val="none" w:sz="0" w:space="0" w:color="auto"/>
              <w:left w:val="none" w:sz="0" w:space="0" w:color="auto"/>
              <w:bottom w:val="none" w:sz="0" w:space="0" w:color="auto"/>
              <w:right w:val="none" w:sz="0" w:space="0" w:color="auto"/>
            </w:tcBorders>
          </w:tcPr>
          <w:p w14:paraId="64D07412" w14:textId="77777777" w:rsidR="00C758F1" w:rsidRDefault="00C758F1" w:rsidP="00DE3B17">
            <w:pPr>
              <w:rPr>
                <w:rFonts w:ascii="Arial" w:hAnsi="Arial" w:cs="Arial"/>
                <w:sz w:val="24"/>
                <w:szCs w:val="24"/>
              </w:rPr>
            </w:pPr>
          </w:p>
          <w:p w14:paraId="633BD714" w14:textId="03BC2B29" w:rsidR="00DE3B17" w:rsidRPr="009A74BB" w:rsidRDefault="005315C1" w:rsidP="00DE3B17">
            <w:pPr>
              <w:rPr>
                <w:rFonts w:ascii="Arial" w:hAnsi="Arial" w:cs="Arial"/>
                <w:sz w:val="24"/>
                <w:szCs w:val="24"/>
              </w:rPr>
            </w:pPr>
            <w:r w:rsidRPr="009A74BB">
              <w:rPr>
                <w:rFonts w:ascii="Arial" w:hAnsi="Arial" w:cs="Arial"/>
                <w:sz w:val="24"/>
                <w:szCs w:val="24"/>
              </w:rPr>
              <w:t xml:space="preserve">Queensland </w:t>
            </w:r>
            <w:r w:rsidR="009A74BB" w:rsidRPr="009A74BB">
              <w:rPr>
                <w:rFonts w:ascii="Arial" w:hAnsi="Arial" w:cs="Arial"/>
                <w:sz w:val="24"/>
                <w:szCs w:val="24"/>
              </w:rPr>
              <w:t>Model Litigant Principles</w:t>
            </w:r>
          </w:p>
        </w:tc>
      </w:tr>
      <w:tr w:rsidR="009A74BB" w14:paraId="655B02A4" w14:textId="77777777" w:rsidTr="009A74BB">
        <w:tc>
          <w:tcPr>
            <w:cnfStyle w:val="000010000000" w:firstRow="0" w:lastRow="0" w:firstColumn="0" w:lastColumn="0" w:oddVBand="1" w:evenVBand="0" w:oddHBand="0" w:evenHBand="0" w:firstRowFirstColumn="0" w:firstRowLastColumn="0" w:lastRowFirstColumn="0" w:lastRowLastColumn="0"/>
            <w:tcW w:w="1838" w:type="dxa"/>
            <w:tcBorders>
              <w:left w:val="none" w:sz="0" w:space="0" w:color="auto"/>
              <w:right w:val="none" w:sz="0" w:space="0" w:color="auto"/>
            </w:tcBorders>
          </w:tcPr>
          <w:p w14:paraId="2E47F806" w14:textId="77777777" w:rsidR="00C758F1" w:rsidRDefault="00C758F1" w:rsidP="00DE3B17">
            <w:pPr>
              <w:rPr>
                <w:rFonts w:ascii="Arial" w:hAnsi="Arial" w:cs="Arial"/>
                <w:b/>
                <w:sz w:val="24"/>
                <w:szCs w:val="24"/>
              </w:rPr>
            </w:pPr>
          </w:p>
          <w:p w14:paraId="273DB1CF" w14:textId="71B0FF88" w:rsidR="009A74BB" w:rsidRDefault="009A74BB" w:rsidP="00DE3B17">
            <w:pPr>
              <w:rPr>
                <w:rFonts w:ascii="Arial" w:hAnsi="Arial" w:cs="Arial"/>
                <w:b/>
                <w:sz w:val="24"/>
                <w:szCs w:val="24"/>
              </w:rPr>
            </w:pPr>
            <w:r>
              <w:rPr>
                <w:rFonts w:ascii="Arial" w:hAnsi="Arial" w:cs="Arial"/>
                <w:b/>
                <w:sz w:val="24"/>
                <w:szCs w:val="24"/>
              </w:rPr>
              <w:t>Appendix 6</w:t>
            </w:r>
          </w:p>
        </w:tc>
        <w:tc>
          <w:tcPr>
            <w:cnfStyle w:val="000001000000" w:firstRow="0" w:lastRow="0" w:firstColumn="0" w:lastColumn="0" w:oddVBand="0" w:evenVBand="1" w:oddHBand="0" w:evenHBand="0" w:firstRowFirstColumn="0" w:firstRowLastColumn="0" w:lastRowFirstColumn="0" w:lastRowLastColumn="0"/>
            <w:tcW w:w="7178" w:type="dxa"/>
            <w:tcBorders>
              <w:left w:val="none" w:sz="0" w:space="0" w:color="auto"/>
              <w:right w:val="none" w:sz="0" w:space="0" w:color="auto"/>
            </w:tcBorders>
          </w:tcPr>
          <w:p w14:paraId="75F8B998" w14:textId="77777777" w:rsidR="00C758F1" w:rsidRDefault="00C758F1" w:rsidP="00DE3B17">
            <w:pPr>
              <w:rPr>
                <w:rFonts w:ascii="Arial" w:hAnsi="Arial" w:cs="Arial"/>
                <w:sz w:val="24"/>
                <w:szCs w:val="24"/>
              </w:rPr>
            </w:pPr>
          </w:p>
          <w:p w14:paraId="04DB1FAE" w14:textId="1A02BC26" w:rsidR="009A74BB" w:rsidRPr="009A74BB" w:rsidRDefault="009A74BB" w:rsidP="00DE3B17">
            <w:pPr>
              <w:rPr>
                <w:rFonts w:ascii="Arial" w:hAnsi="Arial" w:cs="Arial"/>
                <w:sz w:val="24"/>
                <w:szCs w:val="24"/>
              </w:rPr>
            </w:pPr>
            <w:r w:rsidRPr="009A74BB">
              <w:rPr>
                <w:rFonts w:ascii="Arial" w:hAnsi="Arial" w:cs="Arial"/>
                <w:sz w:val="24"/>
                <w:szCs w:val="24"/>
              </w:rPr>
              <w:t>Queensland Whole-of-Government Guidelines for responding to civil litigation involving child sexual abuse</w:t>
            </w:r>
          </w:p>
        </w:tc>
      </w:tr>
      <w:tr w:rsidR="009A74BB" w14:paraId="22C939BE" w14:textId="77777777" w:rsidTr="009A74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5AB4CE54" w14:textId="77777777" w:rsidR="00C758F1" w:rsidRDefault="00C758F1" w:rsidP="00DE3B17">
            <w:pPr>
              <w:rPr>
                <w:rFonts w:ascii="Arial" w:hAnsi="Arial" w:cs="Arial"/>
                <w:b/>
                <w:sz w:val="24"/>
                <w:szCs w:val="24"/>
              </w:rPr>
            </w:pPr>
          </w:p>
          <w:p w14:paraId="15C73452" w14:textId="5AFA9862" w:rsidR="009A74BB" w:rsidRDefault="009A74BB" w:rsidP="00DE3B17">
            <w:pPr>
              <w:rPr>
                <w:rFonts w:ascii="Arial" w:hAnsi="Arial" w:cs="Arial"/>
                <w:b/>
                <w:sz w:val="24"/>
                <w:szCs w:val="24"/>
              </w:rPr>
            </w:pPr>
            <w:r>
              <w:rPr>
                <w:rFonts w:ascii="Arial" w:hAnsi="Arial" w:cs="Arial"/>
                <w:b/>
                <w:sz w:val="24"/>
                <w:szCs w:val="24"/>
              </w:rPr>
              <w:t xml:space="preserve">Appendix 7 </w:t>
            </w:r>
          </w:p>
        </w:tc>
        <w:tc>
          <w:tcPr>
            <w:cnfStyle w:val="000001000000" w:firstRow="0" w:lastRow="0" w:firstColumn="0" w:lastColumn="0" w:oddVBand="0" w:evenVBand="1" w:oddHBand="0" w:evenHBand="0" w:firstRowFirstColumn="0" w:firstRowLastColumn="0" w:lastRowFirstColumn="0" w:lastRowLastColumn="0"/>
            <w:tcW w:w="7178" w:type="dxa"/>
            <w:tcBorders>
              <w:top w:val="none" w:sz="0" w:space="0" w:color="auto"/>
              <w:left w:val="none" w:sz="0" w:space="0" w:color="auto"/>
              <w:bottom w:val="none" w:sz="0" w:space="0" w:color="auto"/>
              <w:right w:val="none" w:sz="0" w:space="0" w:color="auto"/>
            </w:tcBorders>
          </w:tcPr>
          <w:p w14:paraId="0E39D059" w14:textId="77777777" w:rsidR="00C758F1" w:rsidRDefault="00C758F1" w:rsidP="00DE3B17">
            <w:pPr>
              <w:rPr>
                <w:rFonts w:ascii="Arial" w:hAnsi="Arial" w:cs="Arial"/>
                <w:sz w:val="24"/>
                <w:szCs w:val="24"/>
              </w:rPr>
            </w:pPr>
          </w:p>
          <w:p w14:paraId="162EF712" w14:textId="61F4FA79" w:rsidR="009A74BB" w:rsidRPr="009A74BB" w:rsidRDefault="009A74BB" w:rsidP="00DE3B17">
            <w:pPr>
              <w:rPr>
                <w:rFonts w:ascii="Arial" w:hAnsi="Arial" w:cs="Arial"/>
                <w:sz w:val="24"/>
                <w:szCs w:val="24"/>
              </w:rPr>
            </w:pPr>
            <w:r w:rsidRPr="009A74BB">
              <w:rPr>
                <w:rFonts w:ascii="Arial" w:hAnsi="Arial" w:cs="Arial"/>
                <w:sz w:val="24"/>
                <w:szCs w:val="24"/>
              </w:rPr>
              <w:t>State of Victoria Revised Model Litigant Guidelines</w:t>
            </w:r>
          </w:p>
        </w:tc>
      </w:tr>
      <w:tr w:rsidR="009A74BB" w14:paraId="591107BF" w14:textId="77777777" w:rsidTr="009A74BB">
        <w:tc>
          <w:tcPr>
            <w:cnfStyle w:val="000010000000" w:firstRow="0" w:lastRow="0" w:firstColumn="0" w:lastColumn="0" w:oddVBand="1" w:evenVBand="0" w:oddHBand="0" w:evenHBand="0" w:firstRowFirstColumn="0" w:firstRowLastColumn="0" w:lastRowFirstColumn="0" w:lastRowLastColumn="0"/>
            <w:tcW w:w="1838" w:type="dxa"/>
            <w:tcBorders>
              <w:left w:val="none" w:sz="0" w:space="0" w:color="auto"/>
              <w:right w:val="none" w:sz="0" w:space="0" w:color="auto"/>
            </w:tcBorders>
          </w:tcPr>
          <w:p w14:paraId="202F00CB" w14:textId="77777777" w:rsidR="00C758F1" w:rsidRDefault="00C758F1" w:rsidP="00DE3B17">
            <w:pPr>
              <w:rPr>
                <w:rFonts w:ascii="Arial" w:hAnsi="Arial" w:cs="Arial"/>
                <w:b/>
                <w:sz w:val="24"/>
                <w:szCs w:val="24"/>
              </w:rPr>
            </w:pPr>
          </w:p>
          <w:p w14:paraId="4455C43A" w14:textId="655C477A" w:rsidR="009A74BB" w:rsidRDefault="009A74BB" w:rsidP="00DE3B17">
            <w:pPr>
              <w:rPr>
                <w:rFonts w:ascii="Arial" w:hAnsi="Arial" w:cs="Arial"/>
                <w:b/>
                <w:sz w:val="24"/>
                <w:szCs w:val="24"/>
              </w:rPr>
            </w:pPr>
            <w:r>
              <w:rPr>
                <w:rFonts w:ascii="Arial" w:hAnsi="Arial" w:cs="Arial"/>
                <w:b/>
                <w:sz w:val="24"/>
                <w:szCs w:val="24"/>
              </w:rPr>
              <w:t>Appendix 8</w:t>
            </w:r>
          </w:p>
        </w:tc>
        <w:tc>
          <w:tcPr>
            <w:cnfStyle w:val="000001000000" w:firstRow="0" w:lastRow="0" w:firstColumn="0" w:lastColumn="0" w:oddVBand="0" w:evenVBand="1" w:oddHBand="0" w:evenHBand="0" w:firstRowFirstColumn="0" w:firstRowLastColumn="0" w:lastRowFirstColumn="0" w:lastRowLastColumn="0"/>
            <w:tcW w:w="7178" w:type="dxa"/>
            <w:tcBorders>
              <w:left w:val="none" w:sz="0" w:space="0" w:color="auto"/>
              <w:right w:val="none" w:sz="0" w:space="0" w:color="auto"/>
            </w:tcBorders>
          </w:tcPr>
          <w:p w14:paraId="5A6B666B" w14:textId="77777777" w:rsidR="00C758F1" w:rsidRDefault="00C758F1" w:rsidP="00DE3B17">
            <w:pPr>
              <w:rPr>
                <w:rFonts w:ascii="Arial" w:hAnsi="Arial" w:cs="Arial"/>
                <w:sz w:val="24"/>
                <w:szCs w:val="24"/>
              </w:rPr>
            </w:pPr>
          </w:p>
          <w:p w14:paraId="2955BBC4" w14:textId="463E2DAF" w:rsidR="009A74BB" w:rsidRPr="009A74BB" w:rsidRDefault="009A74BB" w:rsidP="00DE3B17">
            <w:pPr>
              <w:rPr>
                <w:rFonts w:ascii="Arial" w:hAnsi="Arial" w:cs="Arial"/>
                <w:sz w:val="24"/>
                <w:szCs w:val="24"/>
              </w:rPr>
            </w:pPr>
            <w:r w:rsidRPr="009A74BB">
              <w:rPr>
                <w:rFonts w:ascii="Arial" w:hAnsi="Arial" w:cs="Arial"/>
                <w:sz w:val="24"/>
                <w:szCs w:val="24"/>
              </w:rPr>
              <w:t>Common Guiding Principles for responding to civil claims involving allegations of child sexual abuse (Departments of Health and Human Services, and Education and Training)</w:t>
            </w:r>
          </w:p>
        </w:tc>
      </w:tr>
      <w:tr w:rsidR="009A74BB" w14:paraId="6104C3BF" w14:textId="77777777" w:rsidTr="009A74B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38" w:type="dxa"/>
            <w:tcBorders>
              <w:top w:val="none" w:sz="0" w:space="0" w:color="auto"/>
              <w:left w:val="none" w:sz="0" w:space="0" w:color="auto"/>
              <w:bottom w:val="none" w:sz="0" w:space="0" w:color="auto"/>
              <w:right w:val="none" w:sz="0" w:space="0" w:color="auto"/>
            </w:tcBorders>
          </w:tcPr>
          <w:p w14:paraId="4AA329B8" w14:textId="77777777" w:rsidR="00C758F1" w:rsidRDefault="00C758F1" w:rsidP="00DE3B17">
            <w:pPr>
              <w:rPr>
                <w:rFonts w:ascii="Arial" w:hAnsi="Arial" w:cs="Arial"/>
                <w:b/>
                <w:sz w:val="24"/>
                <w:szCs w:val="24"/>
              </w:rPr>
            </w:pPr>
          </w:p>
          <w:p w14:paraId="6CCBFA16" w14:textId="527E1973" w:rsidR="009A74BB" w:rsidRDefault="009A74BB" w:rsidP="00DE3B17">
            <w:pPr>
              <w:rPr>
                <w:rFonts w:ascii="Arial" w:hAnsi="Arial" w:cs="Arial"/>
                <w:b/>
                <w:sz w:val="24"/>
                <w:szCs w:val="24"/>
              </w:rPr>
            </w:pPr>
            <w:r>
              <w:rPr>
                <w:rFonts w:ascii="Arial" w:hAnsi="Arial" w:cs="Arial"/>
                <w:b/>
                <w:sz w:val="24"/>
                <w:szCs w:val="24"/>
              </w:rPr>
              <w:t>Appendix 9</w:t>
            </w:r>
          </w:p>
        </w:tc>
        <w:tc>
          <w:tcPr>
            <w:cnfStyle w:val="000001000000" w:firstRow="0" w:lastRow="0" w:firstColumn="0" w:lastColumn="0" w:oddVBand="0" w:evenVBand="1" w:oddHBand="0" w:evenHBand="0" w:firstRowFirstColumn="0" w:firstRowLastColumn="0" w:lastRowFirstColumn="0" w:lastRowLastColumn="0"/>
            <w:tcW w:w="7178" w:type="dxa"/>
            <w:tcBorders>
              <w:top w:val="none" w:sz="0" w:space="0" w:color="auto"/>
              <w:left w:val="none" w:sz="0" w:space="0" w:color="auto"/>
              <w:bottom w:val="none" w:sz="0" w:space="0" w:color="auto"/>
              <w:right w:val="none" w:sz="0" w:space="0" w:color="auto"/>
            </w:tcBorders>
          </w:tcPr>
          <w:p w14:paraId="224BD6D9" w14:textId="77777777" w:rsidR="00C758F1" w:rsidRDefault="00C758F1" w:rsidP="00DE3B17">
            <w:pPr>
              <w:rPr>
                <w:rFonts w:ascii="Arial" w:hAnsi="Arial" w:cs="Arial"/>
                <w:sz w:val="24"/>
                <w:szCs w:val="24"/>
              </w:rPr>
            </w:pPr>
          </w:p>
          <w:p w14:paraId="68460398" w14:textId="6544FA86" w:rsidR="009A74BB" w:rsidRPr="009A74BB" w:rsidRDefault="009A74BB" w:rsidP="00DE3B17">
            <w:pPr>
              <w:rPr>
                <w:rFonts w:ascii="Arial" w:hAnsi="Arial" w:cs="Arial"/>
                <w:sz w:val="24"/>
                <w:szCs w:val="24"/>
              </w:rPr>
            </w:pPr>
            <w:r w:rsidRPr="009A74BB">
              <w:rPr>
                <w:rFonts w:ascii="Arial" w:hAnsi="Arial" w:cs="Arial"/>
                <w:sz w:val="24"/>
                <w:szCs w:val="24"/>
              </w:rPr>
              <w:t>Western Australia Government Whole of Government Guiding Principles for Responding to Civil Litigation involving Child Sexual Abuse</w:t>
            </w:r>
          </w:p>
        </w:tc>
      </w:tr>
    </w:tbl>
    <w:p w14:paraId="59ED95B2" w14:textId="77777777" w:rsidR="00DE3B17" w:rsidRPr="00DE3B17" w:rsidRDefault="00DE3B17" w:rsidP="00DE3B17">
      <w:pPr>
        <w:rPr>
          <w:rFonts w:ascii="Arial" w:hAnsi="Arial" w:cs="Arial"/>
          <w:b/>
          <w:sz w:val="24"/>
          <w:szCs w:val="24"/>
        </w:rPr>
      </w:pPr>
    </w:p>
    <w:sectPr w:rsidR="00DE3B17" w:rsidRPr="00DE3B1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36263" w14:textId="77777777" w:rsidR="002E58E8" w:rsidRDefault="002E58E8" w:rsidP="003779A5">
      <w:pPr>
        <w:spacing w:after="0" w:line="240" w:lineRule="auto"/>
      </w:pPr>
      <w:r>
        <w:separator/>
      </w:r>
    </w:p>
  </w:endnote>
  <w:endnote w:type="continuationSeparator" w:id="0">
    <w:p w14:paraId="024A39A6" w14:textId="77777777" w:rsidR="002E58E8" w:rsidRDefault="002E58E8" w:rsidP="00377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_book">
    <w:altName w:val="Calibri"/>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84020"/>
      <w:docPartObj>
        <w:docPartGallery w:val="Page Numbers (Bottom of Page)"/>
        <w:docPartUnique/>
      </w:docPartObj>
    </w:sdtPr>
    <w:sdtEndPr>
      <w:rPr>
        <w:noProof/>
      </w:rPr>
    </w:sdtEndPr>
    <w:sdtContent>
      <w:p w14:paraId="1A60D84D" w14:textId="6A2B268F" w:rsidR="00C758F1" w:rsidRDefault="00C758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C0763B" w14:textId="77777777" w:rsidR="00C758F1" w:rsidRDefault="00C75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9EF23" w14:textId="77777777" w:rsidR="002E58E8" w:rsidRDefault="002E58E8" w:rsidP="003779A5">
      <w:pPr>
        <w:spacing w:after="0" w:line="240" w:lineRule="auto"/>
      </w:pPr>
      <w:r>
        <w:separator/>
      </w:r>
    </w:p>
  </w:footnote>
  <w:footnote w:type="continuationSeparator" w:id="0">
    <w:p w14:paraId="5FC38BCD" w14:textId="77777777" w:rsidR="002E58E8" w:rsidRDefault="002E58E8" w:rsidP="003779A5">
      <w:pPr>
        <w:spacing w:after="0" w:line="240" w:lineRule="auto"/>
      </w:pPr>
      <w:r>
        <w:continuationSeparator/>
      </w:r>
    </w:p>
  </w:footnote>
  <w:footnote w:id="1">
    <w:p w14:paraId="61C9740E" w14:textId="092C142E"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https://www.childabuseroyalcommission.gov.au/</w:t>
      </w:r>
    </w:p>
  </w:footnote>
  <w:footnote w:id="2">
    <w:p w14:paraId="443047CA" w14:textId="132E1C45"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http://www.residentialschoolsettlement.ca/IRS%20Settlement%20Agreement-%20ENGLISH.pdf</w:t>
      </w:r>
    </w:p>
  </w:footnote>
  <w:footnote w:id="3">
    <w:p w14:paraId="0F340DB3" w14:textId="01517F31"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https://www.iicsa.org.uk/</w:t>
      </w:r>
    </w:p>
  </w:footnote>
  <w:footnote w:id="4">
    <w:p w14:paraId="7480B330" w14:textId="4C8B0861"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https://www.hiainquiry.org/</w:t>
      </w:r>
    </w:p>
  </w:footnote>
  <w:footnote w:id="5">
    <w:p w14:paraId="414DA47E" w14:textId="5FF5C462"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w:t>
      </w:r>
      <w:hyperlink r:id="rId1" w:history="1">
        <w:r w:rsidRPr="00DE3B17">
          <w:rPr>
            <w:rStyle w:val="Hyperlink"/>
            <w:rFonts w:ascii="Arial" w:hAnsi="Arial" w:cs="Arial"/>
          </w:rPr>
          <w:t>http://www.childabusecommission.ie/</w:t>
        </w:r>
      </w:hyperlink>
      <w:r w:rsidRPr="00DE3B17">
        <w:rPr>
          <w:rFonts w:ascii="Arial" w:hAnsi="Arial" w:cs="Arial"/>
        </w:rPr>
        <w:t>. Note that the redress and rehabilitation provisions of the Residential Institutions Redress Act 2002 were developed separately from the Commission. The Compensation Advisory Committee was established in 2001 by the Minister for Education and Science.</w:t>
      </w:r>
    </w:p>
  </w:footnote>
  <w:footnote w:id="6">
    <w:p w14:paraId="5D1A2093" w14:textId="77777777" w:rsidR="00C758F1" w:rsidRPr="00DE3B17" w:rsidRDefault="00C758F1" w:rsidP="00677780">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https://www.childabuseinquiry.scot/</w:t>
      </w:r>
    </w:p>
  </w:footnote>
  <w:footnote w:id="7">
    <w:p w14:paraId="198EAF47" w14:textId="77777777" w:rsidR="00C758F1" w:rsidRPr="00DE3B17" w:rsidRDefault="00C758F1" w:rsidP="001F3CCE">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https://www.aph.gov.au/Parliamentary_Business/Committees/Senate/Community_Affairs/Completed_inquiries/2004-07/inst_care/report/index</w:t>
      </w:r>
    </w:p>
  </w:footnote>
  <w:footnote w:id="8">
    <w:p w14:paraId="3AD5666C" w14:textId="6C967402"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https://www.childabuseroyalcommission.gov.au/sites/default/files/file-list/final_report_-_redress_and_civil_litigation.pdf</w:t>
      </w:r>
    </w:p>
  </w:footnote>
  <w:footnote w:id="9">
    <w:p w14:paraId="34DB8213" w14:textId="657ADB62" w:rsidR="00C758F1" w:rsidRDefault="00C758F1">
      <w:pPr>
        <w:pStyle w:val="FootnoteText"/>
      </w:pPr>
      <w:r>
        <w:rPr>
          <w:rStyle w:val="FootnoteReference"/>
        </w:rPr>
        <w:footnoteRef/>
      </w:r>
      <w:r>
        <w:t xml:space="preserve"> National Redress Scheme Participant and Cost Estimates, Finity Consulting Pty Ltd, July 2015</w:t>
      </w:r>
    </w:p>
    <w:p w14:paraId="1821AF83" w14:textId="21CC4764" w:rsidR="00C758F1" w:rsidRDefault="00C758F1">
      <w:pPr>
        <w:pStyle w:val="FootnoteText"/>
      </w:pPr>
      <w:r>
        <w:t xml:space="preserve"> </w:t>
      </w:r>
      <w:r w:rsidRPr="00372B46">
        <w:t>https://www.childabuseroyalcommission.gov.au/sites/default/files/file-list/national_redress_scheme_participant_and_cost_estimates_report.pdf</w:t>
      </w:r>
    </w:p>
  </w:footnote>
  <w:footnote w:id="10">
    <w:p w14:paraId="4B04EF39" w14:textId="6674FC8B" w:rsidR="00C758F1" w:rsidRPr="001C6426" w:rsidRDefault="00C758F1">
      <w:pPr>
        <w:pStyle w:val="FootnoteText"/>
        <w:rPr>
          <w:rFonts w:ascii="Arial" w:hAnsi="Arial" w:cs="Arial"/>
          <w:lang w:val="en-NZ"/>
        </w:rPr>
      </w:pPr>
      <w:r w:rsidRPr="001C6426">
        <w:rPr>
          <w:rStyle w:val="FootnoteReference"/>
          <w:rFonts w:ascii="Arial" w:hAnsi="Arial" w:cs="Arial"/>
        </w:rPr>
        <w:footnoteRef/>
      </w:r>
      <w:r w:rsidRPr="001C6426">
        <w:rPr>
          <w:rFonts w:ascii="Arial" w:hAnsi="Arial" w:cs="Arial"/>
        </w:rPr>
        <w:t xml:space="preserve"> </w:t>
      </w:r>
      <w:r w:rsidRPr="001C6426">
        <w:rPr>
          <w:rFonts w:ascii="Arial" w:hAnsi="Arial" w:cs="Arial"/>
          <w:lang w:val="en-NZ"/>
        </w:rPr>
        <w:t>The Royal Commission also recommended the classes of institutions that should be subject to the duty.</w:t>
      </w:r>
    </w:p>
  </w:footnote>
  <w:footnote w:id="11">
    <w:p w14:paraId="18B74136" w14:textId="1BDD8FBA" w:rsidR="00C758F1" w:rsidRPr="001C6426" w:rsidRDefault="00C758F1">
      <w:pPr>
        <w:pStyle w:val="FootnoteText"/>
        <w:rPr>
          <w:rFonts w:ascii="Arial" w:hAnsi="Arial" w:cs="Arial"/>
          <w:lang w:val="en-NZ"/>
        </w:rPr>
      </w:pPr>
      <w:r w:rsidRPr="001C6426">
        <w:rPr>
          <w:rStyle w:val="FootnoteReference"/>
          <w:rFonts w:ascii="Arial" w:hAnsi="Arial" w:cs="Arial"/>
        </w:rPr>
        <w:footnoteRef/>
      </w:r>
      <w:r w:rsidRPr="001C6426">
        <w:rPr>
          <w:rFonts w:ascii="Arial" w:hAnsi="Arial" w:cs="Arial"/>
        </w:rPr>
        <w:t xml:space="preserve"> </w:t>
      </w:r>
      <w:r w:rsidRPr="001C6426">
        <w:rPr>
          <w:rFonts w:ascii="Arial" w:hAnsi="Arial" w:cs="Arial"/>
          <w:lang w:val="en-NZ"/>
        </w:rPr>
        <w:t xml:space="preserve">The Royal Commission made recommendations on the institutions subject to the reversed onus </w:t>
      </w:r>
      <w:r>
        <w:rPr>
          <w:rFonts w:ascii="Arial" w:hAnsi="Arial" w:cs="Arial"/>
          <w:lang w:val="en-NZ"/>
        </w:rPr>
        <w:t xml:space="preserve">of proof </w:t>
      </w:r>
      <w:r w:rsidRPr="001C6426">
        <w:rPr>
          <w:rFonts w:ascii="Arial" w:hAnsi="Arial" w:cs="Arial"/>
          <w:lang w:val="en-NZ"/>
        </w:rPr>
        <w:t xml:space="preserve">and persons considered to be associated with the institution. </w:t>
      </w:r>
    </w:p>
  </w:footnote>
  <w:footnote w:id="12">
    <w:p w14:paraId="435DEC1A" w14:textId="28AAF52E" w:rsidR="00C758F1" w:rsidRPr="001C6426" w:rsidRDefault="00C758F1" w:rsidP="00DA2CC4">
      <w:pPr>
        <w:pStyle w:val="FootnoteText"/>
        <w:rPr>
          <w:rFonts w:ascii="Arial" w:hAnsi="Arial" w:cs="Arial"/>
        </w:rPr>
      </w:pPr>
      <w:r w:rsidRPr="001C6426">
        <w:rPr>
          <w:rStyle w:val="FootnoteReference"/>
          <w:rFonts w:ascii="Arial" w:hAnsi="Arial" w:cs="Arial"/>
        </w:rPr>
        <w:footnoteRef/>
      </w:r>
      <w:r w:rsidRPr="001C6426">
        <w:rPr>
          <w:rFonts w:ascii="Arial" w:hAnsi="Arial" w:cs="Arial"/>
        </w:rPr>
        <w:t xml:space="preserve"> The Act implementing the Royal Commission’s recommendations also implements the findings of the Family and Community Committee Development report </w:t>
      </w:r>
      <w:r w:rsidRPr="001C6426">
        <w:rPr>
          <w:rFonts w:ascii="Arial" w:hAnsi="Arial" w:cs="Arial"/>
          <w:i/>
        </w:rPr>
        <w:t xml:space="preserve">Betrayal of Trust: Inquiry into the Handling of Child Abuse by Religious and other Non-Government Organisations, </w:t>
      </w:r>
      <w:r w:rsidRPr="001C6426">
        <w:rPr>
          <w:rFonts w:ascii="Arial" w:hAnsi="Arial" w:cs="Arial"/>
        </w:rPr>
        <w:t>Victoria Parliament (November 2013).</w:t>
      </w:r>
    </w:p>
  </w:footnote>
  <w:footnote w:id="13">
    <w:p w14:paraId="6B50BE4A" w14:textId="6AADC0C8" w:rsidR="00C758F1" w:rsidRPr="000B243E" w:rsidRDefault="00C758F1" w:rsidP="001C6426">
      <w:pPr>
        <w:spacing w:line="240" w:lineRule="auto"/>
        <w:rPr>
          <w:rFonts w:ascii="Arial" w:hAnsi="Arial" w:cs="Arial"/>
          <w:sz w:val="24"/>
          <w:szCs w:val="24"/>
        </w:rPr>
      </w:pPr>
      <w:r>
        <w:rPr>
          <w:rStyle w:val="FootnoteReference"/>
        </w:rPr>
        <w:footnoteRef/>
      </w:r>
      <w:r>
        <w:t xml:space="preserve"> </w:t>
      </w:r>
      <w:r w:rsidRPr="000B243E">
        <w:rPr>
          <w:rFonts w:ascii="Arial" w:hAnsi="Arial" w:cs="Arial"/>
          <w:sz w:val="20"/>
          <w:szCs w:val="20"/>
        </w:rPr>
        <w:t xml:space="preserve">The legislation </w:t>
      </w:r>
      <w:r>
        <w:rPr>
          <w:rFonts w:ascii="Arial" w:hAnsi="Arial" w:cs="Arial"/>
          <w:sz w:val="20"/>
          <w:szCs w:val="20"/>
        </w:rPr>
        <w:t xml:space="preserve">prescribes factors that the court can consider in determining </w:t>
      </w:r>
      <w:r w:rsidRPr="000B243E">
        <w:rPr>
          <w:rFonts w:ascii="Arial" w:hAnsi="Arial" w:cs="Arial"/>
          <w:sz w:val="20"/>
          <w:szCs w:val="20"/>
        </w:rPr>
        <w:t xml:space="preserve">whether the performance of the employee’s functions placed them in a position to carry out the </w:t>
      </w:r>
      <w:r w:rsidR="00C06BA1" w:rsidRPr="000B243E">
        <w:rPr>
          <w:rFonts w:ascii="Arial" w:hAnsi="Arial" w:cs="Arial"/>
          <w:sz w:val="20"/>
          <w:szCs w:val="20"/>
        </w:rPr>
        <w:t>abuse</w:t>
      </w:r>
      <w:r w:rsidR="00C06BA1">
        <w:rPr>
          <w:rFonts w:ascii="Arial" w:hAnsi="Arial" w:cs="Arial"/>
          <w:sz w:val="24"/>
          <w:szCs w:val="24"/>
        </w:rPr>
        <w:t>.</w:t>
      </w:r>
      <w:r w:rsidR="00C06BA1" w:rsidRPr="000B243E">
        <w:rPr>
          <w:rFonts w:ascii="Arial" w:hAnsi="Arial" w:cs="Arial"/>
          <w:sz w:val="20"/>
          <w:szCs w:val="20"/>
        </w:rPr>
        <w:t xml:space="preserve"> Those</w:t>
      </w:r>
      <w:r w:rsidRPr="000B243E">
        <w:rPr>
          <w:rFonts w:ascii="Arial" w:hAnsi="Arial" w:cs="Arial"/>
          <w:sz w:val="20"/>
          <w:szCs w:val="20"/>
        </w:rPr>
        <w:t xml:space="preserve"> factors include: </w:t>
      </w:r>
      <w:r>
        <w:rPr>
          <w:rFonts w:ascii="Arial" w:hAnsi="Arial" w:cs="Arial"/>
          <w:sz w:val="20"/>
          <w:szCs w:val="20"/>
        </w:rPr>
        <w:t>t</w:t>
      </w:r>
      <w:r w:rsidRPr="000B243E">
        <w:rPr>
          <w:rFonts w:ascii="Arial" w:hAnsi="Arial" w:cs="Arial"/>
          <w:sz w:val="20"/>
          <w:szCs w:val="20"/>
        </w:rPr>
        <w:t>he perpetrator’s authority, power and control over the child</w:t>
      </w:r>
      <w:r>
        <w:rPr>
          <w:rFonts w:ascii="Arial" w:hAnsi="Arial" w:cs="Arial"/>
          <w:sz w:val="20"/>
          <w:szCs w:val="20"/>
        </w:rPr>
        <w:t>; t</w:t>
      </w:r>
      <w:r w:rsidRPr="000B243E">
        <w:rPr>
          <w:rFonts w:ascii="Arial" w:hAnsi="Arial" w:cs="Arial"/>
          <w:sz w:val="20"/>
          <w:szCs w:val="20"/>
        </w:rPr>
        <w:t>he trust of the child in the perpetrator; and</w:t>
      </w:r>
      <w:r>
        <w:rPr>
          <w:rFonts w:ascii="Arial" w:hAnsi="Arial" w:cs="Arial"/>
          <w:sz w:val="20"/>
          <w:szCs w:val="20"/>
        </w:rPr>
        <w:t xml:space="preserve"> t</w:t>
      </w:r>
      <w:r w:rsidRPr="000B243E">
        <w:rPr>
          <w:rFonts w:ascii="Arial" w:hAnsi="Arial" w:cs="Arial"/>
          <w:sz w:val="20"/>
          <w:szCs w:val="20"/>
        </w:rPr>
        <w:t>he perpetrator’s ability to establish intimacy with the child.</w:t>
      </w:r>
    </w:p>
    <w:p w14:paraId="4C2DBD78" w14:textId="09E0B799" w:rsidR="00C758F1" w:rsidRPr="000B243E" w:rsidRDefault="00C758F1">
      <w:pPr>
        <w:pStyle w:val="FootnoteText"/>
        <w:rPr>
          <w:lang w:val="en-NZ"/>
        </w:rPr>
      </w:pPr>
    </w:p>
  </w:footnote>
  <w:footnote w:id="14">
    <w:p w14:paraId="305DE735" w14:textId="32861E0D" w:rsidR="00C758F1" w:rsidRPr="00DE3B17" w:rsidRDefault="00C758F1">
      <w:pPr>
        <w:pStyle w:val="FootnoteText"/>
        <w:rPr>
          <w:lang w:val="en-NZ"/>
        </w:rPr>
      </w:pPr>
      <w:r>
        <w:rPr>
          <w:rStyle w:val="FootnoteReference"/>
        </w:rPr>
        <w:footnoteRef/>
      </w:r>
      <w:r>
        <w:t xml:space="preserve"> </w:t>
      </w:r>
      <w:r>
        <w:rPr>
          <w:lang w:val="en-NZ"/>
        </w:rPr>
        <w:t>The Model Litigant Rules and Guiding Principles are attached as an appendix to this report</w:t>
      </w:r>
    </w:p>
  </w:footnote>
  <w:footnote w:id="15">
    <w:p w14:paraId="43E103E3" w14:textId="1A69F4A7"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https://www.bac-lac.gc.ca/eng/discover/aboriginal-heritage/royal-commission-aboriginal-peoples/Pages/final-report.aspx</w:t>
      </w:r>
    </w:p>
  </w:footnote>
  <w:footnote w:id="16">
    <w:p w14:paraId="7A758D33" w14:textId="06A84522" w:rsidR="00C758F1" w:rsidRPr="00D52570" w:rsidRDefault="00C758F1">
      <w:pPr>
        <w:pStyle w:val="FootnoteText"/>
        <w:rPr>
          <w:rFonts w:ascii="Arial" w:hAnsi="Arial" w:cs="Arial"/>
          <w:lang w:val="en-NZ"/>
        </w:rPr>
      </w:pPr>
      <w:r>
        <w:rPr>
          <w:rStyle w:val="FootnoteReference"/>
        </w:rPr>
        <w:footnoteRef/>
      </w:r>
      <w:r>
        <w:t xml:space="preserve"> </w:t>
      </w:r>
      <w:r w:rsidRPr="000106DE">
        <w:rPr>
          <w:rFonts w:ascii="Arial" w:hAnsi="Arial" w:cs="Arial"/>
          <w:lang w:val="en-NZ"/>
        </w:rPr>
        <w:t>The Settlement Agreement also includes separate agreements between the Crown and Canadian Churches and Church-based entities</w:t>
      </w:r>
      <w:r>
        <w:rPr>
          <w:rFonts w:ascii="Arial" w:hAnsi="Arial" w:cs="Arial"/>
          <w:lang w:val="en-NZ"/>
        </w:rPr>
        <w:t xml:space="preserve">. </w:t>
      </w:r>
      <w:r w:rsidRPr="00D52570">
        <w:rPr>
          <w:rFonts w:ascii="Arial" w:hAnsi="Arial" w:cs="Arial"/>
          <w:lang w:val="en-NZ"/>
        </w:rPr>
        <w:t>These ‘side-agreements’ set out as to the size of the contribution of the Churches and Church-based entities to the</w:t>
      </w:r>
      <w:r>
        <w:rPr>
          <w:rFonts w:ascii="Arial" w:hAnsi="Arial" w:cs="Arial"/>
          <w:lang w:val="en-NZ"/>
        </w:rPr>
        <w:t xml:space="preserve"> compensation</w:t>
      </w:r>
      <w:r w:rsidRPr="00D52570">
        <w:rPr>
          <w:rFonts w:ascii="Arial" w:hAnsi="Arial" w:cs="Arial"/>
          <w:lang w:val="en-NZ"/>
        </w:rPr>
        <w:t xml:space="preserve"> </w:t>
      </w:r>
      <w:r>
        <w:rPr>
          <w:rFonts w:ascii="Arial" w:hAnsi="Arial" w:cs="Arial"/>
          <w:lang w:val="en-NZ"/>
        </w:rPr>
        <w:t>package.</w:t>
      </w:r>
    </w:p>
  </w:footnote>
  <w:footnote w:id="17">
    <w:p w14:paraId="345AD0A2" w14:textId="77777777" w:rsidR="00C758F1" w:rsidRPr="00D52570" w:rsidRDefault="00C758F1" w:rsidP="005C409F">
      <w:pPr>
        <w:spacing w:after="0" w:line="240" w:lineRule="auto"/>
        <w:rPr>
          <w:rFonts w:ascii="Arial" w:eastAsia="Times New Roman" w:hAnsi="Arial" w:cs="Arial"/>
          <w:color w:val="000000"/>
          <w:sz w:val="20"/>
          <w:szCs w:val="20"/>
          <w:lang w:eastAsia="en-NZ"/>
        </w:rPr>
      </w:pPr>
      <w:r w:rsidRPr="00D52570">
        <w:rPr>
          <w:rStyle w:val="FootnoteReference"/>
          <w:rFonts w:ascii="Arial" w:hAnsi="Arial" w:cs="Arial"/>
          <w:sz w:val="20"/>
          <w:szCs w:val="20"/>
        </w:rPr>
        <w:footnoteRef/>
      </w:r>
      <w:r w:rsidRPr="00D52570">
        <w:rPr>
          <w:rFonts w:ascii="Arial" w:hAnsi="Arial" w:cs="Arial"/>
          <w:sz w:val="20"/>
          <w:szCs w:val="20"/>
        </w:rPr>
        <w:t xml:space="preserve"> Other aspects of the redress package include</w:t>
      </w:r>
      <w:r w:rsidRPr="00D52570">
        <w:rPr>
          <w:rFonts w:ascii="Arial" w:eastAsia="Times New Roman" w:hAnsi="Arial" w:cs="Arial"/>
          <w:color w:val="000000"/>
          <w:sz w:val="20"/>
          <w:szCs w:val="20"/>
          <w:lang w:eastAsia="en-NZ"/>
        </w:rPr>
        <w:t xml:space="preserve"> funding healing ($125 million to establish an Aboriginal Healing Foundation); truth and reconciliation processes ($60 million for the establishment of a Truth and Reconciliation Commission); commemoration programmes ($20 million); and ‘common experience’ payments. </w:t>
      </w:r>
    </w:p>
    <w:p w14:paraId="1B029C8A" w14:textId="77777777" w:rsidR="00C758F1" w:rsidRPr="008208BD" w:rsidRDefault="00C758F1" w:rsidP="005C409F">
      <w:pPr>
        <w:pStyle w:val="FootnoteText"/>
        <w:rPr>
          <w:lang w:val="en-NZ"/>
        </w:rPr>
      </w:pPr>
    </w:p>
  </w:footnote>
  <w:footnote w:id="18">
    <w:p w14:paraId="7AA011BE" w14:textId="0D4F1ED8" w:rsidR="00C758F1" w:rsidRPr="008C1454" w:rsidRDefault="00C758F1">
      <w:pPr>
        <w:pStyle w:val="FootnoteText"/>
        <w:rPr>
          <w:lang w:val="en-NZ"/>
        </w:rPr>
      </w:pPr>
      <w:r>
        <w:rPr>
          <w:rStyle w:val="FootnoteReference"/>
        </w:rPr>
        <w:footnoteRef/>
      </w:r>
      <w:r>
        <w:t xml:space="preserve"> </w:t>
      </w:r>
      <w:r>
        <w:rPr>
          <w:rFonts w:ascii="Arial" w:hAnsi="Arial" w:cs="Arial"/>
        </w:rPr>
        <w:t xml:space="preserve">The decision to remove limitation periods </w:t>
      </w:r>
      <w:r w:rsidRPr="008C1454">
        <w:rPr>
          <w:rFonts w:ascii="Arial" w:hAnsi="Arial" w:cs="Arial"/>
        </w:rPr>
        <w:t xml:space="preserve">also </w:t>
      </w:r>
      <w:r w:rsidRPr="008C1454">
        <w:rPr>
          <w:rFonts w:ascii="Arial" w:hAnsi="Arial" w:cs="Arial"/>
          <w:color w:val="000000" w:themeColor="text1"/>
        </w:rPr>
        <w:t>extends to psychological harm caused by the physical or sexual abuse</w:t>
      </w:r>
      <w:r>
        <w:rPr>
          <w:rFonts w:ascii="Arial" w:hAnsi="Arial" w:cs="Arial"/>
          <w:color w:val="000000" w:themeColor="text1"/>
        </w:rPr>
        <w:t>.</w:t>
      </w:r>
    </w:p>
  </w:footnote>
  <w:footnote w:id="19">
    <w:p w14:paraId="1D4571DC" w14:textId="524789E2" w:rsidR="00C758F1" w:rsidRPr="00716229" w:rsidRDefault="00C758F1">
      <w:pPr>
        <w:pStyle w:val="FootnoteText"/>
        <w:rPr>
          <w:rFonts w:ascii="Arial" w:hAnsi="Arial" w:cs="Arial"/>
          <w:color w:val="000000" w:themeColor="text1"/>
          <w:lang w:val="en-NZ"/>
        </w:rPr>
      </w:pPr>
      <w:r>
        <w:rPr>
          <w:rStyle w:val="FootnoteReference"/>
        </w:rPr>
        <w:footnoteRef/>
      </w:r>
      <w:r>
        <w:t xml:space="preserve"> </w:t>
      </w:r>
      <w:r w:rsidRPr="00716229">
        <w:rPr>
          <w:rFonts w:ascii="Arial" w:hAnsi="Arial" w:cs="Arial"/>
          <w:color w:val="000000" w:themeColor="text1"/>
        </w:rPr>
        <w:t>Ontario Bill 132 Sexual Violence and Harassment Action Plan Act (Supporting Survivors and Challenging Sexual Violence and Harassment) 2015</w:t>
      </w:r>
      <w:r>
        <w:rPr>
          <w:rFonts w:ascii="Arial" w:hAnsi="Arial" w:cs="Arial"/>
          <w:color w:val="000000" w:themeColor="text1"/>
        </w:rPr>
        <w:t>.</w:t>
      </w:r>
    </w:p>
  </w:footnote>
  <w:footnote w:id="20">
    <w:p w14:paraId="7DB5EE0D" w14:textId="77777777" w:rsidR="00C758F1" w:rsidRPr="00DE3B17" w:rsidRDefault="00C758F1" w:rsidP="009024C3">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Independent Inquiry into Child Sexual Abuse </w:t>
      </w:r>
      <w:r w:rsidRPr="00DE3B17">
        <w:rPr>
          <w:rFonts w:ascii="Arial" w:hAnsi="Arial" w:cs="Arial"/>
          <w:i/>
        </w:rPr>
        <w:t>Accountability and Reparations: Investigation Report</w:t>
      </w:r>
      <w:r w:rsidRPr="00DE3B17">
        <w:rPr>
          <w:rFonts w:ascii="Arial" w:hAnsi="Arial" w:cs="Arial"/>
        </w:rPr>
        <w:t xml:space="preserve"> September 2019</w:t>
      </w:r>
    </w:p>
  </w:footnote>
  <w:footnote w:id="21">
    <w:p w14:paraId="477A5704" w14:textId="77777777" w:rsidR="00C758F1" w:rsidRPr="00DE3B17" w:rsidRDefault="00C758F1" w:rsidP="009024C3">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w:t>
      </w:r>
      <w:r w:rsidRPr="00DE3B17">
        <w:rPr>
          <w:rFonts w:ascii="Arial" w:hAnsi="Arial" w:cs="Arial"/>
          <w:lang w:val="en-NZ"/>
        </w:rPr>
        <w:t xml:space="preserve">Recommendation 3, </w:t>
      </w:r>
      <w:r w:rsidRPr="00DE3B17">
        <w:rPr>
          <w:rFonts w:ascii="Arial" w:hAnsi="Arial" w:cs="Arial"/>
        </w:rPr>
        <w:t xml:space="preserve">Independent Inquiry into Child Sexual Abuse </w:t>
      </w:r>
      <w:r w:rsidRPr="00DE3B17">
        <w:rPr>
          <w:rFonts w:ascii="Arial" w:hAnsi="Arial" w:cs="Arial"/>
          <w:i/>
        </w:rPr>
        <w:t>Accountability and Reparations: Investigation Report</w:t>
      </w:r>
      <w:r w:rsidRPr="00DE3B17">
        <w:rPr>
          <w:rFonts w:ascii="Arial" w:hAnsi="Arial" w:cs="Arial"/>
        </w:rPr>
        <w:t xml:space="preserve"> September 2019</w:t>
      </w:r>
    </w:p>
  </w:footnote>
  <w:footnote w:id="22">
    <w:p w14:paraId="3B691CAE" w14:textId="77777777" w:rsidR="00C758F1" w:rsidRPr="00DE3B17" w:rsidRDefault="00C758F1" w:rsidP="009024C3">
      <w:pPr>
        <w:pStyle w:val="FootnoteText"/>
        <w:rPr>
          <w:rFonts w:ascii="Arial" w:hAnsi="Arial" w:cs="Arial"/>
        </w:rPr>
      </w:pPr>
      <w:r w:rsidRPr="00DE3B17">
        <w:rPr>
          <w:rStyle w:val="FootnoteReference"/>
          <w:rFonts w:ascii="Arial" w:hAnsi="Arial" w:cs="Arial"/>
        </w:rPr>
        <w:footnoteRef/>
      </w:r>
      <w:r w:rsidRPr="00DE3B17">
        <w:rPr>
          <w:rFonts w:ascii="Arial" w:hAnsi="Arial" w:cs="Arial"/>
        </w:rPr>
        <w:t xml:space="preserve"> For a comparative analysis of the UK and Australian approaches, see Paula Giliker “Analysing Institutional Liability for Child Sexual Abuse in England and Wales and Australia: Vicarious Liability, Non-Delegable Duties and Statutory Intervention” in </w:t>
      </w:r>
      <w:r w:rsidRPr="00DE3B17">
        <w:rPr>
          <w:rFonts w:ascii="Arial" w:hAnsi="Arial" w:cs="Arial"/>
          <w:i/>
        </w:rPr>
        <w:t>Cambridge Law Journal 77(3)</w:t>
      </w:r>
      <w:r w:rsidRPr="00DE3B17">
        <w:rPr>
          <w:rFonts w:ascii="Arial" w:hAnsi="Arial" w:cs="Arial"/>
        </w:rPr>
        <w:t>, November 2018, pp 506 - 535</w:t>
      </w:r>
    </w:p>
  </w:footnote>
  <w:footnote w:id="23">
    <w:p w14:paraId="4A7E0C16" w14:textId="77777777" w:rsidR="00C758F1" w:rsidRPr="00DE3B17" w:rsidRDefault="00C758F1" w:rsidP="009024C3">
      <w:pPr>
        <w:pStyle w:val="FootnoteText"/>
        <w:rPr>
          <w:rFonts w:ascii="Arial" w:hAnsi="Arial" w:cs="Arial"/>
        </w:rPr>
      </w:pPr>
      <w:r w:rsidRPr="00DE3B17">
        <w:rPr>
          <w:rStyle w:val="FootnoteReference"/>
          <w:rFonts w:ascii="Arial" w:hAnsi="Arial" w:cs="Arial"/>
        </w:rPr>
        <w:footnoteRef/>
      </w:r>
      <w:r w:rsidRPr="00DE3B17">
        <w:rPr>
          <w:rFonts w:ascii="Arial" w:hAnsi="Arial" w:cs="Arial"/>
        </w:rPr>
        <w:t xml:space="preserve"> </w:t>
      </w:r>
      <w:r w:rsidRPr="00DE3B17">
        <w:rPr>
          <w:rFonts w:ascii="Arial" w:hAnsi="Arial" w:cs="Arial"/>
          <w:i/>
        </w:rPr>
        <w:t xml:space="preserve">Cox v Ministry of Justice </w:t>
      </w:r>
      <w:r w:rsidRPr="00DE3B17">
        <w:rPr>
          <w:rFonts w:ascii="Arial" w:hAnsi="Arial" w:cs="Arial"/>
        </w:rPr>
        <w:t>[2016] UKSC 10, paragraph 24</w:t>
      </w:r>
    </w:p>
  </w:footnote>
  <w:footnote w:id="24">
    <w:p w14:paraId="60A28FC4" w14:textId="77777777" w:rsidR="00C758F1" w:rsidRPr="00DE3B17" w:rsidRDefault="00C758F1" w:rsidP="009024C3">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Recommendation 2, Independent Inquiry into Child Sexual Abuse </w:t>
      </w:r>
      <w:r w:rsidRPr="00DE3B17">
        <w:rPr>
          <w:rFonts w:ascii="Arial" w:hAnsi="Arial" w:cs="Arial"/>
          <w:i/>
        </w:rPr>
        <w:t>Accountability and Reparations: Investigation Report</w:t>
      </w:r>
      <w:r w:rsidRPr="00DE3B17">
        <w:rPr>
          <w:rFonts w:ascii="Arial" w:hAnsi="Arial" w:cs="Arial"/>
        </w:rPr>
        <w:t xml:space="preserve"> September 2019</w:t>
      </w:r>
    </w:p>
  </w:footnote>
  <w:footnote w:id="25">
    <w:p w14:paraId="26162E5D" w14:textId="4EEFD3DA" w:rsidR="00C758F1" w:rsidRPr="00B92CCE" w:rsidRDefault="00C758F1">
      <w:pPr>
        <w:pStyle w:val="FootnoteText"/>
        <w:rPr>
          <w:lang w:val="en-NZ"/>
        </w:rPr>
      </w:pPr>
      <w:r>
        <w:rPr>
          <w:rStyle w:val="FootnoteReference"/>
        </w:rPr>
        <w:footnoteRef/>
      </w:r>
      <w:r>
        <w:t xml:space="preserve"> </w:t>
      </w:r>
      <w:r w:rsidRPr="005D5F0E">
        <w:rPr>
          <w:rFonts w:ascii="Arial" w:hAnsi="Arial" w:cs="Arial"/>
          <w:lang w:val="en-GB"/>
        </w:rPr>
        <w:t xml:space="preserve">The catholic church </w:t>
      </w:r>
      <w:r>
        <w:rPr>
          <w:rFonts w:ascii="Arial" w:hAnsi="Arial" w:cs="Arial"/>
          <w:lang w:val="en-GB"/>
        </w:rPr>
        <w:t xml:space="preserve">in Ireland </w:t>
      </w:r>
      <w:r w:rsidRPr="005D5F0E">
        <w:rPr>
          <w:rFonts w:ascii="Arial" w:hAnsi="Arial" w:cs="Arial"/>
          <w:lang w:val="en-GB"/>
        </w:rPr>
        <w:t xml:space="preserve">agreed </w:t>
      </w:r>
      <w:r>
        <w:rPr>
          <w:rFonts w:ascii="Arial" w:hAnsi="Arial" w:cs="Arial"/>
          <w:lang w:val="en-GB"/>
        </w:rPr>
        <w:t xml:space="preserve">in 2002 </w:t>
      </w:r>
      <w:r w:rsidRPr="005D5F0E">
        <w:rPr>
          <w:rFonts w:ascii="Arial" w:hAnsi="Arial" w:cs="Arial"/>
          <w:lang w:val="en-GB"/>
        </w:rPr>
        <w:t>to pay €128 million which went into a special State fund for victims of abuse. In return, the State arranged that people seeking compensation from the Residential Institutions Redress Board were barred from suing the Church directly</w:t>
      </w:r>
      <w:r>
        <w:rPr>
          <w:rFonts w:ascii="Helvetica" w:hAnsi="Helvetica" w:cs="Helvetica"/>
          <w:color w:val="666666"/>
          <w:sz w:val="26"/>
          <w:szCs w:val="26"/>
          <w:lang w:val="en-GB"/>
        </w:rPr>
        <w:t>.</w:t>
      </w:r>
    </w:p>
  </w:footnote>
  <w:footnote w:id="26">
    <w:p w14:paraId="5E343AF4" w14:textId="1E959D58" w:rsidR="00C758F1" w:rsidRPr="00384274" w:rsidRDefault="00C758F1" w:rsidP="00FF5F27">
      <w:pPr>
        <w:pStyle w:val="FootnoteText"/>
        <w:rPr>
          <w:lang w:val="en-NZ"/>
        </w:rPr>
      </w:pPr>
      <w:r>
        <w:rPr>
          <w:rStyle w:val="FootnoteReference"/>
        </w:rPr>
        <w:footnoteRef/>
      </w:r>
      <w:r>
        <w:t xml:space="preserve"> </w:t>
      </w:r>
      <w:r w:rsidRPr="00FF5F27">
        <w:rPr>
          <w:rFonts w:ascii="Arial" w:hAnsi="Arial" w:cs="Arial"/>
        </w:rPr>
        <w:t>The head of compensation for</w:t>
      </w:r>
      <w:r>
        <w:t xml:space="preserve"> </w:t>
      </w:r>
      <w:r w:rsidRPr="00384274">
        <w:rPr>
          <w:rFonts w:ascii="Arial" w:hAnsi="Arial" w:cs="Arial"/>
        </w:rPr>
        <w:t>“loss of opportunity”</w:t>
      </w:r>
      <w:r>
        <w:t xml:space="preserve"> is to </w:t>
      </w:r>
      <w:r w:rsidRPr="00384274">
        <w:rPr>
          <w:rFonts w:ascii="Arial" w:hAnsi="Arial" w:cs="Arial"/>
        </w:rPr>
        <w:t xml:space="preserve">recognise lack of development and access to education, the impacts of abuse on development of family relations, including intimate relations, and relationships with </w:t>
      </w:r>
      <w:r w:rsidR="00C06BA1" w:rsidRPr="00384274">
        <w:rPr>
          <w:rFonts w:ascii="Arial" w:hAnsi="Arial" w:cs="Arial"/>
        </w:rPr>
        <w:t>dependents</w:t>
      </w:r>
      <w:r>
        <w:rPr>
          <w:rFonts w:ascii="Arial" w:hAnsi="Arial" w:cs="Arial"/>
        </w:rPr>
        <w:t>.</w:t>
      </w:r>
    </w:p>
  </w:footnote>
  <w:footnote w:id="27">
    <w:p w14:paraId="0BB67C64" w14:textId="3BD2C193"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https://www.thejournal.ie/redress-board-annual-report-4350936-Nov2018/</w:t>
      </w:r>
    </w:p>
  </w:footnote>
  <w:footnote w:id="28">
    <w:p w14:paraId="51541444" w14:textId="07B6AF8A" w:rsidR="00C758F1" w:rsidRPr="00DE3B17" w:rsidRDefault="00C758F1">
      <w:pPr>
        <w:pStyle w:val="FootnoteText"/>
        <w:rPr>
          <w:rFonts w:ascii="Arial" w:hAnsi="Arial" w:cs="Arial"/>
          <w:lang w:val="en-NZ"/>
        </w:rPr>
      </w:pPr>
      <w:r w:rsidRPr="00DE3B17">
        <w:rPr>
          <w:rStyle w:val="FootnoteReference"/>
          <w:rFonts w:ascii="Arial" w:hAnsi="Arial" w:cs="Arial"/>
        </w:rPr>
        <w:footnoteRef/>
      </w:r>
      <w:r w:rsidRPr="00DE3B17">
        <w:rPr>
          <w:rFonts w:ascii="Arial" w:hAnsi="Arial" w:cs="Arial"/>
        </w:rPr>
        <w:t xml:space="preserve"> http://caranua.ie/what-is-the-fund/what-we-can-do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A5F"/>
    <w:multiLevelType w:val="hybridMultilevel"/>
    <w:tmpl w:val="08027C5C"/>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342D22"/>
    <w:multiLevelType w:val="hybridMultilevel"/>
    <w:tmpl w:val="3702CA52"/>
    <w:lvl w:ilvl="0" w:tplc="1409000B">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4E030A5"/>
    <w:multiLevelType w:val="hybridMultilevel"/>
    <w:tmpl w:val="E7EA8C1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 w15:restartNumberingAfterBreak="0">
    <w:nsid w:val="061454A1"/>
    <w:multiLevelType w:val="hybridMultilevel"/>
    <w:tmpl w:val="F9387B12"/>
    <w:lvl w:ilvl="0" w:tplc="14090017">
      <w:start w:val="1"/>
      <w:numFmt w:val="lowerLetter"/>
      <w:lvlText w:val="%1)"/>
      <w:lvlJc w:val="left"/>
      <w:pPr>
        <w:ind w:left="1425" w:hanging="360"/>
      </w:pPr>
    </w:lvl>
    <w:lvl w:ilvl="1" w:tplc="14090019" w:tentative="1">
      <w:start w:val="1"/>
      <w:numFmt w:val="lowerLetter"/>
      <w:lvlText w:val="%2."/>
      <w:lvlJc w:val="left"/>
      <w:pPr>
        <w:ind w:left="2145" w:hanging="360"/>
      </w:pPr>
    </w:lvl>
    <w:lvl w:ilvl="2" w:tplc="1409001B" w:tentative="1">
      <w:start w:val="1"/>
      <w:numFmt w:val="lowerRoman"/>
      <w:lvlText w:val="%3."/>
      <w:lvlJc w:val="right"/>
      <w:pPr>
        <w:ind w:left="2865" w:hanging="180"/>
      </w:pPr>
    </w:lvl>
    <w:lvl w:ilvl="3" w:tplc="1409000F" w:tentative="1">
      <w:start w:val="1"/>
      <w:numFmt w:val="decimal"/>
      <w:lvlText w:val="%4."/>
      <w:lvlJc w:val="left"/>
      <w:pPr>
        <w:ind w:left="3585" w:hanging="360"/>
      </w:pPr>
    </w:lvl>
    <w:lvl w:ilvl="4" w:tplc="14090019" w:tentative="1">
      <w:start w:val="1"/>
      <w:numFmt w:val="lowerLetter"/>
      <w:lvlText w:val="%5."/>
      <w:lvlJc w:val="left"/>
      <w:pPr>
        <w:ind w:left="4305" w:hanging="360"/>
      </w:pPr>
    </w:lvl>
    <w:lvl w:ilvl="5" w:tplc="1409001B" w:tentative="1">
      <w:start w:val="1"/>
      <w:numFmt w:val="lowerRoman"/>
      <w:lvlText w:val="%6."/>
      <w:lvlJc w:val="right"/>
      <w:pPr>
        <w:ind w:left="5025" w:hanging="180"/>
      </w:pPr>
    </w:lvl>
    <w:lvl w:ilvl="6" w:tplc="1409000F" w:tentative="1">
      <w:start w:val="1"/>
      <w:numFmt w:val="decimal"/>
      <w:lvlText w:val="%7."/>
      <w:lvlJc w:val="left"/>
      <w:pPr>
        <w:ind w:left="5745" w:hanging="360"/>
      </w:pPr>
    </w:lvl>
    <w:lvl w:ilvl="7" w:tplc="14090019" w:tentative="1">
      <w:start w:val="1"/>
      <w:numFmt w:val="lowerLetter"/>
      <w:lvlText w:val="%8."/>
      <w:lvlJc w:val="left"/>
      <w:pPr>
        <w:ind w:left="6465" w:hanging="360"/>
      </w:pPr>
    </w:lvl>
    <w:lvl w:ilvl="8" w:tplc="1409001B" w:tentative="1">
      <w:start w:val="1"/>
      <w:numFmt w:val="lowerRoman"/>
      <w:lvlText w:val="%9."/>
      <w:lvlJc w:val="right"/>
      <w:pPr>
        <w:ind w:left="7185" w:hanging="180"/>
      </w:pPr>
    </w:lvl>
  </w:abstractNum>
  <w:abstractNum w:abstractNumId="4" w15:restartNumberingAfterBreak="0">
    <w:nsid w:val="072C45E8"/>
    <w:multiLevelType w:val="hybridMultilevel"/>
    <w:tmpl w:val="03DA10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7B44392"/>
    <w:multiLevelType w:val="hybridMultilevel"/>
    <w:tmpl w:val="D33E8702"/>
    <w:lvl w:ilvl="0" w:tplc="1409000B">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08026565"/>
    <w:multiLevelType w:val="multilevel"/>
    <w:tmpl w:val="4A562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264F7"/>
    <w:multiLevelType w:val="hybridMultilevel"/>
    <w:tmpl w:val="9710A48C"/>
    <w:lvl w:ilvl="0" w:tplc="36969CB2">
      <w:start w:val="48"/>
      <w:numFmt w:val="decimal"/>
      <w:lvlText w:val="%1."/>
      <w:lvlJc w:val="left"/>
      <w:pPr>
        <w:ind w:left="720" w:hanging="360"/>
      </w:pPr>
      <w:rPr>
        <w:rFonts w:ascii="Arial" w:hAnsi="Arial" w:cs="Arial"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FA67F84"/>
    <w:multiLevelType w:val="multilevel"/>
    <w:tmpl w:val="C1CEAA9A"/>
    <w:lvl w:ilvl="0">
      <w:start w:val="21"/>
      <w:numFmt w:val="decimal"/>
      <w:lvlText w:val="%1."/>
      <w:lvlJc w:val="left"/>
      <w:pPr>
        <w:ind w:left="360" w:hanging="360"/>
      </w:pPr>
      <w:rPr>
        <w:rFonts w:hint="default"/>
        <w:b w:val="0"/>
      </w:rPr>
    </w:lvl>
    <w:lvl w:ilvl="1">
      <w:start w:val="3"/>
      <w:numFmt w:val="decimal"/>
      <w:lvlText w:val="%1.%2."/>
      <w:lvlJc w:val="left"/>
      <w:pPr>
        <w:ind w:left="792" w:hanging="432"/>
      </w:pPr>
      <w:rPr>
        <w:rFonts w:hint="default"/>
      </w:rPr>
    </w:lvl>
    <w:lvl w:ilvl="2">
      <w:start w:val="22"/>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7E0A"/>
    <w:multiLevelType w:val="hybridMultilevel"/>
    <w:tmpl w:val="98986AE6"/>
    <w:lvl w:ilvl="0" w:tplc="14090001">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0" w15:restartNumberingAfterBreak="0">
    <w:nsid w:val="19A73F6D"/>
    <w:multiLevelType w:val="hybridMultilevel"/>
    <w:tmpl w:val="C1D8254E"/>
    <w:lvl w:ilvl="0" w:tplc="79DC6B6E">
      <w:start w:val="1"/>
      <w:numFmt w:val="lowerLetter"/>
      <w:lvlText w:val="(%1)"/>
      <w:lvlJc w:val="left"/>
      <w:pPr>
        <w:ind w:left="1353" w:hanging="360"/>
      </w:pPr>
      <w:rPr>
        <w:rFonts w:ascii="Arial" w:eastAsia="Times New Roman" w:hAnsi="Arial" w:cs="Arial"/>
      </w:rPr>
    </w:lvl>
    <w:lvl w:ilvl="1" w:tplc="14090019" w:tentative="1">
      <w:start w:val="1"/>
      <w:numFmt w:val="lowerLetter"/>
      <w:lvlText w:val="%2."/>
      <w:lvlJc w:val="left"/>
      <w:pPr>
        <w:ind w:left="2073" w:hanging="360"/>
      </w:pPr>
    </w:lvl>
    <w:lvl w:ilvl="2" w:tplc="1409001B" w:tentative="1">
      <w:start w:val="1"/>
      <w:numFmt w:val="lowerRoman"/>
      <w:lvlText w:val="%3."/>
      <w:lvlJc w:val="right"/>
      <w:pPr>
        <w:ind w:left="2793" w:hanging="180"/>
      </w:pPr>
    </w:lvl>
    <w:lvl w:ilvl="3" w:tplc="1409000F" w:tentative="1">
      <w:start w:val="1"/>
      <w:numFmt w:val="decimal"/>
      <w:lvlText w:val="%4."/>
      <w:lvlJc w:val="left"/>
      <w:pPr>
        <w:ind w:left="3513" w:hanging="360"/>
      </w:pPr>
    </w:lvl>
    <w:lvl w:ilvl="4" w:tplc="14090019" w:tentative="1">
      <w:start w:val="1"/>
      <w:numFmt w:val="lowerLetter"/>
      <w:lvlText w:val="%5."/>
      <w:lvlJc w:val="left"/>
      <w:pPr>
        <w:ind w:left="4233" w:hanging="360"/>
      </w:pPr>
    </w:lvl>
    <w:lvl w:ilvl="5" w:tplc="1409001B" w:tentative="1">
      <w:start w:val="1"/>
      <w:numFmt w:val="lowerRoman"/>
      <w:lvlText w:val="%6."/>
      <w:lvlJc w:val="right"/>
      <w:pPr>
        <w:ind w:left="4953" w:hanging="180"/>
      </w:pPr>
    </w:lvl>
    <w:lvl w:ilvl="6" w:tplc="1409000F" w:tentative="1">
      <w:start w:val="1"/>
      <w:numFmt w:val="decimal"/>
      <w:lvlText w:val="%7."/>
      <w:lvlJc w:val="left"/>
      <w:pPr>
        <w:ind w:left="5673" w:hanging="360"/>
      </w:pPr>
    </w:lvl>
    <w:lvl w:ilvl="7" w:tplc="14090019" w:tentative="1">
      <w:start w:val="1"/>
      <w:numFmt w:val="lowerLetter"/>
      <w:lvlText w:val="%8."/>
      <w:lvlJc w:val="left"/>
      <w:pPr>
        <w:ind w:left="6393" w:hanging="360"/>
      </w:pPr>
    </w:lvl>
    <w:lvl w:ilvl="8" w:tplc="1409001B" w:tentative="1">
      <w:start w:val="1"/>
      <w:numFmt w:val="lowerRoman"/>
      <w:lvlText w:val="%9."/>
      <w:lvlJc w:val="right"/>
      <w:pPr>
        <w:ind w:left="7113" w:hanging="180"/>
      </w:pPr>
    </w:lvl>
  </w:abstractNum>
  <w:abstractNum w:abstractNumId="11" w15:restartNumberingAfterBreak="0">
    <w:nsid w:val="1AD3593E"/>
    <w:multiLevelType w:val="hybridMultilevel"/>
    <w:tmpl w:val="8582671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F922DE"/>
    <w:multiLevelType w:val="multilevel"/>
    <w:tmpl w:val="E6A268EA"/>
    <w:styleLink w:val="Style1"/>
    <w:lvl w:ilvl="0">
      <w:start w:val="28"/>
      <w:numFmt w:val="decimal"/>
      <w:lvlText w:val="%1."/>
      <w:lvlJc w:val="left"/>
      <w:pPr>
        <w:ind w:left="360" w:hanging="360"/>
      </w:pPr>
      <w:rPr>
        <w:rFonts w:hint="default"/>
        <w:b w:val="0"/>
      </w:rPr>
    </w:lvl>
    <w:lvl w:ilvl="1">
      <w:start w:val="28"/>
      <w:numFmt w:val="decimal"/>
      <w:lvlText w:val="%2."/>
      <w:lvlJc w:val="left"/>
      <w:pPr>
        <w:ind w:left="792" w:hanging="432"/>
      </w:pPr>
      <w:rPr>
        <w:rFonts w:hint="default"/>
      </w:rPr>
    </w:lvl>
    <w:lvl w:ilvl="2">
      <w:start w:val="27"/>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052FB3"/>
    <w:multiLevelType w:val="multilevel"/>
    <w:tmpl w:val="70083DA2"/>
    <w:lvl w:ilvl="0">
      <w:start w:val="29"/>
      <w:numFmt w:val="decimal"/>
      <w:lvlText w:val="%1"/>
      <w:lvlJc w:val="left"/>
      <w:pPr>
        <w:ind w:left="460" w:hanging="460"/>
      </w:pPr>
      <w:rPr>
        <w:rFonts w:hint="default"/>
        <w:b w:val="0"/>
      </w:rPr>
    </w:lvl>
    <w:lvl w:ilvl="1">
      <w:start w:val="1"/>
      <w:numFmt w:val="decimal"/>
      <w:lvlText w:val="%1.%2"/>
      <w:lvlJc w:val="left"/>
      <w:pPr>
        <w:ind w:left="820" w:hanging="4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664274"/>
    <w:multiLevelType w:val="hybridMultilevel"/>
    <w:tmpl w:val="357087CA"/>
    <w:lvl w:ilvl="0" w:tplc="1EB09A3A">
      <w:start w:val="44"/>
      <w:numFmt w:val="decimal"/>
      <w:lvlText w:val="%1."/>
      <w:lvlJc w:val="left"/>
      <w:pPr>
        <w:ind w:left="1425"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484125A"/>
    <w:multiLevelType w:val="hybridMultilevel"/>
    <w:tmpl w:val="26725170"/>
    <w:lvl w:ilvl="0" w:tplc="1E3E8858">
      <w:start w:val="1"/>
      <w:numFmt w:val="decimal"/>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6" w15:restartNumberingAfterBreak="0">
    <w:nsid w:val="24F45CD0"/>
    <w:multiLevelType w:val="hybridMultilevel"/>
    <w:tmpl w:val="A2B0A498"/>
    <w:lvl w:ilvl="0" w:tplc="1409000B">
      <w:start w:val="1"/>
      <w:numFmt w:val="bullet"/>
      <w:lvlText w:val=""/>
      <w:lvlJc w:val="left"/>
      <w:pPr>
        <w:ind w:left="1350" w:hanging="360"/>
      </w:pPr>
      <w:rPr>
        <w:rFonts w:ascii="Wingdings" w:hAnsi="Wingdings" w:hint="default"/>
      </w:rPr>
    </w:lvl>
    <w:lvl w:ilvl="1" w:tplc="14090003" w:tentative="1">
      <w:start w:val="1"/>
      <w:numFmt w:val="bullet"/>
      <w:lvlText w:val="o"/>
      <w:lvlJc w:val="left"/>
      <w:pPr>
        <w:ind w:left="2070" w:hanging="360"/>
      </w:pPr>
      <w:rPr>
        <w:rFonts w:ascii="Courier New" w:hAnsi="Courier New" w:cs="Courier New"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17" w15:restartNumberingAfterBreak="0">
    <w:nsid w:val="278B4B97"/>
    <w:multiLevelType w:val="multilevel"/>
    <w:tmpl w:val="1409001F"/>
    <w:styleLink w:val="Style2"/>
    <w:lvl w:ilvl="0">
      <w:start w:val="28"/>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AB4F5C"/>
    <w:multiLevelType w:val="multilevel"/>
    <w:tmpl w:val="6BECCAA0"/>
    <w:lvl w:ilvl="0">
      <w:start w:val="32"/>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29414BA4"/>
    <w:multiLevelType w:val="hybridMultilevel"/>
    <w:tmpl w:val="2D36E2C8"/>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0D13A0"/>
    <w:multiLevelType w:val="hybridMultilevel"/>
    <w:tmpl w:val="126E6DC4"/>
    <w:lvl w:ilvl="0" w:tplc="1409000B">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1" w15:restartNumberingAfterBreak="0">
    <w:nsid w:val="2D473A76"/>
    <w:multiLevelType w:val="multilevel"/>
    <w:tmpl w:val="A8CC1FE4"/>
    <w:lvl w:ilvl="0">
      <w:start w:val="25"/>
      <w:numFmt w:val="decimal"/>
      <w:lvlText w:val="%1."/>
      <w:lvlJc w:val="left"/>
      <w:pPr>
        <w:ind w:left="360" w:hanging="360"/>
      </w:pPr>
      <w:rPr>
        <w:rFonts w:hint="default"/>
        <w:b w:val="0"/>
      </w:rPr>
    </w:lvl>
    <w:lvl w:ilvl="1">
      <w:start w:val="3"/>
      <w:numFmt w:val="decimal"/>
      <w:lvlText w:val="%1.%2."/>
      <w:lvlJc w:val="left"/>
      <w:pPr>
        <w:ind w:left="792" w:hanging="432"/>
      </w:pPr>
      <w:rPr>
        <w:rFonts w:hint="default"/>
      </w:rPr>
    </w:lvl>
    <w:lvl w:ilvl="2">
      <w:start w:val="22"/>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05D2054"/>
    <w:multiLevelType w:val="hybridMultilevel"/>
    <w:tmpl w:val="CB88DAE8"/>
    <w:lvl w:ilvl="0" w:tplc="FDFA12CC">
      <w:start w:val="7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2424A41"/>
    <w:multiLevelType w:val="multilevel"/>
    <w:tmpl w:val="308CDD32"/>
    <w:lvl w:ilvl="0">
      <w:start w:val="26"/>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27"/>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E53DC5"/>
    <w:multiLevelType w:val="hybridMultilevel"/>
    <w:tmpl w:val="377A9036"/>
    <w:lvl w:ilvl="0" w:tplc="1409000B">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5" w15:restartNumberingAfterBreak="0">
    <w:nsid w:val="392F04BA"/>
    <w:multiLevelType w:val="multilevel"/>
    <w:tmpl w:val="1409001F"/>
    <w:numStyleLink w:val="Style2"/>
  </w:abstractNum>
  <w:abstractNum w:abstractNumId="26" w15:restartNumberingAfterBreak="0">
    <w:nsid w:val="3C2A6399"/>
    <w:multiLevelType w:val="hybridMultilevel"/>
    <w:tmpl w:val="5E321CE4"/>
    <w:lvl w:ilvl="0" w:tplc="1409000B">
      <w:start w:val="1"/>
      <w:numFmt w:val="bullet"/>
      <w:lvlText w:val=""/>
      <w:lvlJc w:val="left"/>
      <w:pPr>
        <w:ind w:left="770" w:hanging="360"/>
      </w:pPr>
      <w:rPr>
        <w:rFonts w:ascii="Wingdings" w:hAnsi="Wingdings"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7" w15:restartNumberingAfterBreak="0">
    <w:nsid w:val="3C7802A2"/>
    <w:multiLevelType w:val="hybridMultilevel"/>
    <w:tmpl w:val="666237EE"/>
    <w:lvl w:ilvl="0" w:tplc="249E3D80">
      <w:start w:val="1"/>
      <w:numFmt w:val="lowerLetter"/>
      <w:lvlText w:val="(%1)"/>
      <w:lvlJc w:val="left"/>
      <w:pPr>
        <w:ind w:left="720" w:hanging="360"/>
      </w:pPr>
      <w:rPr>
        <w:rFonts w:ascii="Arial" w:eastAsiaTheme="minorHAnsi"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CCD4274"/>
    <w:multiLevelType w:val="hybridMultilevel"/>
    <w:tmpl w:val="413019A2"/>
    <w:lvl w:ilvl="0" w:tplc="D6B4770C">
      <w:start w:val="77"/>
      <w:numFmt w:val="decimal"/>
      <w:lvlText w:val="%1."/>
      <w:lvlJc w:val="left"/>
      <w:pPr>
        <w:ind w:left="720" w:hanging="360"/>
      </w:pPr>
      <w:rPr>
        <w:rFonts w:ascii="Arial" w:hAnsi="Arial" w:cs="Arial"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F6C4562"/>
    <w:multiLevelType w:val="hybridMultilevel"/>
    <w:tmpl w:val="FA542044"/>
    <w:lvl w:ilvl="0" w:tplc="995018D8">
      <w:start w:val="56"/>
      <w:numFmt w:val="decimal"/>
      <w:lvlText w:val="%1."/>
      <w:lvlJc w:val="left"/>
      <w:pPr>
        <w:ind w:left="720" w:hanging="360"/>
      </w:pPr>
      <w:rPr>
        <w:rFonts w:ascii="Arial" w:hAnsi="Arial" w:cs="Arial"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4011083D"/>
    <w:multiLevelType w:val="hybridMultilevel"/>
    <w:tmpl w:val="190E831E"/>
    <w:lvl w:ilvl="0" w:tplc="DB12C9FA">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1" w15:restartNumberingAfterBreak="0">
    <w:nsid w:val="43DC2138"/>
    <w:multiLevelType w:val="hybridMultilevel"/>
    <w:tmpl w:val="4336D042"/>
    <w:lvl w:ilvl="0" w:tplc="D7403820">
      <w:start w:val="3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6090944"/>
    <w:multiLevelType w:val="hybridMultilevel"/>
    <w:tmpl w:val="458C7956"/>
    <w:lvl w:ilvl="0" w:tplc="C86EAAC8">
      <w:start w:val="1"/>
      <w:numFmt w:val="lowerLetter"/>
      <w:lvlText w:val="(%1)"/>
      <w:lvlJc w:val="left"/>
      <w:pPr>
        <w:ind w:left="1494" w:hanging="360"/>
      </w:pPr>
      <w:rPr>
        <w:rFonts w:hint="default"/>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33" w15:restartNumberingAfterBreak="0">
    <w:nsid w:val="46F7293A"/>
    <w:multiLevelType w:val="hybridMultilevel"/>
    <w:tmpl w:val="82DCD5D0"/>
    <w:lvl w:ilvl="0" w:tplc="1409000B">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34" w15:restartNumberingAfterBreak="0">
    <w:nsid w:val="47182E36"/>
    <w:multiLevelType w:val="hybridMultilevel"/>
    <w:tmpl w:val="38545AEA"/>
    <w:lvl w:ilvl="0" w:tplc="1409000B">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35" w15:restartNumberingAfterBreak="0">
    <w:nsid w:val="4A23783C"/>
    <w:multiLevelType w:val="hybridMultilevel"/>
    <w:tmpl w:val="B8C2803A"/>
    <w:lvl w:ilvl="0" w:tplc="648EFF2A">
      <w:start w:val="47"/>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2C765FC"/>
    <w:multiLevelType w:val="hybridMultilevel"/>
    <w:tmpl w:val="87AC37CC"/>
    <w:lvl w:ilvl="0" w:tplc="3454F7A8">
      <w:start w:val="65"/>
      <w:numFmt w:val="decimal"/>
      <w:lvlText w:val="%1."/>
      <w:lvlJc w:val="left"/>
      <w:pPr>
        <w:ind w:left="720" w:hanging="360"/>
      </w:pPr>
      <w:rPr>
        <w:rFonts w:ascii="Arial" w:hAnsi="Arial" w:cs="Arial" w:hint="default"/>
        <w:b w:val="0"/>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45E622B"/>
    <w:multiLevelType w:val="hybridMultilevel"/>
    <w:tmpl w:val="943E99C4"/>
    <w:lvl w:ilvl="0" w:tplc="A0B49AAE">
      <w:start w:val="58"/>
      <w:numFmt w:val="decimal"/>
      <w:lvlText w:val="%1."/>
      <w:lvlJc w:val="left"/>
      <w:pPr>
        <w:ind w:left="12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0D93B9D"/>
    <w:multiLevelType w:val="hybridMultilevel"/>
    <w:tmpl w:val="7870EB64"/>
    <w:lvl w:ilvl="0" w:tplc="79DC6B6E">
      <w:start w:val="1"/>
      <w:numFmt w:val="lowerLetter"/>
      <w:lvlText w:val="(%1)"/>
      <w:lvlJc w:val="left"/>
      <w:pPr>
        <w:ind w:left="927" w:hanging="360"/>
      </w:pPr>
      <w:rPr>
        <w:rFonts w:ascii="Arial" w:eastAsia="Times New Roman" w:hAnsi="Arial" w:cs="Arial"/>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9" w15:restartNumberingAfterBreak="0">
    <w:nsid w:val="61AB2F31"/>
    <w:multiLevelType w:val="hybridMultilevel"/>
    <w:tmpl w:val="3B266AC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0" w15:restartNumberingAfterBreak="0">
    <w:nsid w:val="62534F8F"/>
    <w:multiLevelType w:val="hybridMultilevel"/>
    <w:tmpl w:val="CD26E20A"/>
    <w:lvl w:ilvl="0" w:tplc="79DC6B6E">
      <w:start w:val="1"/>
      <w:numFmt w:val="lowerLetter"/>
      <w:lvlText w:val="(%1)"/>
      <w:lvlJc w:val="left"/>
      <w:pPr>
        <w:ind w:left="1287" w:hanging="360"/>
      </w:pPr>
      <w:rPr>
        <w:rFonts w:ascii="Arial" w:eastAsia="Times New Roman" w:hAnsi="Arial" w:cs="Arial"/>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65C209BB"/>
    <w:multiLevelType w:val="hybridMultilevel"/>
    <w:tmpl w:val="DF22B510"/>
    <w:lvl w:ilvl="0" w:tplc="C86EAAC8">
      <w:start w:val="1"/>
      <w:numFmt w:val="lowerLetter"/>
      <w:lvlText w:val="(%1)"/>
      <w:lvlJc w:val="left"/>
      <w:pPr>
        <w:ind w:left="1854" w:hanging="360"/>
      </w:pPr>
      <w:rPr>
        <w:rFonts w:hint="default"/>
      </w:r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2" w15:restartNumberingAfterBreak="0">
    <w:nsid w:val="68207248"/>
    <w:multiLevelType w:val="hybridMultilevel"/>
    <w:tmpl w:val="FF22788E"/>
    <w:lvl w:ilvl="0" w:tplc="1409000B">
      <w:start w:val="1"/>
      <w:numFmt w:val="bullet"/>
      <w:lvlText w:val=""/>
      <w:lvlJc w:val="left"/>
      <w:pPr>
        <w:ind w:left="1287" w:hanging="360"/>
      </w:pPr>
      <w:rPr>
        <w:rFonts w:ascii="Wingdings" w:hAnsi="Wingdings"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3" w15:restartNumberingAfterBreak="0">
    <w:nsid w:val="6A1C7863"/>
    <w:multiLevelType w:val="multilevel"/>
    <w:tmpl w:val="841482B0"/>
    <w:lvl w:ilvl="0">
      <w:start w:val="2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5" w15:restartNumberingAfterBreak="0">
    <w:nsid w:val="6BE0384A"/>
    <w:multiLevelType w:val="hybridMultilevel"/>
    <w:tmpl w:val="79C4B1C8"/>
    <w:lvl w:ilvl="0" w:tplc="14090003">
      <w:start w:val="1"/>
      <w:numFmt w:val="bullet"/>
      <w:lvlText w:val="o"/>
      <w:lvlJc w:val="left"/>
      <w:pPr>
        <w:ind w:left="790" w:hanging="360"/>
      </w:pPr>
      <w:rPr>
        <w:rFonts w:ascii="Courier New" w:hAnsi="Courier New" w:cs="Courier New" w:hint="default"/>
      </w:rPr>
    </w:lvl>
    <w:lvl w:ilvl="1" w:tplc="14090003" w:tentative="1">
      <w:start w:val="1"/>
      <w:numFmt w:val="bullet"/>
      <w:lvlText w:val="o"/>
      <w:lvlJc w:val="left"/>
      <w:pPr>
        <w:ind w:left="1510" w:hanging="360"/>
      </w:pPr>
      <w:rPr>
        <w:rFonts w:ascii="Courier New" w:hAnsi="Courier New" w:cs="Courier New" w:hint="default"/>
      </w:rPr>
    </w:lvl>
    <w:lvl w:ilvl="2" w:tplc="14090005" w:tentative="1">
      <w:start w:val="1"/>
      <w:numFmt w:val="bullet"/>
      <w:lvlText w:val=""/>
      <w:lvlJc w:val="left"/>
      <w:pPr>
        <w:ind w:left="2230" w:hanging="360"/>
      </w:pPr>
      <w:rPr>
        <w:rFonts w:ascii="Wingdings" w:hAnsi="Wingdings" w:hint="default"/>
      </w:rPr>
    </w:lvl>
    <w:lvl w:ilvl="3" w:tplc="14090001" w:tentative="1">
      <w:start w:val="1"/>
      <w:numFmt w:val="bullet"/>
      <w:lvlText w:val=""/>
      <w:lvlJc w:val="left"/>
      <w:pPr>
        <w:ind w:left="2950" w:hanging="360"/>
      </w:pPr>
      <w:rPr>
        <w:rFonts w:ascii="Symbol" w:hAnsi="Symbol" w:hint="default"/>
      </w:rPr>
    </w:lvl>
    <w:lvl w:ilvl="4" w:tplc="14090003" w:tentative="1">
      <w:start w:val="1"/>
      <w:numFmt w:val="bullet"/>
      <w:lvlText w:val="o"/>
      <w:lvlJc w:val="left"/>
      <w:pPr>
        <w:ind w:left="3670" w:hanging="360"/>
      </w:pPr>
      <w:rPr>
        <w:rFonts w:ascii="Courier New" w:hAnsi="Courier New" w:cs="Courier New" w:hint="default"/>
      </w:rPr>
    </w:lvl>
    <w:lvl w:ilvl="5" w:tplc="14090005" w:tentative="1">
      <w:start w:val="1"/>
      <w:numFmt w:val="bullet"/>
      <w:lvlText w:val=""/>
      <w:lvlJc w:val="left"/>
      <w:pPr>
        <w:ind w:left="4390" w:hanging="360"/>
      </w:pPr>
      <w:rPr>
        <w:rFonts w:ascii="Wingdings" w:hAnsi="Wingdings" w:hint="default"/>
      </w:rPr>
    </w:lvl>
    <w:lvl w:ilvl="6" w:tplc="14090001" w:tentative="1">
      <w:start w:val="1"/>
      <w:numFmt w:val="bullet"/>
      <w:lvlText w:val=""/>
      <w:lvlJc w:val="left"/>
      <w:pPr>
        <w:ind w:left="5110" w:hanging="360"/>
      </w:pPr>
      <w:rPr>
        <w:rFonts w:ascii="Symbol" w:hAnsi="Symbol" w:hint="default"/>
      </w:rPr>
    </w:lvl>
    <w:lvl w:ilvl="7" w:tplc="14090003" w:tentative="1">
      <w:start w:val="1"/>
      <w:numFmt w:val="bullet"/>
      <w:lvlText w:val="o"/>
      <w:lvlJc w:val="left"/>
      <w:pPr>
        <w:ind w:left="5830" w:hanging="360"/>
      </w:pPr>
      <w:rPr>
        <w:rFonts w:ascii="Courier New" w:hAnsi="Courier New" w:cs="Courier New" w:hint="default"/>
      </w:rPr>
    </w:lvl>
    <w:lvl w:ilvl="8" w:tplc="14090005" w:tentative="1">
      <w:start w:val="1"/>
      <w:numFmt w:val="bullet"/>
      <w:lvlText w:val=""/>
      <w:lvlJc w:val="left"/>
      <w:pPr>
        <w:ind w:left="6550" w:hanging="360"/>
      </w:pPr>
      <w:rPr>
        <w:rFonts w:ascii="Wingdings" w:hAnsi="Wingdings" w:hint="default"/>
      </w:rPr>
    </w:lvl>
  </w:abstractNum>
  <w:abstractNum w:abstractNumId="46" w15:restartNumberingAfterBreak="0">
    <w:nsid w:val="6BF20428"/>
    <w:multiLevelType w:val="hybridMultilevel"/>
    <w:tmpl w:val="C99A9F60"/>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6F4911F2"/>
    <w:multiLevelType w:val="hybridMultilevel"/>
    <w:tmpl w:val="D3D0588C"/>
    <w:lvl w:ilvl="0" w:tplc="1409000B">
      <w:start w:val="1"/>
      <w:numFmt w:val="bullet"/>
      <w:lvlText w:val=""/>
      <w:lvlJc w:val="left"/>
      <w:pPr>
        <w:ind w:left="770" w:hanging="360"/>
      </w:pPr>
      <w:rPr>
        <w:rFonts w:ascii="Wingdings" w:hAnsi="Wingdings"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48" w15:restartNumberingAfterBreak="0">
    <w:nsid w:val="71DD7DAF"/>
    <w:multiLevelType w:val="hybridMultilevel"/>
    <w:tmpl w:val="B5B68A10"/>
    <w:lvl w:ilvl="0" w:tplc="249E3D80">
      <w:start w:val="1"/>
      <w:numFmt w:val="lowerLetter"/>
      <w:lvlText w:val="(%1)"/>
      <w:lvlJc w:val="left"/>
      <w:pPr>
        <w:ind w:left="720" w:hanging="360"/>
      </w:pPr>
      <w:rPr>
        <w:rFonts w:ascii="Arial" w:eastAsiaTheme="minorHAnsi" w:hAnsi="Arial" w:cs="Arial"/>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1E2359D"/>
    <w:multiLevelType w:val="multilevel"/>
    <w:tmpl w:val="5E8A67D6"/>
    <w:lvl w:ilvl="0">
      <w:start w:val="2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22"/>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304317E"/>
    <w:multiLevelType w:val="multilevel"/>
    <w:tmpl w:val="DC50851E"/>
    <w:lvl w:ilvl="0">
      <w:start w:val="26"/>
      <w:numFmt w:val="decimal"/>
      <w:lvlText w:val="%1."/>
      <w:lvlJc w:val="left"/>
      <w:pPr>
        <w:ind w:left="360" w:hanging="360"/>
      </w:pPr>
      <w:rPr>
        <w:rFonts w:hint="default"/>
        <w:b w:val="0"/>
      </w:rPr>
    </w:lvl>
    <w:lvl w:ilvl="1">
      <w:start w:val="1"/>
      <w:numFmt w:val="decimal"/>
      <w:lvlText w:val="%2."/>
      <w:lvlJc w:val="left"/>
      <w:pPr>
        <w:ind w:left="792" w:hanging="432"/>
      </w:pPr>
      <w:rPr>
        <w:rFonts w:hint="default"/>
      </w:rPr>
    </w:lvl>
    <w:lvl w:ilvl="2">
      <w:start w:val="22"/>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5800F94"/>
    <w:multiLevelType w:val="hybridMultilevel"/>
    <w:tmpl w:val="CD6E8A94"/>
    <w:lvl w:ilvl="0" w:tplc="1409000B">
      <w:start w:val="1"/>
      <w:numFmt w:val="bullet"/>
      <w:lvlText w:val=""/>
      <w:lvlJc w:val="left"/>
      <w:pPr>
        <w:ind w:left="770" w:hanging="360"/>
      </w:pPr>
      <w:rPr>
        <w:rFonts w:ascii="Wingdings" w:hAnsi="Wingdings"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52" w15:restartNumberingAfterBreak="0">
    <w:nsid w:val="792B4115"/>
    <w:multiLevelType w:val="hybridMultilevel"/>
    <w:tmpl w:val="E5E8B74E"/>
    <w:lvl w:ilvl="0" w:tplc="1409000B">
      <w:start w:val="1"/>
      <w:numFmt w:val="bullet"/>
      <w:lvlText w:val=""/>
      <w:lvlJc w:val="left"/>
      <w:pPr>
        <w:ind w:left="1854" w:hanging="360"/>
      </w:pPr>
      <w:rPr>
        <w:rFonts w:ascii="Wingdings" w:hAnsi="Wingdings"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53" w15:restartNumberingAfterBreak="0">
    <w:nsid w:val="7D6F6C4F"/>
    <w:multiLevelType w:val="hybridMultilevel"/>
    <w:tmpl w:val="BDB6749C"/>
    <w:lvl w:ilvl="0" w:tplc="1409000B">
      <w:start w:val="1"/>
      <w:numFmt w:val="bullet"/>
      <w:lvlText w:val=""/>
      <w:lvlJc w:val="left"/>
      <w:pPr>
        <w:ind w:left="1350" w:hanging="360"/>
      </w:pPr>
      <w:rPr>
        <w:rFonts w:ascii="Wingdings" w:hAnsi="Wingdings" w:hint="default"/>
      </w:rPr>
    </w:lvl>
    <w:lvl w:ilvl="1" w:tplc="14090003" w:tentative="1">
      <w:start w:val="1"/>
      <w:numFmt w:val="bullet"/>
      <w:lvlText w:val="o"/>
      <w:lvlJc w:val="left"/>
      <w:pPr>
        <w:ind w:left="2070" w:hanging="360"/>
      </w:pPr>
      <w:rPr>
        <w:rFonts w:ascii="Courier New" w:hAnsi="Courier New" w:cs="Courier New"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54" w15:restartNumberingAfterBreak="0">
    <w:nsid w:val="7D9643CD"/>
    <w:multiLevelType w:val="multilevel"/>
    <w:tmpl w:val="99F27FC8"/>
    <w:lvl w:ilvl="0">
      <w:start w:val="2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0"/>
  </w:num>
  <w:num w:numId="3">
    <w:abstractNumId w:val="48"/>
  </w:num>
  <w:num w:numId="4">
    <w:abstractNumId w:val="47"/>
  </w:num>
  <w:num w:numId="5">
    <w:abstractNumId w:val="46"/>
  </w:num>
  <w:num w:numId="6">
    <w:abstractNumId w:val="15"/>
  </w:num>
  <w:num w:numId="7">
    <w:abstractNumId w:val="30"/>
  </w:num>
  <w:num w:numId="8">
    <w:abstractNumId w:val="32"/>
  </w:num>
  <w:num w:numId="9">
    <w:abstractNumId w:val="33"/>
  </w:num>
  <w:num w:numId="10">
    <w:abstractNumId w:val="19"/>
  </w:num>
  <w:num w:numId="11">
    <w:abstractNumId w:val="52"/>
  </w:num>
  <w:num w:numId="12">
    <w:abstractNumId w:val="1"/>
  </w:num>
  <w:num w:numId="13">
    <w:abstractNumId w:val="16"/>
  </w:num>
  <w:num w:numId="14">
    <w:abstractNumId w:val="0"/>
  </w:num>
  <w:num w:numId="15">
    <w:abstractNumId w:val="26"/>
  </w:num>
  <w:num w:numId="16">
    <w:abstractNumId w:val="43"/>
  </w:num>
  <w:num w:numId="17">
    <w:abstractNumId w:val="44"/>
  </w:num>
  <w:num w:numId="18">
    <w:abstractNumId w:val="54"/>
  </w:num>
  <w:num w:numId="19">
    <w:abstractNumId w:val="8"/>
  </w:num>
  <w:num w:numId="20">
    <w:abstractNumId w:val="21"/>
  </w:num>
  <w:num w:numId="21">
    <w:abstractNumId w:val="50"/>
  </w:num>
  <w:num w:numId="22">
    <w:abstractNumId w:val="11"/>
  </w:num>
  <w:num w:numId="23">
    <w:abstractNumId w:val="49"/>
  </w:num>
  <w:num w:numId="24">
    <w:abstractNumId w:val="9"/>
  </w:num>
  <w:num w:numId="25">
    <w:abstractNumId w:val="39"/>
  </w:num>
  <w:num w:numId="26">
    <w:abstractNumId w:val="4"/>
  </w:num>
  <w:num w:numId="27">
    <w:abstractNumId w:val="45"/>
  </w:num>
  <w:num w:numId="28">
    <w:abstractNumId w:val="18"/>
  </w:num>
  <w:num w:numId="29">
    <w:abstractNumId w:val="23"/>
  </w:num>
  <w:num w:numId="30">
    <w:abstractNumId w:val="13"/>
  </w:num>
  <w:num w:numId="31">
    <w:abstractNumId w:val="25"/>
  </w:num>
  <w:num w:numId="32">
    <w:abstractNumId w:val="12"/>
  </w:num>
  <w:num w:numId="33">
    <w:abstractNumId w:val="17"/>
  </w:num>
  <w:num w:numId="34">
    <w:abstractNumId w:val="3"/>
  </w:num>
  <w:num w:numId="35">
    <w:abstractNumId w:val="2"/>
  </w:num>
  <w:num w:numId="36">
    <w:abstractNumId w:val="51"/>
  </w:num>
  <w:num w:numId="37">
    <w:abstractNumId w:val="53"/>
  </w:num>
  <w:num w:numId="38">
    <w:abstractNumId w:val="24"/>
  </w:num>
  <w:num w:numId="39">
    <w:abstractNumId w:val="5"/>
  </w:num>
  <w:num w:numId="40">
    <w:abstractNumId w:val="42"/>
  </w:num>
  <w:num w:numId="41">
    <w:abstractNumId w:val="27"/>
  </w:num>
  <w:num w:numId="42">
    <w:abstractNumId w:val="6"/>
  </w:num>
  <w:num w:numId="43">
    <w:abstractNumId w:val="40"/>
  </w:num>
  <w:num w:numId="44">
    <w:abstractNumId w:val="38"/>
  </w:num>
  <w:num w:numId="45">
    <w:abstractNumId w:val="34"/>
  </w:num>
  <w:num w:numId="46">
    <w:abstractNumId w:val="41"/>
  </w:num>
  <w:num w:numId="47">
    <w:abstractNumId w:val="31"/>
  </w:num>
  <w:num w:numId="48">
    <w:abstractNumId w:val="14"/>
  </w:num>
  <w:num w:numId="49">
    <w:abstractNumId w:val="35"/>
  </w:num>
  <w:num w:numId="50">
    <w:abstractNumId w:val="7"/>
  </w:num>
  <w:num w:numId="51">
    <w:abstractNumId w:val="29"/>
  </w:num>
  <w:num w:numId="52">
    <w:abstractNumId w:val="37"/>
  </w:num>
  <w:num w:numId="53">
    <w:abstractNumId w:val="36"/>
  </w:num>
  <w:num w:numId="54">
    <w:abstractNumId w:val="22"/>
  </w:num>
  <w:num w:numId="55">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54"/>
    <w:rsid w:val="0001009B"/>
    <w:rsid w:val="000106DE"/>
    <w:rsid w:val="00010D54"/>
    <w:rsid w:val="00015D79"/>
    <w:rsid w:val="000172ED"/>
    <w:rsid w:val="00021EA7"/>
    <w:rsid w:val="000265BE"/>
    <w:rsid w:val="000348FB"/>
    <w:rsid w:val="00036CA0"/>
    <w:rsid w:val="000435E8"/>
    <w:rsid w:val="000524BA"/>
    <w:rsid w:val="000A0E05"/>
    <w:rsid w:val="000A182B"/>
    <w:rsid w:val="000A2EAA"/>
    <w:rsid w:val="000A371E"/>
    <w:rsid w:val="000A54F1"/>
    <w:rsid w:val="000B243E"/>
    <w:rsid w:val="000B68CF"/>
    <w:rsid w:val="000B7E5F"/>
    <w:rsid w:val="000C7B18"/>
    <w:rsid w:val="000F1074"/>
    <w:rsid w:val="00113919"/>
    <w:rsid w:val="001229FA"/>
    <w:rsid w:val="00132136"/>
    <w:rsid w:val="0013317A"/>
    <w:rsid w:val="0013342C"/>
    <w:rsid w:val="00135D4F"/>
    <w:rsid w:val="00137059"/>
    <w:rsid w:val="00153455"/>
    <w:rsid w:val="00162781"/>
    <w:rsid w:val="001636E4"/>
    <w:rsid w:val="00172C10"/>
    <w:rsid w:val="00182F72"/>
    <w:rsid w:val="001936F8"/>
    <w:rsid w:val="00193A73"/>
    <w:rsid w:val="001C2920"/>
    <w:rsid w:val="001C443F"/>
    <w:rsid w:val="001C6426"/>
    <w:rsid w:val="001D02D6"/>
    <w:rsid w:val="001D12C7"/>
    <w:rsid w:val="001D15F0"/>
    <w:rsid w:val="001D627F"/>
    <w:rsid w:val="001D74F5"/>
    <w:rsid w:val="001D7545"/>
    <w:rsid w:val="001D7581"/>
    <w:rsid w:val="001E1CFC"/>
    <w:rsid w:val="001E6542"/>
    <w:rsid w:val="001F0BAC"/>
    <w:rsid w:val="001F3CCE"/>
    <w:rsid w:val="0020050B"/>
    <w:rsid w:val="002125E0"/>
    <w:rsid w:val="00214B62"/>
    <w:rsid w:val="002223AA"/>
    <w:rsid w:val="00225044"/>
    <w:rsid w:val="00227CAD"/>
    <w:rsid w:val="00246517"/>
    <w:rsid w:val="0025095B"/>
    <w:rsid w:val="00266D9B"/>
    <w:rsid w:val="00266E87"/>
    <w:rsid w:val="00272AA1"/>
    <w:rsid w:val="00280942"/>
    <w:rsid w:val="00281FC0"/>
    <w:rsid w:val="00287EAC"/>
    <w:rsid w:val="002C5E94"/>
    <w:rsid w:val="002C6BA2"/>
    <w:rsid w:val="002D15F8"/>
    <w:rsid w:val="002D44BD"/>
    <w:rsid w:val="002D4DCB"/>
    <w:rsid w:val="002E58E8"/>
    <w:rsid w:val="002F09E3"/>
    <w:rsid w:val="00303DC8"/>
    <w:rsid w:val="0031101C"/>
    <w:rsid w:val="003148BE"/>
    <w:rsid w:val="0032512F"/>
    <w:rsid w:val="00331256"/>
    <w:rsid w:val="00331CC6"/>
    <w:rsid w:val="00335AA5"/>
    <w:rsid w:val="003369C4"/>
    <w:rsid w:val="00337BFB"/>
    <w:rsid w:val="00342850"/>
    <w:rsid w:val="00350C27"/>
    <w:rsid w:val="003547A3"/>
    <w:rsid w:val="003550FF"/>
    <w:rsid w:val="0035557D"/>
    <w:rsid w:val="00360CB3"/>
    <w:rsid w:val="00363D87"/>
    <w:rsid w:val="00365B23"/>
    <w:rsid w:val="00365D01"/>
    <w:rsid w:val="00365D55"/>
    <w:rsid w:val="00372B46"/>
    <w:rsid w:val="003779A5"/>
    <w:rsid w:val="00384274"/>
    <w:rsid w:val="003919E6"/>
    <w:rsid w:val="003A3C5E"/>
    <w:rsid w:val="003A4AEF"/>
    <w:rsid w:val="003B670E"/>
    <w:rsid w:val="003C1768"/>
    <w:rsid w:val="003C5E47"/>
    <w:rsid w:val="003F34B8"/>
    <w:rsid w:val="00424705"/>
    <w:rsid w:val="00453148"/>
    <w:rsid w:val="00486CD5"/>
    <w:rsid w:val="00487D45"/>
    <w:rsid w:val="004915D7"/>
    <w:rsid w:val="00493627"/>
    <w:rsid w:val="004A1009"/>
    <w:rsid w:val="004A1059"/>
    <w:rsid w:val="004A10A8"/>
    <w:rsid w:val="004A464D"/>
    <w:rsid w:val="004B5170"/>
    <w:rsid w:val="004C3655"/>
    <w:rsid w:val="004C6063"/>
    <w:rsid w:val="004C6574"/>
    <w:rsid w:val="004D2234"/>
    <w:rsid w:val="004D6CB3"/>
    <w:rsid w:val="004E1E59"/>
    <w:rsid w:val="004E58E7"/>
    <w:rsid w:val="004F005E"/>
    <w:rsid w:val="005021DB"/>
    <w:rsid w:val="00502F73"/>
    <w:rsid w:val="00507371"/>
    <w:rsid w:val="00521774"/>
    <w:rsid w:val="00524E9B"/>
    <w:rsid w:val="005315C1"/>
    <w:rsid w:val="005325C2"/>
    <w:rsid w:val="00532A63"/>
    <w:rsid w:val="005709AA"/>
    <w:rsid w:val="00577723"/>
    <w:rsid w:val="0057772F"/>
    <w:rsid w:val="0058651E"/>
    <w:rsid w:val="00590088"/>
    <w:rsid w:val="005A00C2"/>
    <w:rsid w:val="005B6831"/>
    <w:rsid w:val="005C2D78"/>
    <w:rsid w:val="005C409F"/>
    <w:rsid w:val="005C5D81"/>
    <w:rsid w:val="005D1C91"/>
    <w:rsid w:val="005D5F0E"/>
    <w:rsid w:val="005E0CC2"/>
    <w:rsid w:val="005E6C80"/>
    <w:rsid w:val="005F0275"/>
    <w:rsid w:val="00603EBB"/>
    <w:rsid w:val="0061021C"/>
    <w:rsid w:val="006219B2"/>
    <w:rsid w:val="00633424"/>
    <w:rsid w:val="00633841"/>
    <w:rsid w:val="00640742"/>
    <w:rsid w:val="00655B87"/>
    <w:rsid w:val="00677780"/>
    <w:rsid w:val="00677FC6"/>
    <w:rsid w:val="006806F5"/>
    <w:rsid w:val="00684531"/>
    <w:rsid w:val="00686FB1"/>
    <w:rsid w:val="006872F8"/>
    <w:rsid w:val="00694FA2"/>
    <w:rsid w:val="00697F73"/>
    <w:rsid w:val="006A4F31"/>
    <w:rsid w:val="006A6E0F"/>
    <w:rsid w:val="006B0FD5"/>
    <w:rsid w:val="006B4B42"/>
    <w:rsid w:val="006D5EF2"/>
    <w:rsid w:val="006E3BFC"/>
    <w:rsid w:val="006E6F56"/>
    <w:rsid w:val="0070067D"/>
    <w:rsid w:val="007014E7"/>
    <w:rsid w:val="00716229"/>
    <w:rsid w:val="00717C5C"/>
    <w:rsid w:val="00722585"/>
    <w:rsid w:val="007229D5"/>
    <w:rsid w:val="007242E0"/>
    <w:rsid w:val="00727892"/>
    <w:rsid w:val="00737CA5"/>
    <w:rsid w:val="00770265"/>
    <w:rsid w:val="00773A85"/>
    <w:rsid w:val="00776BEB"/>
    <w:rsid w:val="00787F0F"/>
    <w:rsid w:val="00792CF5"/>
    <w:rsid w:val="007B2CBA"/>
    <w:rsid w:val="007C467C"/>
    <w:rsid w:val="007C46C0"/>
    <w:rsid w:val="007C4CF4"/>
    <w:rsid w:val="007D40AB"/>
    <w:rsid w:val="007E250F"/>
    <w:rsid w:val="007E781A"/>
    <w:rsid w:val="007F1C78"/>
    <w:rsid w:val="00800F3E"/>
    <w:rsid w:val="008029F9"/>
    <w:rsid w:val="00807B40"/>
    <w:rsid w:val="008163F1"/>
    <w:rsid w:val="00816581"/>
    <w:rsid w:val="008220B4"/>
    <w:rsid w:val="0083618B"/>
    <w:rsid w:val="00840796"/>
    <w:rsid w:val="00852BB0"/>
    <w:rsid w:val="00860543"/>
    <w:rsid w:val="008624D2"/>
    <w:rsid w:val="008718F4"/>
    <w:rsid w:val="0087415F"/>
    <w:rsid w:val="00875E6A"/>
    <w:rsid w:val="00890583"/>
    <w:rsid w:val="008C1454"/>
    <w:rsid w:val="008C18AD"/>
    <w:rsid w:val="008C3132"/>
    <w:rsid w:val="008C6E7F"/>
    <w:rsid w:val="008D16F1"/>
    <w:rsid w:val="008E7086"/>
    <w:rsid w:val="008F18AE"/>
    <w:rsid w:val="008F595B"/>
    <w:rsid w:val="009024C3"/>
    <w:rsid w:val="00906FBE"/>
    <w:rsid w:val="00911533"/>
    <w:rsid w:val="00917019"/>
    <w:rsid w:val="0091772E"/>
    <w:rsid w:val="00917C89"/>
    <w:rsid w:val="00921FA2"/>
    <w:rsid w:val="00923F7C"/>
    <w:rsid w:val="009302BB"/>
    <w:rsid w:val="009340FD"/>
    <w:rsid w:val="00943F49"/>
    <w:rsid w:val="00953792"/>
    <w:rsid w:val="0097017A"/>
    <w:rsid w:val="0097030A"/>
    <w:rsid w:val="0097160E"/>
    <w:rsid w:val="00971EE4"/>
    <w:rsid w:val="00984DE5"/>
    <w:rsid w:val="009953B7"/>
    <w:rsid w:val="00997AB2"/>
    <w:rsid w:val="009A74BB"/>
    <w:rsid w:val="009B3C53"/>
    <w:rsid w:val="009C19FC"/>
    <w:rsid w:val="009D1E8A"/>
    <w:rsid w:val="009D5D9D"/>
    <w:rsid w:val="009E21DE"/>
    <w:rsid w:val="009E22D4"/>
    <w:rsid w:val="009E6DBB"/>
    <w:rsid w:val="009F41CE"/>
    <w:rsid w:val="009F5B0E"/>
    <w:rsid w:val="00A01681"/>
    <w:rsid w:val="00A106C5"/>
    <w:rsid w:val="00A12369"/>
    <w:rsid w:val="00A1500F"/>
    <w:rsid w:val="00A15DFD"/>
    <w:rsid w:val="00A22B07"/>
    <w:rsid w:val="00A24F87"/>
    <w:rsid w:val="00A30941"/>
    <w:rsid w:val="00A3296A"/>
    <w:rsid w:val="00A330FB"/>
    <w:rsid w:val="00A35CCA"/>
    <w:rsid w:val="00A44E43"/>
    <w:rsid w:val="00A478E7"/>
    <w:rsid w:val="00A51AA5"/>
    <w:rsid w:val="00A709A6"/>
    <w:rsid w:val="00A80D5C"/>
    <w:rsid w:val="00A86837"/>
    <w:rsid w:val="00AA2D33"/>
    <w:rsid w:val="00AB2B3F"/>
    <w:rsid w:val="00AD105F"/>
    <w:rsid w:val="00AD5A2C"/>
    <w:rsid w:val="00B10F9D"/>
    <w:rsid w:val="00B20455"/>
    <w:rsid w:val="00B23A1C"/>
    <w:rsid w:val="00B3545B"/>
    <w:rsid w:val="00B469FC"/>
    <w:rsid w:val="00B57308"/>
    <w:rsid w:val="00B64D35"/>
    <w:rsid w:val="00B8280D"/>
    <w:rsid w:val="00B902D9"/>
    <w:rsid w:val="00B92CCE"/>
    <w:rsid w:val="00B95558"/>
    <w:rsid w:val="00BA7408"/>
    <w:rsid w:val="00BA7439"/>
    <w:rsid w:val="00BB1064"/>
    <w:rsid w:val="00BE0B70"/>
    <w:rsid w:val="00BF3194"/>
    <w:rsid w:val="00BF4A4F"/>
    <w:rsid w:val="00C06BA1"/>
    <w:rsid w:val="00C13A88"/>
    <w:rsid w:val="00C13C2E"/>
    <w:rsid w:val="00C24D20"/>
    <w:rsid w:val="00C34ADF"/>
    <w:rsid w:val="00C36C05"/>
    <w:rsid w:val="00C43452"/>
    <w:rsid w:val="00C50394"/>
    <w:rsid w:val="00C5063E"/>
    <w:rsid w:val="00C60E6E"/>
    <w:rsid w:val="00C653B3"/>
    <w:rsid w:val="00C67529"/>
    <w:rsid w:val="00C70367"/>
    <w:rsid w:val="00C758F1"/>
    <w:rsid w:val="00C90585"/>
    <w:rsid w:val="00C93149"/>
    <w:rsid w:val="00CA17B3"/>
    <w:rsid w:val="00CA559A"/>
    <w:rsid w:val="00CA5DFC"/>
    <w:rsid w:val="00CC004C"/>
    <w:rsid w:val="00CC6CDA"/>
    <w:rsid w:val="00CE0659"/>
    <w:rsid w:val="00CE75CA"/>
    <w:rsid w:val="00CF08FF"/>
    <w:rsid w:val="00CF0B20"/>
    <w:rsid w:val="00D0474C"/>
    <w:rsid w:val="00D175AA"/>
    <w:rsid w:val="00D21353"/>
    <w:rsid w:val="00D33BE7"/>
    <w:rsid w:val="00D33DC4"/>
    <w:rsid w:val="00D45241"/>
    <w:rsid w:val="00D52570"/>
    <w:rsid w:val="00D60C62"/>
    <w:rsid w:val="00D73083"/>
    <w:rsid w:val="00D96413"/>
    <w:rsid w:val="00DA2535"/>
    <w:rsid w:val="00DA2B2E"/>
    <w:rsid w:val="00DA2CC4"/>
    <w:rsid w:val="00DA3199"/>
    <w:rsid w:val="00DA59FF"/>
    <w:rsid w:val="00DB28DD"/>
    <w:rsid w:val="00DB41B0"/>
    <w:rsid w:val="00DC092D"/>
    <w:rsid w:val="00DC3FCD"/>
    <w:rsid w:val="00DD11BD"/>
    <w:rsid w:val="00DD327E"/>
    <w:rsid w:val="00DE3B17"/>
    <w:rsid w:val="00DE4D6D"/>
    <w:rsid w:val="00DE6E38"/>
    <w:rsid w:val="00E22426"/>
    <w:rsid w:val="00E25BE1"/>
    <w:rsid w:val="00E32340"/>
    <w:rsid w:val="00E36EB0"/>
    <w:rsid w:val="00E5759A"/>
    <w:rsid w:val="00E81A7E"/>
    <w:rsid w:val="00E865AA"/>
    <w:rsid w:val="00E9247C"/>
    <w:rsid w:val="00E9355E"/>
    <w:rsid w:val="00E94E1F"/>
    <w:rsid w:val="00EA749E"/>
    <w:rsid w:val="00EB07B1"/>
    <w:rsid w:val="00EB671C"/>
    <w:rsid w:val="00EC53FC"/>
    <w:rsid w:val="00F04100"/>
    <w:rsid w:val="00F042F4"/>
    <w:rsid w:val="00F15B8A"/>
    <w:rsid w:val="00F2692E"/>
    <w:rsid w:val="00F42E9B"/>
    <w:rsid w:val="00F43966"/>
    <w:rsid w:val="00F45617"/>
    <w:rsid w:val="00F46DEF"/>
    <w:rsid w:val="00F70091"/>
    <w:rsid w:val="00F72F89"/>
    <w:rsid w:val="00F75D12"/>
    <w:rsid w:val="00F96B21"/>
    <w:rsid w:val="00FA1773"/>
    <w:rsid w:val="00FB157D"/>
    <w:rsid w:val="00FB2DE0"/>
    <w:rsid w:val="00FD1C28"/>
    <w:rsid w:val="00FD6258"/>
    <w:rsid w:val="00FF0F87"/>
    <w:rsid w:val="00FF5F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3AF5"/>
  <w15:chartTrackingRefBased/>
  <w15:docId w15:val="{2998C48C-C436-4247-9DE4-FDC58894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409F"/>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5C409F"/>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18B"/>
    <w:pPr>
      <w:ind w:left="720"/>
      <w:contextualSpacing/>
    </w:pPr>
  </w:style>
  <w:style w:type="paragraph" w:styleId="NoSpacing">
    <w:name w:val="No Spacing"/>
    <w:uiPriority w:val="1"/>
    <w:qFormat/>
    <w:rsid w:val="00021EA7"/>
    <w:pPr>
      <w:spacing w:after="0" w:line="240" w:lineRule="auto"/>
    </w:pPr>
  </w:style>
  <w:style w:type="paragraph" w:styleId="Header">
    <w:name w:val="header"/>
    <w:basedOn w:val="Normal"/>
    <w:link w:val="HeaderChar"/>
    <w:uiPriority w:val="99"/>
    <w:unhideWhenUsed/>
    <w:rsid w:val="00377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9A5"/>
  </w:style>
  <w:style w:type="paragraph" w:styleId="Footer">
    <w:name w:val="footer"/>
    <w:basedOn w:val="Normal"/>
    <w:link w:val="FooterChar"/>
    <w:uiPriority w:val="99"/>
    <w:unhideWhenUsed/>
    <w:rsid w:val="00377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9A5"/>
  </w:style>
  <w:style w:type="character" w:customStyle="1" w:styleId="Heading2Char">
    <w:name w:val="Heading 2 Char"/>
    <w:basedOn w:val="DefaultParagraphFont"/>
    <w:link w:val="Heading2"/>
    <w:uiPriority w:val="9"/>
    <w:rsid w:val="005C409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5C409F"/>
    <w:rPr>
      <w:rFonts w:asciiTheme="majorHAnsi" w:eastAsiaTheme="majorEastAsia" w:hAnsiTheme="majorHAnsi" w:cstheme="majorBidi"/>
      <w:color w:val="1F3763" w:themeColor="accent1" w:themeShade="7F"/>
      <w:sz w:val="24"/>
      <w:szCs w:val="24"/>
      <w:lang w:val="en-US"/>
    </w:rPr>
  </w:style>
  <w:style w:type="paragraph" w:styleId="FootnoteText">
    <w:name w:val="footnote text"/>
    <w:basedOn w:val="Normal"/>
    <w:link w:val="FootnoteTextChar"/>
    <w:semiHidden/>
    <w:unhideWhenUsed/>
    <w:rsid w:val="005C409F"/>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5C409F"/>
    <w:rPr>
      <w:sz w:val="20"/>
      <w:szCs w:val="20"/>
      <w:lang w:val="en-US"/>
    </w:rPr>
  </w:style>
  <w:style w:type="character" w:styleId="FootnoteReference">
    <w:name w:val="footnote reference"/>
    <w:basedOn w:val="DefaultParagraphFont"/>
    <w:semiHidden/>
    <w:unhideWhenUsed/>
    <w:rsid w:val="005C409F"/>
    <w:rPr>
      <w:vertAlign w:val="superscript"/>
    </w:rPr>
  </w:style>
  <w:style w:type="character" w:customStyle="1" w:styleId="legds2">
    <w:name w:val="legds2"/>
    <w:basedOn w:val="DefaultParagraphFont"/>
    <w:rsid w:val="005C409F"/>
    <w:rPr>
      <w:vanish w:val="0"/>
      <w:webHidden w:val="0"/>
      <w:specVanish w:val="0"/>
    </w:rPr>
  </w:style>
  <w:style w:type="paragraph" w:customStyle="1" w:styleId="legclearfix2">
    <w:name w:val="legclearfix2"/>
    <w:basedOn w:val="Normal"/>
    <w:rsid w:val="005C409F"/>
    <w:pPr>
      <w:shd w:val="clear" w:color="auto" w:fill="FFFFFF"/>
      <w:spacing w:after="120" w:line="360" w:lineRule="atLeast"/>
    </w:pPr>
    <w:rPr>
      <w:rFonts w:ascii="Times New Roman" w:eastAsia="Times New Roman" w:hAnsi="Times New Roman" w:cs="Times New Roman"/>
      <w:color w:val="000000"/>
      <w:sz w:val="19"/>
      <w:szCs w:val="19"/>
      <w:lang w:eastAsia="en-NZ"/>
    </w:rPr>
  </w:style>
  <w:style w:type="paragraph" w:styleId="BalloonText">
    <w:name w:val="Balloon Text"/>
    <w:basedOn w:val="Normal"/>
    <w:link w:val="BalloonTextChar"/>
    <w:uiPriority w:val="99"/>
    <w:semiHidden/>
    <w:unhideWhenUsed/>
    <w:rsid w:val="00BE0B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B70"/>
    <w:rPr>
      <w:rFonts w:ascii="Segoe UI" w:hAnsi="Segoe UI" w:cs="Segoe UI"/>
      <w:sz w:val="18"/>
      <w:szCs w:val="18"/>
    </w:rPr>
  </w:style>
  <w:style w:type="character" w:styleId="Hyperlink">
    <w:name w:val="Hyperlink"/>
    <w:basedOn w:val="DefaultParagraphFont"/>
    <w:uiPriority w:val="99"/>
    <w:unhideWhenUsed/>
    <w:rsid w:val="003550FF"/>
    <w:rPr>
      <w:color w:val="0563C1" w:themeColor="hyperlink"/>
      <w:u w:val="single"/>
    </w:rPr>
  </w:style>
  <w:style w:type="character" w:styleId="UnresolvedMention">
    <w:name w:val="Unresolved Mention"/>
    <w:basedOn w:val="DefaultParagraphFont"/>
    <w:uiPriority w:val="99"/>
    <w:semiHidden/>
    <w:unhideWhenUsed/>
    <w:rsid w:val="003550FF"/>
    <w:rPr>
      <w:color w:val="605E5C"/>
      <w:shd w:val="clear" w:color="auto" w:fill="E1DFDD"/>
    </w:rPr>
  </w:style>
  <w:style w:type="paragraph" w:customStyle="1" w:styleId="List123">
    <w:name w:val="List 1 2 3"/>
    <w:basedOn w:val="Normal"/>
    <w:rsid w:val="00917019"/>
    <w:pPr>
      <w:keepLines/>
      <w:numPr>
        <w:numId w:val="17"/>
      </w:numPr>
      <w:spacing w:before="80" w:after="80" w:line="240" w:lineRule="auto"/>
    </w:pPr>
    <w:rPr>
      <w:rFonts w:ascii="Calibri" w:hAnsi="Calibri" w:cs="Times New Roman"/>
      <w:sz w:val="24"/>
      <w:szCs w:val="24"/>
    </w:rPr>
  </w:style>
  <w:style w:type="paragraph" w:customStyle="1" w:styleId="List123level2">
    <w:name w:val="List 1 2 3 level 2"/>
    <w:basedOn w:val="Normal"/>
    <w:uiPriority w:val="1"/>
    <w:semiHidden/>
    <w:qFormat/>
    <w:rsid w:val="00917019"/>
    <w:pPr>
      <w:keepLines/>
      <w:numPr>
        <w:ilvl w:val="1"/>
        <w:numId w:val="17"/>
      </w:numPr>
      <w:spacing w:before="80" w:after="80" w:line="240" w:lineRule="auto"/>
    </w:pPr>
    <w:rPr>
      <w:rFonts w:ascii="Calibri" w:hAnsi="Calibri" w:cs="Times New Roman"/>
      <w:sz w:val="24"/>
      <w:szCs w:val="24"/>
    </w:rPr>
  </w:style>
  <w:style w:type="paragraph" w:customStyle="1" w:styleId="List123level3">
    <w:name w:val="List 1 2 3 level 3"/>
    <w:basedOn w:val="Normal"/>
    <w:uiPriority w:val="1"/>
    <w:semiHidden/>
    <w:qFormat/>
    <w:rsid w:val="00917019"/>
    <w:pPr>
      <w:keepLines/>
      <w:numPr>
        <w:ilvl w:val="2"/>
        <w:numId w:val="17"/>
      </w:numPr>
      <w:spacing w:before="80" w:after="80" w:line="240" w:lineRule="auto"/>
    </w:pPr>
    <w:rPr>
      <w:rFonts w:ascii="Calibri" w:hAnsi="Calibri" w:cs="Times New Roman"/>
      <w:sz w:val="24"/>
      <w:szCs w:val="24"/>
    </w:rPr>
  </w:style>
  <w:style w:type="character" w:styleId="Strong">
    <w:name w:val="Strong"/>
    <w:uiPriority w:val="22"/>
    <w:qFormat/>
    <w:rsid w:val="00C34ADF"/>
    <w:rPr>
      <w:b/>
      <w:bCs/>
    </w:rPr>
  </w:style>
  <w:style w:type="numbering" w:customStyle="1" w:styleId="Style1">
    <w:name w:val="Style1"/>
    <w:uiPriority w:val="99"/>
    <w:rsid w:val="001C6426"/>
    <w:pPr>
      <w:numPr>
        <w:numId w:val="32"/>
      </w:numPr>
    </w:pPr>
  </w:style>
  <w:style w:type="numbering" w:customStyle="1" w:styleId="Style2">
    <w:name w:val="Style2"/>
    <w:uiPriority w:val="99"/>
    <w:rsid w:val="001C6426"/>
    <w:pPr>
      <w:numPr>
        <w:numId w:val="33"/>
      </w:numPr>
    </w:pPr>
  </w:style>
  <w:style w:type="paragraph" w:styleId="NormalWeb">
    <w:name w:val="Normal (Web)"/>
    <w:basedOn w:val="Normal"/>
    <w:uiPriority w:val="99"/>
    <w:semiHidden/>
    <w:unhideWhenUsed/>
    <w:rsid w:val="000A182B"/>
    <w:pPr>
      <w:spacing w:after="150"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6A4F31"/>
    <w:rPr>
      <w:sz w:val="16"/>
      <w:szCs w:val="16"/>
    </w:rPr>
  </w:style>
  <w:style w:type="paragraph" w:styleId="CommentText">
    <w:name w:val="annotation text"/>
    <w:basedOn w:val="Normal"/>
    <w:link w:val="CommentTextChar"/>
    <w:uiPriority w:val="99"/>
    <w:semiHidden/>
    <w:unhideWhenUsed/>
    <w:rsid w:val="006A4F31"/>
    <w:pPr>
      <w:spacing w:line="240" w:lineRule="auto"/>
    </w:pPr>
    <w:rPr>
      <w:sz w:val="20"/>
      <w:szCs w:val="20"/>
    </w:rPr>
  </w:style>
  <w:style w:type="character" w:customStyle="1" w:styleId="CommentTextChar">
    <w:name w:val="Comment Text Char"/>
    <w:basedOn w:val="DefaultParagraphFont"/>
    <w:link w:val="CommentText"/>
    <w:uiPriority w:val="99"/>
    <w:semiHidden/>
    <w:rsid w:val="006A4F31"/>
    <w:rPr>
      <w:sz w:val="20"/>
      <w:szCs w:val="20"/>
    </w:rPr>
  </w:style>
  <w:style w:type="paragraph" w:styleId="CommentSubject">
    <w:name w:val="annotation subject"/>
    <w:basedOn w:val="CommentText"/>
    <w:next w:val="CommentText"/>
    <w:link w:val="CommentSubjectChar"/>
    <w:uiPriority w:val="99"/>
    <w:semiHidden/>
    <w:unhideWhenUsed/>
    <w:rsid w:val="006A4F31"/>
    <w:rPr>
      <w:b/>
      <w:bCs/>
    </w:rPr>
  </w:style>
  <w:style w:type="character" w:customStyle="1" w:styleId="CommentSubjectChar">
    <w:name w:val="Comment Subject Char"/>
    <w:basedOn w:val="CommentTextChar"/>
    <w:link w:val="CommentSubject"/>
    <w:uiPriority w:val="99"/>
    <w:semiHidden/>
    <w:rsid w:val="006A4F31"/>
    <w:rPr>
      <w:b/>
      <w:bCs/>
      <w:sz w:val="20"/>
      <w:szCs w:val="20"/>
    </w:rPr>
  </w:style>
  <w:style w:type="character" w:customStyle="1" w:styleId="Heading1Char">
    <w:name w:val="Heading 1 Char"/>
    <w:basedOn w:val="DefaultParagraphFont"/>
    <w:link w:val="Heading1"/>
    <w:uiPriority w:val="9"/>
    <w:rsid w:val="00DE3B17"/>
    <w:rPr>
      <w:rFonts w:asciiTheme="majorHAnsi" w:eastAsiaTheme="majorEastAsia" w:hAnsiTheme="majorHAnsi" w:cstheme="majorBidi"/>
      <w:color w:val="2F5496" w:themeColor="accent1" w:themeShade="BF"/>
      <w:sz w:val="32"/>
      <w:szCs w:val="32"/>
    </w:rPr>
  </w:style>
  <w:style w:type="table" w:styleId="PlainTable2">
    <w:name w:val="Plain Table 2"/>
    <w:basedOn w:val="TableNormal"/>
    <w:uiPriority w:val="42"/>
    <w:rsid w:val="00DE3B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50994">
      <w:bodyDiv w:val="1"/>
      <w:marLeft w:val="0"/>
      <w:marRight w:val="0"/>
      <w:marTop w:val="0"/>
      <w:marBottom w:val="0"/>
      <w:divBdr>
        <w:top w:val="none" w:sz="0" w:space="0" w:color="auto"/>
        <w:left w:val="none" w:sz="0" w:space="0" w:color="auto"/>
        <w:bottom w:val="none" w:sz="0" w:space="0" w:color="auto"/>
        <w:right w:val="none" w:sz="0" w:space="0" w:color="auto"/>
      </w:divBdr>
      <w:divsChild>
        <w:div w:id="699277478">
          <w:marLeft w:val="0"/>
          <w:marRight w:val="0"/>
          <w:marTop w:val="0"/>
          <w:marBottom w:val="0"/>
          <w:divBdr>
            <w:top w:val="none" w:sz="0" w:space="0" w:color="auto"/>
            <w:left w:val="none" w:sz="0" w:space="0" w:color="auto"/>
            <w:bottom w:val="none" w:sz="0" w:space="0" w:color="auto"/>
            <w:right w:val="none" w:sz="0" w:space="0" w:color="auto"/>
          </w:divBdr>
          <w:divsChild>
            <w:div w:id="1684089176">
              <w:marLeft w:val="0"/>
              <w:marRight w:val="0"/>
              <w:marTop w:val="0"/>
              <w:marBottom w:val="0"/>
              <w:divBdr>
                <w:top w:val="none" w:sz="0" w:space="0" w:color="auto"/>
                <w:left w:val="none" w:sz="0" w:space="0" w:color="auto"/>
                <w:bottom w:val="none" w:sz="0" w:space="0" w:color="auto"/>
                <w:right w:val="none" w:sz="0" w:space="0" w:color="auto"/>
              </w:divBdr>
              <w:divsChild>
                <w:div w:id="295795540">
                  <w:marLeft w:val="0"/>
                  <w:marRight w:val="0"/>
                  <w:marTop w:val="0"/>
                  <w:marBottom w:val="0"/>
                  <w:divBdr>
                    <w:top w:val="none" w:sz="0" w:space="0" w:color="auto"/>
                    <w:left w:val="none" w:sz="0" w:space="0" w:color="auto"/>
                    <w:bottom w:val="none" w:sz="0" w:space="0" w:color="auto"/>
                    <w:right w:val="none" w:sz="0" w:space="0" w:color="auto"/>
                  </w:divBdr>
                  <w:divsChild>
                    <w:div w:id="1887446226">
                      <w:marLeft w:val="0"/>
                      <w:marRight w:val="0"/>
                      <w:marTop w:val="0"/>
                      <w:marBottom w:val="0"/>
                      <w:divBdr>
                        <w:top w:val="none" w:sz="0" w:space="0" w:color="auto"/>
                        <w:left w:val="none" w:sz="0" w:space="0" w:color="auto"/>
                        <w:bottom w:val="none" w:sz="0" w:space="0" w:color="auto"/>
                        <w:right w:val="none" w:sz="0" w:space="0" w:color="auto"/>
                      </w:divBdr>
                      <w:divsChild>
                        <w:div w:id="319774299">
                          <w:marLeft w:val="0"/>
                          <w:marRight w:val="0"/>
                          <w:marTop w:val="0"/>
                          <w:marBottom w:val="0"/>
                          <w:divBdr>
                            <w:top w:val="none" w:sz="0" w:space="0" w:color="auto"/>
                            <w:left w:val="none" w:sz="0" w:space="0" w:color="auto"/>
                            <w:bottom w:val="none" w:sz="0" w:space="0" w:color="auto"/>
                            <w:right w:val="none" w:sz="0" w:space="0" w:color="auto"/>
                          </w:divBdr>
                          <w:divsChild>
                            <w:div w:id="1452089437">
                              <w:marLeft w:val="-225"/>
                              <w:marRight w:val="-225"/>
                              <w:marTop w:val="0"/>
                              <w:marBottom w:val="0"/>
                              <w:divBdr>
                                <w:top w:val="none" w:sz="0" w:space="0" w:color="auto"/>
                                <w:left w:val="none" w:sz="0" w:space="0" w:color="auto"/>
                                <w:bottom w:val="none" w:sz="0" w:space="0" w:color="auto"/>
                                <w:right w:val="none" w:sz="0" w:space="0" w:color="auto"/>
                              </w:divBdr>
                              <w:divsChild>
                                <w:div w:id="894657141">
                                  <w:marLeft w:val="0"/>
                                  <w:marRight w:val="0"/>
                                  <w:marTop w:val="0"/>
                                  <w:marBottom w:val="0"/>
                                  <w:divBdr>
                                    <w:top w:val="none" w:sz="0" w:space="0" w:color="auto"/>
                                    <w:left w:val="none" w:sz="0" w:space="0" w:color="auto"/>
                                    <w:bottom w:val="none" w:sz="0" w:space="0" w:color="auto"/>
                                    <w:right w:val="none" w:sz="0" w:space="0" w:color="auto"/>
                                  </w:divBdr>
                                  <w:divsChild>
                                    <w:div w:id="1294405878">
                                      <w:marLeft w:val="0"/>
                                      <w:marRight w:val="0"/>
                                      <w:marTop w:val="0"/>
                                      <w:marBottom w:val="0"/>
                                      <w:divBdr>
                                        <w:top w:val="none" w:sz="0" w:space="0" w:color="auto"/>
                                        <w:left w:val="none" w:sz="0" w:space="0" w:color="auto"/>
                                        <w:bottom w:val="none" w:sz="0" w:space="0" w:color="auto"/>
                                        <w:right w:val="none" w:sz="0" w:space="0" w:color="auto"/>
                                      </w:divBdr>
                                      <w:divsChild>
                                        <w:div w:id="45875956">
                                          <w:marLeft w:val="0"/>
                                          <w:marRight w:val="0"/>
                                          <w:marTop w:val="0"/>
                                          <w:marBottom w:val="0"/>
                                          <w:divBdr>
                                            <w:top w:val="none" w:sz="0" w:space="0" w:color="auto"/>
                                            <w:left w:val="none" w:sz="0" w:space="0" w:color="auto"/>
                                            <w:bottom w:val="none" w:sz="0" w:space="0" w:color="auto"/>
                                            <w:right w:val="none" w:sz="0" w:space="0" w:color="auto"/>
                                          </w:divBdr>
                                          <w:divsChild>
                                            <w:div w:id="1069108323">
                                              <w:marLeft w:val="0"/>
                                              <w:marRight w:val="0"/>
                                              <w:marTop w:val="0"/>
                                              <w:marBottom w:val="0"/>
                                              <w:divBdr>
                                                <w:top w:val="none" w:sz="0" w:space="0" w:color="auto"/>
                                                <w:left w:val="none" w:sz="0" w:space="0" w:color="auto"/>
                                                <w:bottom w:val="none" w:sz="0" w:space="0" w:color="auto"/>
                                                <w:right w:val="none" w:sz="0" w:space="0" w:color="auto"/>
                                              </w:divBdr>
                                              <w:divsChild>
                                                <w:div w:id="2145656485">
                                                  <w:marLeft w:val="0"/>
                                                  <w:marRight w:val="0"/>
                                                  <w:marTop w:val="0"/>
                                                  <w:marBottom w:val="0"/>
                                                  <w:divBdr>
                                                    <w:top w:val="none" w:sz="0" w:space="0" w:color="auto"/>
                                                    <w:left w:val="none" w:sz="0" w:space="0" w:color="auto"/>
                                                    <w:bottom w:val="none" w:sz="0" w:space="0" w:color="auto"/>
                                                    <w:right w:val="none" w:sz="0" w:space="0" w:color="auto"/>
                                                  </w:divBdr>
                                                  <w:divsChild>
                                                    <w:div w:id="1203402080">
                                                      <w:marLeft w:val="0"/>
                                                      <w:marRight w:val="0"/>
                                                      <w:marTop w:val="0"/>
                                                      <w:marBottom w:val="300"/>
                                                      <w:divBdr>
                                                        <w:top w:val="none" w:sz="0" w:space="0" w:color="auto"/>
                                                        <w:left w:val="none" w:sz="0" w:space="0" w:color="auto"/>
                                                        <w:bottom w:val="none" w:sz="0" w:space="0" w:color="auto"/>
                                                        <w:right w:val="none" w:sz="0" w:space="0" w:color="auto"/>
                                                      </w:divBdr>
                                                      <w:divsChild>
                                                        <w:div w:id="1806308962">
                                                          <w:marLeft w:val="0"/>
                                                          <w:marRight w:val="0"/>
                                                          <w:marTop w:val="0"/>
                                                          <w:marBottom w:val="0"/>
                                                          <w:divBdr>
                                                            <w:top w:val="none" w:sz="0" w:space="0" w:color="auto"/>
                                                            <w:left w:val="none" w:sz="0" w:space="0" w:color="auto"/>
                                                            <w:bottom w:val="none" w:sz="0" w:space="0" w:color="auto"/>
                                                            <w:right w:val="none" w:sz="0" w:space="0" w:color="auto"/>
                                                          </w:divBdr>
                                                          <w:divsChild>
                                                            <w:div w:id="7561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2733">
      <w:bodyDiv w:val="1"/>
      <w:marLeft w:val="0"/>
      <w:marRight w:val="0"/>
      <w:marTop w:val="0"/>
      <w:marBottom w:val="0"/>
      <w:divBdr>
        <w:top w:val="none" w:sz="0" w:space="0" w:color="auto"/>
        <w:left w:val="none" w:sz="0" w:space="0" w:color="auto"/>
        <w:bottom w:val="none" w:sz="0" w:space="0" w:color="auto"/>
        <w:right w:val="none" w:sz="0" w:space="0" w:color="auto"/>
      </w:divBdr>
      <w:divsChild>
        <w:div w:id="885261783">
          <w:marLeft w:val="0"/>
          <w:marRight w:val="0"/>
          <w:marTop w:val="0"/>
          <w:marBottom w:val="0"/>
          <w:divBdr>
            <w:top w:val="none" w:sz="0" w:space="0" w:color="auto"/>
            <w:left w:val="none" w:sz="0" w:space="0" w:color="auto"/>
            <w:bottom w:val="none" w:sz="0" w:space="0" w:color="auto"/>
            <w:right w:val="none" w:sz="0" w:space="0" w:color="auto"/>
          </w:divBdr>
          <w:divsChild>
            <w:div w:id="941954861">
              <w:marLeft w:val="0"/>
              <w:marRight w:val="0"/>
              <w:marTop w:val="0"/>
              <w:marBottom w:val="0"/>
              <w:divBdr>
                <w:top w:val="none" w:sz="0" w:space="0" w:color="auto"/>
                <w:left w:val="none" w:sz="0" w:space="0" w:color="auto"/>
                <w:bottom w:val="none" w:sz="0" w:space="0" w:color="auto"/>
                <w:right w:val="none" w:sz="0" w:space="0" w:color="auto"/>
              </w:divBdr>
              <w:divsChild>
                <w:div w:id="467355498">
                  <w:marLeft w:val="0"/>
                  <w:marRight w:val="0"/>
                  <w:marTop w:val="0"/>
                  <w:marBottom w:val="0"/>
                  <w:divBdr>
                    <w:top w:val="none" w:sz="0" w:space="0" w:color="auto"/>
                    <w:left w:val="none" w:sz="0" w:space="0" w:color="auto"/>
                    <w:bottom w:val="none" w:sz="0" w:space="0" w:color="auto"/>
                    <w:right w:val="none" w:sz="0" w:space="0" w:color="auto"/>
                  </w:divBdr>
                  <w:divsChild>
                    <w:div w:id="1732339256">
                      <w:marLeft w:val="0"/>
                      <w:marRight w:val="0"/>
                      <w:marTop w:val="0"/>
                      <w:marBottom w:val="0"/>
                      <w:divBdr>
                        <w:top w:val="none" w:sz="0" w:space="0" w:color="auto"/>
                        <w:left w:val="none" w:sz="0" w:space="0" w:color="auto"/>
                        <w:bottom w:val="none" w:sz="0" w:space="0" w:color="auto"/>
                        <w:right w:val="none" w:sz="0" w:space="0" w:color="auto"/>
                      </w:divBdr>
                      <w:divsChild>
                        <w:div w:id="1426269286">
                          <w:marLeft w:val="0"/>
                          <w:marRight w:val="0"/>
                          <w:marTop w:val="0"/>
                          <w:marBottom w:val="0"/>
                          <w:divBdr>
                            <w:top w:val="none" w:sz="0" w:space="0" w:color="auto"/>
                            <w:left w:val="none" w:sz="0" w:space="0" w:color="auto"/>
                            <w:bottom w:val="none" w:sz="0" w:space="0" w:color="auto"/>
                            <w:right w:val="none" w:sz="0" w:space="0" w:color="auto"/>
                          </w:divBdr>
                          <w:divsChild>
                            <w:div w:id="291788738">
                              <w:marLeft w:val="-225"/>
                              <w:marRight w:val="-225"/>
                              <w:marTop w:val="0"/>
                              <w:marBottom w:val="0"/>
                              <w:divBdr>
                                <w:top w:val="none" w:sz="0" w:space="0" w:color="auto"/>
                                <w:left w:val="none" w:sz="0" w:space="0" w:color="auto"/>
                                <w:bottom w:val="none" w:sz="0" w:space="0" w:color="auto"/>
                                <w:right w:val="none" w:sz="0" w:space="0" w:color="auto"/>
                              </w:divBdr>
                              <w:divsChild>
                                <w:div w:id="657226788">
                                  <w:marLeft w:val="0"/>
                                  <w:marRight w:val="0"/>
                                  <w:marTop w:val="0"/>
                                  <w:marBottom w:val="0"/>
                                  <w:divBdr>
                                    <w:top w:val="none" w:sz="0" w:space="0" w:color="auto"/>
                                    <w:left w:val="none" w:sz="0" w:space="0" w:color="auto"/>
                                    <w:bottom w:val="none" w:sz="0" w:space="0" w:color="auto"/>
                                    <w:right w:val="none" w:sz="0" w:space="0" w:color="auto"/>
                                  </w:divBdr>
                                  <w:divsChild>
                                    <w:div w:id="1636180028">
                                      <w:marLeft w:val="0"/>
                                      <w:marRight w:val="0"/>
                                      <w:marTop w:val="0"/>
                                      <w:marBottom w:val="0"/>
                                      <w:divBdr>
                                        <w:top w:val="none" w:sz="0" w:space="0" w:color="auto"/>
                                        <w:left w:val="none" w:sz="0" w:space="0" w:color="auto"/>
                                        <w:bottom w:val="none" w:sz="0" w:space="0" w:color="auto"/>
                                        <w:right w:val="none" w:sz="0" w:space="0" w:color="auto"/>
                                      </w:divBdr>
                                      <w:divsChild>
                                        <w:div w:id="1814638364">
                                          <w:marLeft w:val="0"/>
                                          <w:marRight w:val="0"/>
                                          <w:marTop w:val="0"/>
                                          <w:marBottom w:val="0"/>
                                          <w:divBdr>
                                            <w:top w:val="none" w:sz="0" w:space="0" w:color="auto"/>
                                            <w:left w:val="none" w:sz="0" w:space="0" w:color="auto"/>
                                            <w:bottom w:val="none" w:sz="0" w:space="0" w:color="auto"/>
                                            <w:right w:val="none" w:sz="0" w:space="0" w:color="auto"/>
                                          </w:divBdr>
                                          <w:divsChild>
                                            <w:div w:id="284698810">
                                              <w:marLeft w:val="0"/>
                                              <w:marRight w:val="0"/>
                                              <w:marTop w:val="0"/>
                                              <w:marBottom w:val="0"/>
                                              <w:divBdr>
                                                <w:top w:val="none" w:sz="0" w:space="0" w:color="auto"/>
                                                <w:left w:val="none" w:sz="0" w:space="0" w:color="auto"/>
                                                <w:bottom w:val="none" w:sz="0" w:space="0" w:color="auto"/>
                                                <w:right w:val="none" w:sz="0" w:space="0" w:color="auto"/>
                                              </w:divBdr>
                                              <w:divsChild>
                                                <w:div w:id="1265571351">
                                                  <w:marLeft w:val="0"/>
                                                  <w:marRight w:val="0"/>
                                                  <w:marTop w:val="0"/>
                                                  <w:marBottom w:val="0"/>
                                                  <w:divBdr>
                                                    <w:top w:val="none" w:sz="0" w:space="0" w:color="auto"/>
                                                    <w:left w:val="none" w:sz="0" w:space="0" w:color="auto"/>
                                                    <w:bottom w:val="none" w:sz="0" w:space="0" w:color="auto"/>
                                                    <w:right w:val="none" w:sz="0" w:space="0" w:color="auto"/>
                                                  </w:divBdr>
                                                  <w:divsChild>
                                                    <w:div w:id="103960613">
                                                      <w:marLeft w:val="0"/>
                                                      <w:marRight w:val="0"/>
                                                      <w:marTop w:val="0"/>
                                                      <w:marBottom w:val="300"/>
                                                      <w:divBdr>
                                                        <w:top w:val="none" w:sz="0" w:space="0" w:color="auto"/>
                                                        <w:left w:val="none" w:sz="0" w:space="0" w:color="auto"/>
                                                        <w:bottom w:val="none" w:sz="0" w:space="0" w:color="auto"/>
                                                        <w:right w:val="none" w:sz="0" w:space="0" w:color="auto"/>
                                                      </w:divBdr>
                                                      <w:divsChild>
                                                        <w:div w:id="240717348">
                                                          <w:marLeft w:val="0"/>
                                                          <w:marRight w:val="0"/>
                                                          <w:marTop w:val="0"/>
                                                          <w:marBottom w:val="0"/>
                                                          <w:divBdr>
                                                            <w:top w:val="none" w:sz="0" w:space="0" w:color="auto"/>
                                                            <w:left w:val="none" w:sz="0" w:space="0" w:color="auto"/>
                                                            <w:bottom w:val="none" w:sz="0" w:space="0" w:color="auto"/>
                                                            <w:right w:val="none" w:sz="0" w:space="0" w:color="auto"/>
                                                          </w:divBdr>
                                                          <w:divsChild>
                                                            <w:div w:id="21385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8458954">
      <w:bodyDiv w:val="1"/>
      <w:marLeft w:val="0"/>
      <w:marRight w:val="0"/>
      <w:marTop w:val="0"/>
      <w:marBottom w:val="0"/>
      <w:divBdr>
        <w:top w:val="none" w:sz="0" w:space="0" w:color="auto"/>
        <w:left w:val="none" w:sz="0" w:space="0" w:color="auto"/>
        <w:bottom w:val="none" w:sz="0" w:space="0" w:color="auto"/>
        <w:right w:val="none" w:sz="0" w:space="0" w:color="auto"/>
      </w:divBdr>
      <w:divsChild>
        <w:div w:id="1195078435">
          <w:marLeft w:val="0"/>
          <w:marRight w:val="0"/>
          <w:marTop w:val="0"/>
          <w:marBottom w:val="0"/>
          <w:divBdr>
            <w:top w:val="none" w:sz="0" w:space="0" w:color="auto"/>
            <w:left w:val="none" w:sz="0" w:space="0" w:color="auto"/>
            <w:bottom w:val="none" w:sz="0" w:space="0" w:color="auto"/>
            <w:right w:val="none" w:sz="0" w:space="0" w:color="auto"/>
          </w:divBdr>
        </w:div>
      </w:divsChild>
    </w:div>
    <w:div w:id="21419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hildabusecommiss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55f734f0-82e3-448f-9814-59383e674136">
      <Terms xmlns="http://schemas.microsoft.com/office/infopath/2007/PartnerControls"/>
    </TaxKeywordTaxHTField>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a465409791e42468d5f7b47ae50468d>
    <DIANotes xmlns="55f734f0-82e3-448f-9814-59383e674136" xsi:nil="true"/>
    <TaxCatchAll xmlns="55f734f0-82e3-448f-9814-59383e674136">
      <Value>1</Value>
    </TaxCatchAll>
    <_dlc_DocId xmlns="55f734f0-82e3-448f-9814-59383e674136">ADXRF2XRTYKY-1376174245-318</_dlc_DocId>
    <_dlc_DocIdUrl xmlns="55f734f0-82e3-448f-9814-59383e674136">
      <Url>https://dia.cohesion.net.nz/Sites/INQ/IVC/POI/_layouts/15/DocIdRedir.aspx?ID=ADXRF2XRTYKY-1376174245-318</Url>
      <Description>ADXRF2XRTYKY-1376174245-318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Research Document DIA" ma:contentTypeID="0x0101005496552013C0BA46BE88192D5C6EB20B0001F7E8F5A9628C408C9930ABDBBA2B5F00B67F1CA08127534CA4DE12D60B3CECA5" ma:contentTypeVersion="4" ma:contentTypeDescription="Use for content related to a research activity that has no other appropriate content type" ma:contentTypeScope="" ma:versionID="3f9f1162dfed1ac6327940bd0907be8b">
  <xsd:schema xmlns:xsd="http://www.w3.org/2001/XMLSchema" xmlns:xs="http://www.w3.org/2001/XMLSchema" xmlns:p="http://schemas.microsoft.com/office/2006/metadata/properties" xmlns:ns3="01be4277-2979-4a68-876d-b92b25fceece" xmlns:ns4="55f734f0-82e3-448f-9814-59383e674136" targetNamespace="http://schemas.microsoft.com/office/2006/metadata/properties" ma:root="true" ma:fieldsID="9e7a1fb51f871608d14b6c7b4b22b53a" ns3:_="" ns4:_="">
    <xsd:import namespace="01be4277-2979-4a68-876d-b92b25fceece"/>
    <xsd:import namespace="55f734f0-82e3-448f-9814-59383e67413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a465409791e42468d5f7b47ae50468d"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287d4834-4106-4dbb-adbb-8b589db20a36" ma:anchorId="26ac17fe-ebd2-49be-8f69-8d1f5ffa0bec"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146d232-1ab3-4333-8b28-2ebadb760fd0}" ma:internalName="TaxCatchAll" ma:showField="CatchAllData"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46d232-1ab3-4333-8b28-2ebadb760fd0}" ma:internalName="TaxCatchAllLabel" ma:readOnly="true" ma:showField="CatchAllDataLabel"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la465409791e42468d5f7b47ae50468d" ma:index="14"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6BF9-14CD-4F12-8236-E1CFE26B71EB}">
  <ds:schemaRefs>
    <ds:schemaRef ds:uri="http://schemas.microsoft.com/office/2006/metadata/properties"/>
    <ds:schemaRef ds:uri="http://schemas.microsoft.com/office/infopath/2007/PartnerControls"/>
    <ds:schemaRef ds:uri="01be4277-2979-4a68-876d-b92b25fceece"/>
    <ds:schemaRef ds:uri="55f734f0-82e3-448f-9814-59383e674136"/>
  </ds:schemaRefs>
</ds:datastoreItem>
</file>

<file path=customXml/itemProps2.xml><?xml version="1.0" encoding="utf-8"?>
<ds:datastoreItem xmlns:ds="http://schemas.openxmlformats.org/officeDocument/2006/customXml" ds:itemID="{ECBB7ADE-E609-4D0F-852A-8498646A9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1782EF-52FC-4C8A-B1E0-AF0B4BC3161E}">
  <ds:schemaRefs>
    <ds:schemaRef ds:uri="http://schemas.microsoft.com/sharepoint/events"/>
  </ds:schemaRefs>
</ds:datastoreItem>
</file>

<file path=customXml/itemProps4.xml><?xml version="1.0" encoding="utf-8"?>
<ds:datastoreItem xmlns:ds="http://schemas.openxmlformats.org/officeDocument/2006/customXml" ds:itemID="{43771D86-DEA0-4804-AD9C-24326AC3E676}">
  <ds:schemaRefs>
    <ds:schemaRef ds:uri="http://schemas.microsoft.com/sharepoint/v3/contenttype/forms"/>
  </ds:schemaRefs>
</ds:datastoreItem>
</file>

<file path=customXml/itemProps5.xml><?xml version="1.0" encoding="utf-8"?>
<ds:datastoreItem xmlns:ds="http://schemas.openxmlformats.org/officeDocument/2006/customXml" ds:itemID="{9C94E746-DD3D-4431-8861-51C36A2E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27</Pages>
  <Words>6925</Words>
  <Characters>39473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Janes</dc:creator>
  <cp:keywords/>
  <dc:description/>
  <cp:lastModifiedBy>Hanne Janes</cp:lastModifiedBy>
  <cp:revision>19</cp:revision>
  <dcterms:created xsi:type="dcterms:W3CDTF">2019-12-12T02:11:00Z</dcterms:created>
  <dcterms:modified xsi:type="dcterms:W3CDTF">2019-12-16T22:50:00Z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0x0101005496552013C0BA46BE88192D5C6EB20B0001F7E8F5A9628C408C9930ABDBBA2B5F00B67F1CA08127534CA4DE12D60B3CECA5</vt:lpwstr>
  </property>
  <property fmtid="{D5CDD505-2E9C-101B-9397-08002B2CF9AE}" pid="3" name="TaxKeyword">
    <vt:lpwstr/>
  </property>
  <property fmtid="{D5CDD505-2E9C-101B-9397-08002B2CF9AE}" pid="4" name="C3Topic">
    <vt:lpwstr/>
  </property>
  <property fmtid="{D5CDD505-2E9C-101B-9397-08002B2CF9AE}" pid="5" name="DIASecurityClassification">
    <vt:lpwstr>1;#UNCLASSIFIED|875d92a8-67e2-4a32-9472-8fe99549e1eb</vt:lpwstr>
  </property>
  <property fmtid="{D5CDD505-2E9C-101B-9397-08002B2CF9AE}" pid="6" name="_dlc_DocIdItemGuid">
    <vt:lpwstr>ed06e738-9e61-4a11-8e2b-44accb4747d9</vt:lpwstr>
  </property>
</Properties>
</file>