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11D7" w14:textId="423B2204" w:rsidR="00010D54" w:rsidRDefault="00010D54" w:rsidP="00010D54">
      <w:pPr>
        <w:ind w:left="567"/>
        <w:rPr>
          <w:b/>
          <w:bCs/>
        </w:rPr>
      </w:pPr>
      <w:r>
        <w:rPr>
          <w:b/>
          <w:bCs/>
          <w:noProof/>
        </w:rPr>
        <w:drawing>
          <wp:inline distT="0" distB="0" distL="0" distR="0" wp14:anchorId="7194D382" wp14:editId="499582C4">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2686298E" w14:textId="4D85346B" w:rsidR="00010D54" w:rsidRDefault="00010D54" w:rsidP="00010D54">
      <w:pPr>
        <w:ind w:left="567"/>
        <w:rPr>
          <w:b/>
          <w:bCs/>
        </w:rPr>
      </w:pPr>
    </w:p>
    <w:p w14:paraId="62A97D7E" w14:textId="248151AB" w:rsidR="00010D54" w:rsidRDefault="00010D54" w:rsidP="00010D54">
      <w:pPr>
        <w:ind w:left="567"/>
        <w:rPr>
          <w:b/>
          <w:bCs/>
        </w:rPr>
      </w:pPr>
      <w:r>
        <w:rPr>
          <w:b/>
          <w:bCs/>
        </w:rPr>
        <w:t>_____________________________________________________________________________</w:t>
      </w:r>
    </w:p>
    <w:p w14:paraId="67A8B06D" w14:textId="77777777" w:rsidR="00010D54" w:rsidRDefault="00010D54" w:rsidP="00010D54">
      <w:pPr>
        <w:ind w:left="567"/>
        <w:rPr>
          <w:b/>
          <w:bCs/>
        </w:rPr>
      </w:pPr>
    </w:p>
    <w:p w14:paraId="26CBA1FE" w14:textId="71176371" w:rsidR="005C409F" w:rsidRDefault="0083618B" w:rsidP="00010D54">
      <w:pPr>
        <w:ind w:left="567"/>
        <w:jc w:val="center"/>
        <w:rPr>
          <w:rFonts w:ascii="Arial" w:hAnsi="Arial" w:cs="Arial"/>
          <w:b/>
          <w:bCs/>
          <w:sz w:val="24"/>
          <w:szCs w:val="24"/>
        </w:rPr>
      </w:pPr>
      <w:r>
        <w:rPr>
          <w:rFonts w:ascii="Arial" w:hAnsi="Arial" w:cs="Arial"/>
          <w:b/>
          <w:bCs/>
          <w:sz w:val="24"/>
          <w:szCs w:val="24"/>
        </w:rPr>
        <w:t xml:space="preserve">PUBLIC </w:t>
      </w:r>
      <w:r w:rsidR="00010D54" w:rsidRPr="0083618B">
        <w:rPr>
          <w:rFonts w:ascii="Arial" w:hAnsi="Arial" w:cs="Arial"/>
          <w:b/>
          <w:bCs/>
          <w:sz w:val="24"/>
          <w:szCs w:val="24"/>
        </w:rPr>
        <w:t xml:space="preserve">HEARING </w:t>
      </w:r>
      <w:r>
        <w:rPr>
          <w:rFonts w:ascii="Arial" w:hAnsi="Arial" w:cs="Arial"/>
          <w:b/>
          <w:bCs/>
          <w:sz w:val="24"/>
          <w:szCs w:val="24"/>
        </w:rPr>
        <w:t>– MARCH 2020</w:t>
      </w:r>
      <w:r w:rsidR="005C409F">
        <w:rPr>
          <w:rFonts w:ascii="Arial" w:hAnsi="Arial" w:cs="Arial"/>
          <w:b/>
          <w:bCs/>
          <w:sz w:val="24"/>
          <w:szCs w:val="24"/>
        </w:rPr>
        <w:t xml:space="preserve"> </w:t>
      </w:r>
    </w:p>
    <w:p w14:paraId="1EA576A2" w14:textId="77777777" w:rsidR="009C1658" w:rsidRDefault="009C1658" w:rsidP="009C1658">
      <w:pPr>
        <w:spacing w:line="360" w:lineRule="auto"/>
        <w:ind w:left="567"/>
        <w:jc w:val="center"/>
        <w:rPr>
          <w:rFonts w:ascii="Arial" w:hAnsi="Arial" w:cs="Arial"/>
          <w:b/>
          <w:bCs/>
          <w:sz w:val="24"/>
          <w:szCs w:val="24"/>
        </w:rPr>
      </w:pPr>
    </w:p>
    <w:p w14:paraId="386E149D" w14:textId="2E7A2335" w:rsidR="009C1658" w:rsidRPr="00245866" w:rsidRDefault="009C1658" w:rsidP="009C1658">
      <w:pPr>
        <w:spacing w:line="360" w:lineRule="auto"/>
        <w:ind w:left="567"/>
        <w:jc w:val="center"/>
        <w:rPr>
          <w:rFonts w:ascii="Arial" w:hAnsi="Arial" w:cs="Arial"/>
          <w:b/>
          <w:bCs/>
          <w:sz w:val="24"/>
          <w:szCs w:val="24"/>
        </w:rPr>
      </w:pPr>
      <w:r w:rsidRPr="00245866">
        <w:rPr>
          <w:rFonts w:ascii="Arial" w:hAnsi="Arial" w:cs="Arial"/>
          <w:b/>
          <w:bCs/>
          <w:sz w:val="24"/>
          <w:szCs w:val="24"/>
        </w:rPr>
        <w:t xml:space="preserve">CIVIL CLAIMS AND CIVIL LITIGATION REDRESS PROCESSES RELATING TO ABUSE IN STATE CARE </w:t>
      </w:r>
    </w:p>
    <w:p w14:paraId="0C69755C" w14:textId="77777777" w:rsidR="005C409F" w:rsidRDefault="005C409F" w:rsidP="005C409F">
      <w:pPr>
        <w:pBdr>
          <w:bottom w:val="single" w:sz="12" w:space="1" w:color="auto"/>
        </w:pBdr>
        <w:ind w:left="567"/>
        <w:jc w:val="center"/>
        <w:rPr>
          <w:b/>
          <w:bCs/>
        </w:rPr>
      </w:pPr>
    </w:p>
    <w:p w14:paraId="44C7F222" w14:textId="77777777" w:rsidR="005C409F" w:rsidRDefault="005C409F" w:rsidP="005C409F">
      <w:pPr>
        <w:ind w:left="567"/>
        <w:rPr>
          <w:b/>
          <w:bCs/>
        </w:rPr>
      </w:pPr>
    </w:p>
    <w:p w14:paraId="2F91EAC2" w14:textId="0BE7E747" w:rsidR="005C409F" w:rsidRDefault="005C409F" w:rsidP="00010D54">
      <w:pPr>
        <w:ind w:left="567"/>
        <w:jc w:val="center"/>
        <w:rPr>
          <w:rFonts w:ascii="Arial" w:hAnsi="Arial" w:cs="Arial"/>
          <w:b/>
          <w:bCs/>
          <w:sz w:val="24"/>
          <w:szCs w:val="24"/>
        </w:rPr>
      </w:pPr>
    </w:p>
    <w:p w14:paraId="5AA03741" w14:textId="4F7495C0" w:rsidR="005C409F" w:rsidRDefault="005C409F" w:rsidP="00010D54">
      <w:pPr>
        <w:ind w:left="567"/>
        <w:jc w:val="center"/>
        <w:rPr>
          <w:rFonts w:ascii="Arial" w:hAnsi="Arial" w:cs="Arial"/>
          <w:b/>
          <w:bCs/>
          <w:sz w:val="24"/>
          <w:szCs w:val="24"/>
        </w:rPr>
      </w:pPr>
    </w:p>
    <w:p w14:paraId="166F9B47" w14:textId="5E788D56" w:rsid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BRIEFING PAPER</w:t>
      </w:r>
      <w:r>
        <w:rPr>
          <w:rFonts w:ascii="Arial" w:hAnsi="Arial" w:cs="Arial"/>
          <w:b/>
          <w:bCs/>
          <w:sz w:val="24"/>
          <w:szCs w:val="24"/>
        </w:rPr>
        <w:t>:</w:t>
      </w:r>
    </w:p>
    <w:p w14:paraId="4796B35E" w14:textId="77777777" w:rsidR="005C409F" w:rsidRDefault="005C409F" w:rsidP="005C409F">
      <w:pPr>
        <w:pStyle w:val="NoSpacing"/>
        <w:jc w:val="center"/>
        <w:rPr>
          <w:rFonts w:ascii="Arial" w:hAnsi="Arial" w:cs="Arial"/>
          <w:b/>
          <w:bCs/>
          <w:sz w:val="24"/>
          <w:szCs w:val="24"/>
        </w:rPr>
      </w:pPr>
    </w:p>
    <w:p w14:paraId="5ACFE12A" w14:textId="77777777" w:rsidR="008F6DD7" w:rsidRDefault="00025B01" w:rsidP="005C409F">
      <w:pPr>
        <w:pStyle w:val="NoSpacing"/>
        <w:jc w:val="center"/>
        <w:rPr>
          <w:rFonts w:ascii="Arial" w:hAnsi="Arial" w:cs="Arial"/>
          <w:b/>
          <w:bCs/>
          <w:sz w:val="24"/>
          <w:szCs w:val="24"/>
        </w:rPr>
      </w:pPr>
      <w:r>
        <w:rPr>
          <w:rFonts w:ascii="Arial" w:hAnsi="Arial" w:cs="Arial"/>
          <w:b/>
          <w:bCs/>
          <w:sz w:val="24"/>
          <w:szCs w:val="24"/>
        </w:rPr>
        <w:t xml:space="preserve">LEGAL FRAMEWORKS APPLYING TO LITIGATION OF </w:t>
      </w:r>
    </w:p>
    <w:p w14:paraId="71918FA2" w14:textId="2AECD5B9" w:rsidR="005C409F" w:rsidRPr="005C409F" w:rsidRDefault="00025B01" w:rsidP="005C409F">
      <w:pPr>
        <w:pStyle w:val="NoSpacing"/>
        <w:jc w:val="center"/>
        <w:rPr>
          <w:rFonts w:ascii="Arial" w:hAnsi="Arial" w:cs="Arial"/>
          <w:b/>
          <w:bCs/>
          <w:sz w:val="24"/>
          <w:szCs w:val="24"/>
        </w:rPr>
      </w:pPr>
      <w:r>
        <w:rPr>
          <w:rFonts w:ascii="Arial" w:hAnsi="Arial" w:cs="Arial"/>
          <w:b/>
          <w:bCs/>
          <w:sz w:val="24"/>
          <w:szCs w:val="24"/>
        </w:rPr>
        <w:t>CIVIL CLAIMS OF ABUSE IN CARE</w:t>
      </w:r>
    </w:p>
    <w:p w14:paraId="46A1B81F" w14:textId="77777777" w:rsidR="005C409F" w:rsidRPr="005C409F" w:rsidRDefault="005C409F" w:rsidP="00010D54">
      <w:pPr>
        <w:ind w:left="567"/>
        <w:jc w:val="center"/>
        <w:rPr>
          <w:rFonts w:ascii="Arial" w:hAnsi="Arial" w:cs="Arial"/>
          <w:sz w:val="24"/>
          <w:szCs w:val="24"/>
        </w:rPr>
      </w:pPr>
    </w:p>
    <w:p w14:paraId="0818C171" w14:textId="38C1B929" w:rsidR="00010D54" w:rsidRDefault="00010D54" w:rsidP="00010D54">
      <w:pPr>
        <w:ind w:left="567"/>
        <w:rPr>
          <w:b/>
          <w:bCs/>
        </w:rPr>
      </w:pPr>
    </w:p>
    <w:p w14:paraId="7AE91AB4" w14:textId="586E7E68" w:rsidR="00010D54" w:rsidRDefault="00010D54">
      <w:pPr>
        <w:rPr>
          <w:b/>
          <w:bCs/>
        </w:rPr>
      </w:pPr>
      <w:r>
        <w:rPr>
          <w:b/>
          <w:bCs/>
        </w:rPr>
        <w:br w:type="page"/>
      </w:r>
    </w:p>
    <w:p w14:paraId="04316B5B" w14:textId="5BFBFC6D" w:rsidR="00573B27" w:rsidRPr="00F45838" w:rsidRDefault="00573B27" w:rsidP="009E21DE">
      <w:pPr>
        <w:pStyle w:val="NoSpacing"/>
        <w:spacing w:line="360" w:lineRule="auto"/>
        <w:ind w:left="567"/>
        <w:rPr>
          <w:rFonts w:ascii="Arial" w:hAnsi="Arial" w:cs="Arial"/>
          <w:b/>
          <w:bCs/>
          <w:sz w:val="24"/>
          <w:szCs w:val="24"/>
        </w:rPr>
      </w:pPr>
      <w:r>
        <w:rPr>
          <w:rFonts w:ascii="Arial" w:hAnsi="Arial" w:cs="Arial"/>
          <w:b/>
          <w:bCs/>
          <w:sz w:val="24"/>
          <w:szCs w:val="24"/>
        </w:rPr>
        <w:lastRenderedPageBreak/>
        <w:t>INTRODUCTION</w:t>
      </w:r>
    </w:p>
    <w:p w14:paraId="7A64C1DE" w14:textId="77777777" w:rsidR="00573B27" w:rsidRDefault="00573B27" w:rsidP="009E21DE">
      <w:pPr>
        <w:pStyle w:val="NoSpacing"/>
        <w:spacing w:line="360" w:lineRule="auto"/>
        <w:ind w:left="567"/>
        <w:rPr>
          <w:rFonts w:ascii="Arial" w:hAnsi="Arial" w:cs="Arial"/>
          <w:sz w:val="24"/>
          <w:szCs w:val="24"/>
        </w:rPr>
      </w:pPr>
    </w:p>
    <w:p w14:paraId="2277BCC2" w14:textId="77777777" w:rsidR="00573B27" w:rsidRDefault="00573B27" w:rsidP="00573B27">
      <w:pPr>
        <w:pStyle w:val="NoSpacing"/>
        <w:spacing w:line="360" w:lineRule="auto"/>
        <w:ind w:left="567"/>
        <w:rPr>
          <w:rFonts w:ascii="Arial" w:hAnsi="Arial" w:cs="Arial"/>
          <w:sz w:val="24"/>
          <w:szCs w:val="24"/>
        </w:rPr>
      </w:pPr>
      <w:r>
        <w:rPr>
          <w:rFonts w:ascii="Arial" w:hAnsi="Arial" w:cs="Arial"/>
          <w:sz w:val="24"/>
          <w:szCs w:val="24"/>
        </w:rPr>
        <w:t xml:space="preserve">This briefing paper </w:t>
      </w:r>
      <w:r w:rsidRPr="00245866">
        <w:rPr>
          <w:rFonts w:ascii="Arial" w:hAnsi="Arial" w:cs="Arial"/>
          <w:sz w:val="24"/>
          <w:szCs w:val="24"/>
        </w:rPr>
        <w:t>has been produced to provide context or other information that may be relevant to the public hearing into civil claims and civil litigation redress processes relating to abuse in State care to be held in March 2020.</w:t>
      </w:r>
    </w:p>
    <w:p w14:paraId="66913218" w14:textId="77777777" w:rsidR="00573B27" w:rsidRDefault="00573B27" w:rsidP="00573B27">
      <w:pPr>
        <w:pStyle w:val="NoSpacing"/>
        <w:spacing w:line="360" w:lineRule="auto"/>
        <w:ind w:left="567"/>
        <w:rPr>
          <w:rFonts w:ascii="Arial" w:hAnsi="Arial" w:cs="Arial"/>
          <w:sz w:val="24"/>
          <w:szCs w:val="24"/>
        </w:rPr>
      </w:pPr>
    </w:p>
    <w:p w14:paraId="27FF68ED" w14:textId="741DD7AC" w:rsidR="001A4C9A" w:rsidRPr="00867948" w:rsidRDefault="003D33BE" w:rsidP="009E21DE">
      <w:pPr>
        <w:pStyle w:val="NoSpacing"/>
        <w:spacing w:line="360" w:lineRule="auto"/>
        <w:ind w:left="567"/>
        <w:rPr>
          <w:rFonts w:ascii="Arial" w:hAnsi="Arial" w:cs="Arial"/>
          <w:sz w:val="24"/>
          <w:szCs w:val="24"/>
        </w:rPr>
      </w:pPr>
      <w:r>
        <w:rPr>
          <w:rFonts w:ascii="Arial" w:hAnsi="Arial" w:cs="Arial"/>
          <w:sz w:val="24"/>
          <w:szCs w:val="24"/>
        </w:rPr>
        <w:t xml:space="preserve">It </w:t>
      </w:r>
      <w:r w:rsidR="009C60B9" w:rsidRPr="00867948">
        <w:rPr>
          <w:rFonts w:ascii="Arial" w:hAnsi="Arial" w:cs="Arial"/>
          <w:sz w:val="24"/>
          <w:szCs w:val="24"/>
        </w:rPr>
        <w:t xml:space="preserve">outlines </w:t>
      </w:r>
      <w:r w:rsidR="00323083" w:rsidRPr="00867948">
        <w:rPr>
          <w:rFonts w:ascii="Arial" w:hAnsi="Arial" w:cs="Arial"/>
          <w:sz w:val="24"/>
          <w:szCs w:val="24"/>
        </w:rPr>
        <w:t xml:space="preserve">some key </w:t>
      </w:r>
      <w:r w:rsidR="00FB3795" w:rsidRPr="00867948">
        <w:rPr>
          <w:rFonts w:ascii="Arial" w:hAnsi="Arial" w:cs="Arial"/>
          <w:sz w:val="24"/>
          <w:szCs w:val="24"/>
        </w:rPr>
        <w:t xml:space="preserve">areas that have been in issue in </w:t>
      </w:r>
      <w:r w:rsidR="003B0F28" w:rsidRPr="00867948">
        <w:rPr>
          <w:rFonts w:ascii="Arial" w:hAnsi="Arial" w:cs="Arial"/>
          <w:sz w:val="24"/>
          <w:szCs w:val="24"/>
        </w:rPr>
        <w:t xml:space="preserve">claims </w:t>
      </w:r>
      <w:r w:rsidR="007B3423" w:rsidRPr="00867948">
        <w:rPr>
          <w:rFonts w:ascii="Arial" w:hAnsi="Arial" w:cs="Arial"/>
          <w:sz w:val="24"/>
          <w:szCs w:val="24"/>
        </w:rPr>
        <w:t xml:space="preserve">against the State </w:t>
      </w:r>
      <w:r w:rsidR="004C02D8" w:rsidRPr="00867948">
        <w:rPr>
          <w:rFonts w:ascii="Arial" w:hAnsi="Arial" w:cs="Arial"/>
          <w:sz w:val="24"/>
          <w:szCs w:val="24"/>
        </w:rPr>
        <w:t xml:space="preserve">for redress for </w:t>
      </w:r>
      <w:r w:rsidR="009C60B9" w:rsidRPr="00867948">
        <w:rPr>
          <w:rFonts w:ascii="Arial" w:hAnsi="Arial" w:cs="Arial"/>
          <w:sz w:val="24"/>
          <w:szCs w:val="24"/>
        </w:rPr>
        <w:t xml:space="preserve">abuse in </w:t>
      </w:r>
      <w:r w:rsidR="003B0F28" w:rsidRPr="00867948">
        <w:rPr>
          <w:rFonts w:ascii="Arial" w:hAnsi="Arial" w:cs="Arial"/>
          <w:sz w:val="24"/>
          <w:szCs w:val="24"/>
        </w:rPr>
        <w:t>S</w:t>
      </w:r>
      <w:r w:rsidR="009C60B9" w:rsidRPr="00867948">
        <w:rPr>
          <w:rFonts w:ascii="Arial" w:hAnsi="Arial" w:cs="Arial"/>
          <w:sz w:val="24"/>
          <w:szCs w:val="24"/>
        </w:rPr>
        <w:t>tate care</w:t>
      </w:r>
      <w:r w:rsidR="00323083" w:rsidRPr="00867948">
        <w:rPr>
          <w:rFonts w:ascii="Arial" w:hAnsi="Arial" w:cs="Arial"/>
          <w:sz w:val="24"/>
          <w:szCs w:val="24"/>
        </w:rPr>
        <w:t xml:space="preserve">, and </w:t>
      </w:r>
      <w:r w:rsidR="0007376C" w:rsidRPr="00867948">
        <w:rPr>
          <w:rFonts w:ascii="Arial" w:hAnsi="Arial" w:cs="Arial"/>
          <w:sz w:val="24"/>
          <w:szCs w:val="24"/>
        </w:rPr>
        <w:t>develop</w:t>
      </w:r>
      <w:r w:rsidR="00B81BB3" w:rsidRPr="00867948">
        <w:rPr>
          <w:rFonts w:ascii="Arial" w:hAnsi="Arial" w:cs="Arial"/>
          <w:sz w:val="24"/>
          <w:szCs w:val="24"/>
        </w:rPr>
        <w:t>ments in these areas</w:t>
      </w:r>
      <w:r w:rsidR="0007376C" w:rsidRPr="00867948">
        <w:rPr>
          <w:rFonts w:ascii="Arial" w:hAnsi="Arial" w:cs="Arial"/>
          <w:sz w:val="24"/>
          <w:szCs w:val="24"/>
        </w:rPr>
        <w:t>.</w:t>
      </w:r>
      <w:r w:rsidR="009C60B9" w:rsidRPr="00867948">
        <w:rPr>
          <w:rFonts w:ascii="Arial" w:hAnsi="Arial" w:cs="Arial"/>
          <w:sz w:val="24"/>
          <w:szCs w:val="24"/>
        </w:rPr>
        <w:t xml:space="preserve"> </w:t>
      </w:r>
      <w:r w:rsidR="00670923" w:rsidRPr="00867948">
        <w:rPr>
          <w:rFonts w:ascii="Arial" w:hAnsi="Arial" w:cs="Arial"/>
          <w:sz w:val="24"/>
          <w:szCs w:val="24"/>
        </w:rPr>
        <w:t xml:space="preserve"> </w:t>
      </w:r>
    </w:p>
    <w:p w14:paraId="482FD656" w14:textId="77777777" w:rsidR="00867948" w:rsidRDefault="00867948" w:rsidP="009E21DE">
      <w:pPr>
        <w:pStyle w:val="NoSpacing"/>
        <w:spacing w:line="360" w:lineRule="auto"/>
        <w:ind w:left="567"/>
        <w:rPr>
          <w:rFonts w:ascii="Arial" w:hAnsi="Arial" w:cs="Arial"/>
          <w:sz w:val="24"/>
          <w:szCs w:val="24"/>
        </w:rPr>
      </w:pPr>
    </w:p>
    <w:p w14:paraId="3A252B09" w14:textId="29BC4F71" w:rsidR="00C013B3" w:rsidRPr="00867948" w:rsidRDefault="002573E2" w:rsidP="009E21DE">
      <w:pPr>
        <w:pStyle w:val="NoSpacing"/>
        <w:spacing w:line="360" w:lineRule="auto"/>
        <w:ind w:left="567"/>
        <w:rPr>
          <w:rFonts w:ascii="Arial" w:hAnsi="Arial" w:cs="Arial"/>
          <w:sz w:val="24"/>
          <w:szCs w:val="24"/>
        </w:rPr>
      </w:pPr>
      <w:r w:rsidRPr="00867948">
        <w:rPr>
          <w:rFonts w:ascii="Arial" w:hAnsi="Arial" w:cs="Arial"/>
          <w:sz w:val="24"/>
          <w:szCs w:val="24"/>
        </w:rPr>
        <w:t xml:space="preserve">It does not </w:t>
      </w:r>
      <w:r w:rsidR="007D7DA5" w:rsidRPr="00867948">
        <w:rPr>
          <w:rFonts w:ascii="Arial" w:hAnsi="Arial" w:cs="Arial"/>
          <w:sz w:val="24"/>
          <w:szCs w:val="24"/>
        </w:rPr>
        <w:t xml:space="preserve">cover </w:t>
      </w:r>
      <w:r w:rsidRPr="00867948">
        <w:rPr>
          <w:rFonts w:ascii="Arial" w:hAnsi="Arial" w:cs="Arial"/>
          <w:sz w:val="24"/>
          <w:szCs w:val="24"/>
        </w:rPr>
        <w:t xml:space="preserve">the legislative framework providing for state care, but rather the legislative and other limitations </w:t>
      </w:r>
      <w:r w:rsidR="000C24F8" w:rsidRPr="00867948">
        <w:rPr>
          <w:rFonts w:ascii="Arial" w:hAnsi="Arial" w:cs="Arial"/>
          <w:sz w:val="24"/>
          <w:szCs w:val="24"/>
        </w:rPr>
        <w:t xml:space="preserve">on </w:t>
      </w:r>
      <w:r w:rsidRPr="00867948">
        <w:rPr>
          <w:rFonts w:ascii="Arial" w:hAnsi="Arial" w:cs="Arial"/>
          <w:sz w:val="24"/>
          <w:szCs w:val="24"/>
        </w:rPr>
        <w:t xml:space="preserve">making claims </w:t>
      </w:r>
      <w:r w:rsidR="006C7142" w:rsidRPr="00867948">
        <w:rPr>
          <w:rFonts w:ascii="Arial" w:hAnsi="Arial" w:cs="Arial"/>
          <w:sz w:val="24"/>
          <w:szCs w:val="24"/>
        </w:rPr>
        <w:t xml:space="preserve">in the courts </w:t>
      </w:r>
      <w:r w:rsidRPr="00867948">
        <w:rPr>
          <w:rFonts w:ascii="Arial" w:hAnsi="Arial" w:cs="Arial"/>
          <w:sz w:val="24"/>
          <w:szCs w:val="24"/>
        </w:rPr>
        <w:t xml:space="preserve">for redress. </w:t>
      </w:r>
      <w:r w:rsidR="00C013B3">
        <w:rPr>
          <w:rFonts w:ascii="Arial" w:hAnsi="Arial" w:cs="Arial"/>
          <w:sz w:val="24"/>
          <w:szCs w:val="24"/>
        </w:rPr>
        <w:t xml:space="preserve"> </w:t>
      </w:r>
    </w:p>
    <w:p w14:paraId="56372A0B" w14:textId="77777777" w:rsidR="005A4749" w:rsidRPr="00867948" w:rsidRDefault="005A4749" w:rsidP="006C7142">
      <w:pPr>
        <w:pStyle w:val="NoSpacing"/>
        <w:spacing w:line="360" w:lineRule="auto"/>
        <w:rPr>
          <w:rFonts w:ascii="Arial" w:hAnsi="Arial" w:cs="Arial"/>
          <w:i/>
          <w:iCs/>
          <w:sz w:val="24"/>
          <w:szCs w:val="24"/>
        </w:rPr>
      </w:pPr>
    </w:p>
    <w:p w14:paraId="1578333A" w14:textId="4E54B383" w:rsidR="006833F4" w:rsidRPr="00867948" w:rsidRDefault="007612D4" w:rsidP="000F6083">
      <w:pPr>
        <w:pStyle w:val="Heading3"/>
        <w:numPr>
          <w:ilvl w:val="0"/>
          <w:numId w:val="14"/>
        </w:numPr>
        <w:ind w:left="993" w:hanging="426"/>
        <w:rPr>
          <w:rFonts w:ascii="Arial" w:hAnsi="Arial" w:cs="Arial"/>
          <w:b/>
          <w:color w:val="000000" w:themeColor="text1"/>
          <w:lang w:val="en-NZ"/>
        </w:rPr>
      </w:pPr>
      <w:r w:rsidRPr="00867948">
        <w:rPr>
          <w:rFonts w:ascii="Arial" w:hAnsi="Arial" w:cs="Arial"/>
          <w:b/>
          <w:color w:val="000000" w:themeColor="text1"/>
          <w:lang w:val="en-NZ"/>
        </w:rPr>
        <w:t xml:space="preserve">ELEMENTS IN </w:t>
      </w:r>
      <w:r w:rsidR="008C46F8" w:rsidRPr="00867948">
        <w:rPr>
          <w:rFonts w:ascii="Arial" w:hAnsi="Arial" w:cs="Arial"/>
          <w:b/>
          <w:color w:val="000000" w:themeColor="text1"/>
          <w:lang w:val="en-NZ"/>
        </w:rPr>
        <w:t>ESTABLISHING LIABILITY</w:t>
      </w:r>
      <w:r w:rsidR="0032545F" w:rsidRPr="00867948">
        <w:rPr>
          <w:rFonts w:ascii="Arial" w:hAnsi="Arial" w:cs="Arial"/>
          <w:b/>
          <w:color w:val="000000" w:themeColor="text1"/>
          <w:lang w:val="en-NZ"/>
        </w:rPr>
        <w:t xml:space="preserve"> </w:t>
      </w:r>
      <w:r w:rsidR="001E3F7A" w:rsidRPr="00867948">
        <w:rPr>
          <w:rFonts w:ascii="Arial" w:hAnsi="Arial" w:cs="Arial"/>
          <w:b/>
          <w:color w:val="000000" w:themeColor="text1"/>
          <w:lang w:val="en-NZ"/>
        </w:rPr>
        <w:t xml:space="preserve">OF </w:t>
      </w:r>
      <w:r w:rsidR="00302820">
        <w:rPr>
          <w:rFonts w:ascii="Arial" w:hAnsi="Arial" w:cs="Arial"/>
          <w:b/>
          <w:color w:val="000000" w:themeColor="text1"/>
          <w:lang w:val="en-NZ"/>
        </w:rPr>
        <w:t xml:space="preserve">THE </w:t>
      </w:r>
      <w:r w:rsidR="001E3F7A" w:rsidRPr="00867948">
        <w:rPr>
          <w:rFonts w:ascii="Arial" w:hAnsi="Arial" w:cs="Arial"/>
          <w:b/>
          <w:color w:val="000000" w:themeColor="text1"/>
          <w:lang w:val="en-NZ"/>
        </w:rPr>
        <w:t>STATE</w:t>
      </w:r>
    </w:p>
    <w:p w14:paraId="14641670" w14:textId="05343CBE" w:rsidR="006833F4" w:rsidRPr="00867948" w:rsidRDefault="006833F4" w:rsidP="003144A5">
      <w:pPr>
        <w:ind w:left="567"/>
        <w:rPr>
          <w:rFonts w:ascii="Arial" w:hAnsi="Arial" w:cs="Arial"/>
          <w:sz w:val="24"/>
          <w:szCs w:val="24"/>
        </w:rPr>
      </w:pPr>
    </w:p>
    <w:p w14:paraId="7D48968F" w14:textId="4C9454F0" w:rsidR="003144A5" w:rsidRPr="00867948" w:rsidRDefault="003144A5" w:rsidP="003144A5">
      <w:pPr>
        <w:pStyle w:val="Heading3"/>
        <w:ind w:firstLine="567"/>
        <w:rPr>
          <w:rFonts w:ascii="Arial" w:hAnsi="Arial" w:cs="Arial"/>
          <w:bCs/>
          <w:i/>
          <w:iCs/>
          <w:color w:val="000000" w:themeColor="text1"/>
          <w:lang w:val="en-NZ"/>
        </w:rPr>
      </w:pPr>
      <w:r w:rsidRPr="00867948">
        <w:rPr>
          <w:rFonts w:ascii="Arial" w:hAnsi="Arial" w:cs="Arial"/>
          <w:bCs/>
          <w:i/>
          <w:iCs/>
          <w:color w:val="000000" w:themeColor="text1"/>
          <w:lang w:val="en-NZ"/>
        </w:rPr>
        <w:t xml:space="preserve">Duties </w:t>
      </w:r>
      <w:r w:rsidR="00E96FEB" w:rsidRPr="00867948">
        <w:rPr>
          <w:rFonts w:ascii="Arial" w:hAnsi="Arial" w:cs="Arial"/>
          <w:bCs/>
          <w:i/>
          <w:iCs/>
          <w:color w:val="000000" w:themeColor="text1"/>
          <w:lang w:val="en-NZ"/>
        </w:rPr>
        <w:t xml:space="preserve">of </w:t>
      </w:r>
      <w:r w:rsidRPr="00867948">
        <w:rPr>
          <w:rFonts w:ascii="Arial" w:hAnsi="Arial" w:cs="Arial"/>
          <w:bCs/>
          <w:i/>
          <w:iCs/>
          <w:color w:val="000000" w:themeColor="text1"/>
          <w:lang w:val="en-NZ"/>
        </w:rPr>
        <w:t>state agencies</w:t>
      </w:r>
      <w:r w:rsidR="00E96FEB" w:rsidRPr="00867948">
        <w:rPr>
          <w:rFonts w:ascii="Arial" w:hAnsi="Arial" w:cs="Arial"/>
          <w:bCs/>
          <w:i/>
          <w:iCs/>
          <w:color w:val="000000" w:themeColor="text1"/>
          <w:lang w:val="en-NZ"/>
        </w:rPr>
        <w:t xml:space="preserve"> towards children</w:t>
      </w:r>
    </w:p>
    <w:p w14:paraId="400AE6E4" w14:textId="77777777" w:rsidR="003144A5" w:rsidRPr="00867948" w:rsidRDefault="003144A5" w:rsidP="003144A5">
      <w:pPr>
        <w:ind w:left="567"/>
        <w:rPr>
          <w:rFonts w:ascii="Arial" w:hAnsi="Arial" w:cs="Arial"/>
          <w:sz w:val="24"/>
          <w:szCs w:val="24"/>
        </w:rPr>
      </w:pPr>
    </w:p>
    <w:p w14:paraId="782C2088" w14:textId="51CA58E5" w:rsidR="006D545D" w:rsidRPr="00867948" w:rsidRDefault="005D32C0"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A number </w:t>
      </w:r>
      <w:r w:rsidR="00A076B3" w:rsidRPr="00867948">
        <w:rPr>
          <w:rFonts w:ascii="Arial" w:hAnsi="Arial" w:cs="Arial"/>
          <w:sz w:val="24"/>
          <w:szCs w:val="24"/>
        </w:rPr>
        <w:t xml:space="preserve">of </w:t>
      </w:r>
      <w:r w:rsidR="00FC6785" w:rsidRPr="00867948">
        <w:rPr>
          <w:rFonts w:ascii="Arial" w:hAnsi="Arial" w:cs="Arial"/>
          <w:sz w:val="24"/>
          <w:szCs w:val="24"/>
        </w:rPr>
        <w:t>cases were brought against the state as negligence claims, or alternatively claims involving a fiduciary duty</w:t>
      </w:r>
      <w:r w:rsidR="0034755B" w:rsidRPr="00867948">
        <w:rPr>
          <w:rFonts w:ascii="Arial" w:hAnsi="Arial" w:cs="Arial"/>
          <w:sz w:val="24"/>
          <w:szCs w:val="24"/>
        </w:rPr>
        <w:t>, or a statutory duty derived from Child Welfare legislation</w:t>
      </w:r>
      <w:r w:rsidR="00FC6785" w:rsidRPr="00867948">
        <w:rPr>
          <w:rFonts w:ascii="Arial" w:hAnsi="Arial" w:cs="Arial"/>
          <w:sz w:val="24"/>
          <w:szCs w:val="24"/>
        </w:rPr>
        <w:t xml:space="preserve">. </w:t>
      </w:r>
      <w:r w:rsidR="00000395" w:rsidRPr="00867948">
        <w:rPr>
          <w:rFonts w:ascii="Arial" w:hAnsi="Arial" w:cs="Arial"/>
          <w:sz w:val="24"/>
          <w:szCs w:val="24"/>
        </w:rPr>
        <w:t xml:space="preserve">These cases touch on </w:t>
      </w:r>
      <w:r w:rsidR="00174B78" w:rsidRPr="00867948">
        <w:rPr>
          <w:rFonts w:ascii="Arial" w:hAnsi="Arial" w:cs="Arial"/>
          <w:sz w:val="24"/>
          <w:szCs w:val="24"/>
        </w:rPr>
        <w:t xml:space="preserve">the existence and scope of applicable duties. </w:t>
      </w:r>
    </w:p>
    <w:p w14:paraId="197251CB" w14:textId="77777777" w:rsidR="00BC22A4" w:rsidRPr="00867948" w:rsidRDefault="00BC22A4" w:rsidP="00867948">
      <w:pPr>
        <w:pStyle w:val="ListParagraph"/>
        <w:ind w:left="1134" w:hanging="567"/>
        <w:rPr>
          <w:rFonts w:ascii="Arial" w:hAnsi="Arial" w:cs="Arial"/>
          <w:sz w:val="24"/>
          <w:szCs w:val="24"/>
        </w:rPr>
      </w:pPr>
    </w:p>
    <w:p w14:paraId="39369C65" w14:textId="6E418A52" w:rsidR="00FB6B7F" w:rsidRPr="00867948" w:rsidRDefault="00B324E7"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K</w:t>
      </w:r>
      <w:r w:rsidR="00053B1C" w:rsidRPr="00867948">
        <w:rPr>
          <w:rFonts w:ascii="Arial" w:hAnsi="Arial" w:cs="Arial"/>
          <w:sz w:val="24"/>
          <w:szCs w:val="24"/>
        </w:rPr>
        <w:t xml:space="preserve">ey </w:t>
      </w:r>
      <w:r w:rsidR="00375DD1" w:rsidRPr="00867948">
        <w:rPr>
          <w:rFonts w:ascii="Arial" w:hAnsi="Arial" w:cs="Arial"/>
          <w:sz w:val="24"/>
          <w:szCs w:val="24"/>
        </w:rPr>
        <w:t>cases</w:t>
      </w:r>
      <w:r w:rsidR="00053B1C" w:rsidRPr="00867948">
        <w:rPr>
          <w:rFonts w:ascii="Arial" w:hAnsi="Arial" w:cs="Arial"/>
          <w:sz w:val="24"/>
          <w:szCs w:val="24"/>
        </w:rPr>
        <w:t xml:space="preserve"> include:</w:t>
      </w:r>
    </w:p>
    <w:p w14:paraId="35491A32" w14:textId="77777777" w:rsidR="00867948" w:rsidRPr="00867948" w:rsidRDefault="00867948" w:rsidP="00867948">
      <w:pPr>
        <w:pStyle w:val="ListParagraph"/>
        <w:ind w:left="1134"/>
        <w:rPr>
          <w:rFonts w:ascii="Arial" w:hAnsi="Arial" w:cs="Arial"/>
          <w:sz w:val="24"/>
          <w:szCs w:val="24"/>
        </w:rPr>
      </w:pPr>
    </w:p>
    <w:p w14:paraId="5270E7CC" w14:textId="192C34FC" w:rsidR="00053B1C" w:rsidRPr="00867948" w:rsidRDefault="00053B1C" w:rsidP="00867948">
      <w:pPr>
        <w:pStyle w:val="ListParagraph"/>
        <w:numPr>
          <w:ilvl w:val="0"/>
          <w:numId w:val="33"/>
        </w:numPr>
        <w:ind w:left="1701" w:hanging="567"/>
        <w:rPr>
          <w:rFonts w:ascii="Arial" w:hAnsi="Arial" w:cs="Arial"/>
          <w:sz w:val="24"/>
          <w:szCs w:val="24"/>
        </w:rPr>
      </w:pPr>
      <w:r w:rsidRPr="00867948">
        <w:rPr>
          <w:rFonts w:ascii="Arial" w:hAnsi="Arial" w:cs="Arial"/>
          <w:i/>
          <w:iCs/>
          <w:sz w:val="24"/>
          <w:szCs w:val="24"/>
        </w:rPr>
        <w:t xml:space="preserve">Attorney-General v Prince and Gardner </w:t>
      </w:r>
      <w:r w:rsidRPr="00867948">
        <w:rPr>
          <w:rFonts w:ascii="Arial" w:hAnsi="Arial" w:cs="Arial"/>
          <w:sz w:val="24"/>
          <w:szCs w:val="24"/>
        </w:rPr>
        <w:t xml:space="preserve">[1998] 1 NZLR 262 </w:t>
      </w:r>
      <w:r w:rsidR="00880FF8" w:rsidRPr="00867948">
        <w:rPr>
          <w:rFonts w:ascii="Arial" w:hAnsi="Arial" w:cs="Arial"/>
          <w:sz w:val="24"/>
          <w:szCs w:val="24"/>
        </w:rPr>
        <w:t xml:space="preserve">established that there was a common law duty on social workers </w:t>
      </w:r>
      <w:r w:rsidR="00BF5854">
        <w:rPr>
          <w:rFonts w:ascii="Arial" w:hAnsi="Arial" w:cs="Arial"/>
          <w:sz w:val="24"/>
          <w:szCs w:val="24"/>
        </w:rPr>
        <w:t xml:space="preserve">and </w:t>
      </w:r>
      <w:r w:rsidR="00880FF8" w:rsidRPr="00867948">
        <w:rPr>
          <w:rFonts w:ascii="Arial" w:hAnsi="Arial" w:cs="Arial"/>
          <w:sz w:val="24"/>
          <w:szCs w:val="24"/>
        </w:rPr>
        <w:t>the Department of Social Welfare to investigate a complaint of neglect of a</w:t>
      </w:r>
      <w:r w:rsidR="00D84830" w:rsidRPr="00867948">
        <w:rPr>
          <w:rFonts w:ascii="Arial" w:hAnsi="Arial" w:cs="Arial"/>
          <w:sz w:val="24"/>
          <w:szCs w:val="24"/>
        </w:rPr>
        <w:t>n adopted</w:t>
      </w:r>
      <w:r w:rsidR="00880FF8" w:rsidRPr="00867948">
        <w:rPr>
          <w:rFonts w:ascii="Arial" w:hAnsi="Arial" w:cs="Arial"/>
          <w:sz w:val="24"/>
          <w:szCs w:val="24"/>
        </w:rPr>
        <w:t xml:space="preserve"> child. The case </w:t>
      </w:r>
      <w:r w:rsidRPr="00867948">
        <w:rPr>
          <w:rFonts w:ascii="Arial" w:hAnsi="Arial" w:cs="Arial"/>
          <w:sz w:val="24"/>
          <w:szCs w:val="24"/>
        </w:rPr>
        <w:t xml:space="preserve">involved a claimant who was placed with an adoptive family, and brought a claim </w:t>
      </w:r>
      <w:r w:rsidR="00A106B0" w:rsidRPr="00867948">
        <w:rPr>
          <w:rFonts w:ascii="Arial" w:hAnsi="Arial" w:cs="Arial"/>
          <w:sz w:val="24"/>
          <w:szCs w:val="24"/>
        </w:rPr>
        <w:t xml:space="preserve">against the Department of Social Welfare </w:t>
      </w:r>
      <w:r w:rsidRPr="00867948">
        <w:rPr>
          <w:rFonts w:ascii="Arial" w:hAnsi="Arial" w:cs="Arial"/>
          <w:sz w:val="24"/>
          <w:szCs w:val="24"/>
        </w:rPr>
        <w:t xml:space="preserve">in relation to </w:t>
      </w:r>
      <w:r w:rsidR="004410AB" w:rsidRPr="00867948">
        <w:rPr>
          <w:rFonts w:ascii="Arial" w:hAnsi="Arial" w:cs="Arial"/>
          <w:sz w:val="24"/>
          <w:szCs w:val="24"/>
        </w:rPr>
        <w:t>neglect and abuse suffered in his adopti</w:t>
      </w:r>
      <w:r w:rsidR="00814497" w:rsidRPr="00867948">
        <w:rPr>
          <w:rFonts w:ascii="Arial" w:hAnsi="Arial" w:cs="Arial"/>
          <w:sz w:val="24"/>
          <w:szCs w:val="24"/>
        </w:rPr>
        <w:t>v</w:t>
      </w:r>
      <w:r w:rsidR="004410AB" w:rsidRPr="00867948">
        <w:rPr>
          <w:rFonts w:ascii="Arial" w:hAnsi="Arial" w:cs="Arial"/>
          <w:sz w:val="24"/>
          <w:szCs w:val="24"/>
        </w:rPr>
        <w:t>e home</w:t>
      </w:r>
      <w:r w:rsidRPr="00867948">
        <w:rPr>
          <w:rFonts w:ascii="Arial" w:hAnsi="Arial" w:cs="Arial"/>
          <w:sz w:val="24"/>
          <w:szCs w:val="24"/>
        </w:rPr>
        <w:t xml:space="preserve">. A complaint had been made to social welfare, and no action had been taken to investigate. </w:t>
      </w:r>
      <w:r w:rsidR="00305D20" w:rsidRPr="00867948">
        <w:rPr>
          <w:rFonts w:ascii="Arial" w:hAnsi="Arial" w:cs="Arial"/>
          <w:sz w:val="24"/>
          <w:szCs w:val="24"/>
        </w:rPr>
        <w:t>T</w:t>
      </w:r>
      <w:r w:rsidRPr="00867948">
        <w:rPr>
          <w:rFonts w:ascii="Arial" w:hAnsi="Arial" w:cs="Arial"/>
          <w:sz w:val="24"/>
          <w:szCs w:val="24"/>
        </w:rPr>
        <w:t xml:space="preserve">he Court </w:t>
      </w:r>
      <w:r w:rsidR="00E376BC" w:rsidRPr="00867948">
        <w:rPr>
          <w:rFonts w:ascii="Arial" w:hAnsi="Arial" w:cs="Arial"/>
          <w:sz w:val="24"/>
          <w:szCs w:val="24"/>
        </w:rPr>
        <w:t xml:space="preserve">accepted </w:t>
      </w:r>
      <w:r w:rsidR="00305D20" w:rsidRPr="00867948">
        <w:rPr>
          <w:rFonts w:ascii="Arial" w:hAnsi="Arial" w:cs="Arial"/>
          <w:sz w:val="24"/>
          <w:szCs w:val="24"/>
        </w:rPr>
        <w:t xml:space="preserve">that </w:t>
      </w:r>
      <w:r w:rsidRPr="00867948">
        <w:rPr>
          <w:rFonts w:ascii="Arial" w:hAnsi="Arial" w:cs="Arial"/>
          <w:sz w:val="24"/>
          <w:szCs w:val="24"/>
        </w:rPr>
        <w:t xml:space="preserve">social </w:t>
      </w:r>
      <w:r w:rsidR="00256D96" w:rsidRPr="00867948">
        <w:rPr>
          <w:rFonts w:ascii="Arial" w:hAnsi="Arial" w:cs="Arial"/>
          <w:sz w:val="24"/>
          <w:szCs w:val="24"/>
        </w:rPr>
        <w:t>workers and Social Welfare had a</w:t>
      </w:r>
      <w:r w:rsidR="0053612E" w:rsidRPr="00867948">
        <w:rPr>
          <w:rFonts w:ascii="Arial" w:hAnsi="Arial" w:cs="Arial"/>
          <w:sz w:val="24"/>
          <w:szCs w:val="24"/>
        </w:rPr>
        <w:t xml:space="preserve"> common law</w:t>
      </w:r>
      <w:r w:rsidR="00256D96" w:rsidRPr="00867948">
        <w:rPr>
          <w:rFonts w:ascii="Arial" w:hAnsi="Arial" w:cs="Arial"/>
          <w:sz w:val="24"/>
          <w:szCs w:val="24"/>
        </w:rPr>
        <w:t xml:space="preserve"> duty </w:t>
      </w:r>
      <w:r w:rsidR="0053612E" w:rsidRPr="00867948">
        <w:rPr>
          <w:rFonts w:ascii="Arial" w:hAnsi="Arial" w:cs="Arial"/>
          <w:sz w:val="24"/>
          <w:szCs w:val="24"/>
        </w:rPr>
        <w:t xml:space="preserve">in negligence </w:t>
      </w:r>
      <w:r w:rsidR="00256D96" w:rsidRPr="00867948">
        <w:rPr>
          <w:rFonts w:ascii="Arial" w:hAnsi="Arial" w:cs="Arial"/>
          <w:sz w:val="24"/>
          <w:szCs w:val="24"/>
        </w:rPr>
        <w:t xml:space="preserve">to consider and respond to specific complaints </w:t>
      </w:r>
      <w:r w:rsidR="00814497" w:rsidRPr="00867948">
        <w:rPr>
          <w:rFonts w:ascii="Arial" w:hAnsi="Arial" w:cs="Arial"/>
          <w:sz w:val="24"/>
          <w:szCs w:val="24"/>
        </w:rPr>
        <w:t xml:space="preserve">of neglect </w:t>
      </w:r>
      <w:r w:rsidR="00E500F3" w:rsidRPr="00867948">
        <w:rPr>
          <w:rFonts w:ascii="Arial" w:hAnsi="Arial" w:cs="Arial"/>
          <w:sz w:val="24"/>
          <w:szCs w:val="24"/>
        </w:rPr>
        <w:t xml:space="preserve">of a </w:t>
      </w:r>
      <w:r w:rsidR="00513BDA" w:rsidRPr="00867948">
        <w:rPr>
          <w:rFonts w:ascii="Arial" w:hAnsi="Arial" w:cs="Arial"/>
          <w:sz w:val="24"/>
          <w:szCs w:val="24"/>
        </w:rPr>
        <w:t>child</w:t>
      </w:r>
      <w:r w:rsidR="00E500F3" w:rsidRPr="00867948">
        <w:rPr>
          <w:rFonts w:ascii="Arial" w:hAnsi="Arial" w:cs="Arial"/>
          <w:sz w:val="24"/>
          <w:szCs w:val="24"/>
        </w:rPr>
        <w:t xml:space="preserve"> that had been brought to their attention</w:t>
      </w:r>
      <w:r w:rsidR="005E7500" w:rsidRPr="00867948">
        <w:rPr>
          <w:rFonts w:ascii="Arial" w:hAnsi="Arial" w:cs="Arial"/>
          <w:sz w:val="24"/>
          <w:szCs w:val="24"/>
        </w:rPr>
        <w:t>,</w:t>
      </w:r>
      <w:r w:rsidR="00E500F3" w:rsidRPr="00867948">
        <w:rPr>
          <w:rFonts w:ascii="Arial" w:hAnsi="Arial" w:cs="Arial"/>
          <w:sz w:val="24"/>
          <w:szCs w:val="24"/>
        </w:rPr>
        <w:t xml:space="preserve"> </w:t>
      </w:r>
      <w:r w:rsidR="00256D96" w:rsidRPr="00867948">
        <w:rPr>
          <w:rFonts w:ascii="Arial" w:hAnsi="Arial" w:cs="Arial"/>
          <w:sz w:val="24"/>
          <w:szCs w:val="24"/>
        </w:rPr>
        <w:t xml:space="preserve">with </w:t>
      </w:r>
      <w:r w:rsidR="008915C7" w:rsidRPr="00867948">
        <w:rPr>
          <w:rFonts w:ascii="Arial" w:hAnsi="Arial" w:cs="Arial"/>
          <w:sz w:val="24"/>
          <w:szCs w:val="24"/>
        </w:rPr>
        <w:t xml:space="preserve">reasonable </w:t>
      </w:r>
      <w:r w:rsidR="00256D96" w:rsidRPr="00867948">
        <w:rPr>
          <w:rFonts w:ascii="Arial" w:hAnsi="Arial" w:cs="Arial"/>
          <w:sz w:val="24"/>
          <w:szCs w:val="24"/>
        </w:rPr>
        <w:t xml:space="preserve">skill and care. </w:t>
      </w:r>
      <w:r w:rsidR="00F72520" w:rsidRPr="00867948">
        <w:rPr>
          <w:rFonts w:ascii="Arial" w:hAnsi="Arial" w:cs="Arial"/>
          <w:sz w:val="24"/>
          <w:szCs w:val="24"/>
        </w:rPr>
        <w:t>This reinforced the statutory duty on the Director-General of Social Welfare to protect children at risk.</w:t>
      </w:r>
    </w:p>
    <w:p w14:paraId="2A15A5AD" w14:textId="77777777" w:rsidR="00867948" w:rsidRPr="00867948" w:rsidRDefault="00867948" w:rsidP="00867948">
      <w:pPr>
        <w:pStyle w:val="ListParagraph"/>
        <w:ind w:left="1701"/>
        <w:rPr>
          <w:rFonts w:ascii="Arial" w:hAnsi="Arial" w:cs="Arial"/>
          <w:sz w:val="24"/>
          <w:szCs w:val="24"/>
        </w:rPr>
      </w:pPr>
    </w:p>
    <w:p w14:paraId="6B5E5FF0" w14:textId="5AF5EAD3" w:rsidR="00053B1C" w:rsidRPr="00867948" w:rsidRDefault="00073522" w:rsidP="00867948">
      <w:pPr>
        <w:pStyle w:val="ListParagraph"/>
        <w:numPr>
          <w:ilvl w:val="0"/>
          <w:numId w:val="33"/>
        </w:numPr>
        <w:ind w:left="1701" w:hanging="567"/>
        <w:rPr>
          <w:rFonts w:ascii="Arial" w:hAnsi="Arial" w:cs="Arial"/>
          <w:sz w:val="24"/>
          <w:szCs w:val="24"/>
        </w:rPr>
      </w:pPr>
      <w:r w:rsidRPr="00867948">
        <w:rPr>
          <w:rFonts w:ascii="Arial" w:hAnsi="Arial" w:cs="Arial"/>
          <w:i/>
          <w:iCs/>
          <w:sz w:val="24"/>
          <w:szCs w:val="24"/>
        </w:rPr>
        <w:t xml:space="preserve">B v Attorney-General </w:t>
      </w:r>
      <w:r w:rsidRPr="00867948">
        <w:rPr>
          <w:rFonts w:ascii="Arial" w:hAnsi="Arial" w:cs="Arial"/>
          <w:sz w:val="24"/>
          <w:szCs w:val="24"/>
        </w:rPr>
        <w:t xml:space="preserve">[1999] 2 NZLR 296 (CA) and </w:t>
      </w:r>
      <w:r w:rsidRPr="00867948">
        <w:rPr>
          <w:rFonts w:ascii="Arial" w:hAnsi="Arial" w:cs="Arial"/>
          <w:i/>
          <w:iCs/>
          <w:sz w:val="24"/>
          <w:szCs w:val="24"/>
        </w:rPr>
        <w:t xml:space="preserve">B v Attorney-General </w:t>
      </w:r>
      <w:r w:rsidRPr="00867948">
        <w:rPr>
          <w:rFonts w:ascii="Arial" w:hAnsi="Arial" w:cs="Arial"/>
          <w:sz w:val="24"/>
          <w:szCs w:val="24"/>
        </w:rPr>
        <w:t>[2004] 3 NZLR 145 (PC)</w:t>
      </w:r>
      <w:r w:rsidR="002A6FE9" w:rsidRPr="00867948">
        <w:rPr>
          <w:rFonts w:ascii="Arial" w:hAnsi="Arial" w:cs="Arial"/>
          <w:sz w:val="24"/>
          <w:szCs w:val="24"/>
        </w:rPr>
        <w:t xml:space="preserve"> reinforced this duty, and established that it extended to a duty not only to instigate an inquiry, </w:t>
      </w:r>
      <w:r w:rsidR="002A6FE9" w:rsidRPr="00867948">
        <w:rPr>
          <w:rFonts w:ascii="Arial" w:hAnsi="Arial" w:cs="Arial"/>
          <w:sz w:val="24"/>
          <w:szCs w:val="24"/>
        </w:rPr>
        <w:lastRenderedPageBreak/>
        <w:t>but also to ensure that it duly proceeded and was adequate to requirements. The case</w:t>
      </w:r>
      <w:r w:rsidRPr="00867948">
        <w:rPr>
          <w:rFonts w:ascii="Arial" w:hAnsi="Arial" w:cs="Arial"/>
          <w:sz w:val="24"/>
          <w:szCs w:val="24"/>
        </w:rPr>
        <w:t xml:space="preserve"> involved claimants who were placed in foster care</w:t>
      </w:r>
      <w:r w:rsidR="00915252" w:rsidRPr="00867948">
        <w:rPr>
          <w:rFonts w:ascii="Arial" w:hAnsi="Arial" w:cs="Arial"/>
          <w:sz w:val="24"/>
          <w:szCs w:val="24"/>
        </w:rPr>
        <w:t xml:space="preserve">, </w:t>
      </w:r>
      <w:r w:rsidR="00C00702" w:rsidRPr="00867948">
        <w:rPr>
          <w:rFonts w:ascii="Arial" w:hAnsi="Arial" w:cs="Arial"/>
          <w:sz w:val="24"/>
          <w:szCs w:val="24"/>
        </w:rPr>
        <w:t xml:space="preserve">following an </w:t>
      </w:r>
      <w:r w:rsidR="00915252" w:rsidRPr="00867948">
        <w:rPr>
          <w:rFonts w:ascii="Arial" w:hAnsi="Arial" w:cs="Arial"/>
          <w:sz w:val="24"/>
          <w:szCs w:val="24"/>
        </w:rPr>
        <w:t xml:space="preserve">allegation that one was sexually abused by the father. </w:t>
      </w:r>
      <w:r w:rsidR="00680D4F">
        <w:rPr>
          <w:rFonts w:ascii="Arial" w:hAnsi="Arial" w:cs="Arial"/>
          <w:sz w:val="24"/>
          <w:szCs w:val="24"/>
        </w:rPr>
        <w:t>Police investigat</w:t>
      </w:r>
      <w:r w:rsidR="00914C1C">
        <w:rPr>
          <w:rFonts w:ascii="Arial" w:hAnsi="Arial" w:cs="Arial"/>
          <w:sz w:val="24"/>
          <w:szCs w:val="24"/>
        </w:rPr>
        <w:t>ed, but</w:t>
      </w:r>
      <w:r w:rsidR="00680D4F">
        <w:rPr>
          <w:rFonts w:ascii="Arial" w:hAnsi="Arial" w:cs="Arial"/>
          <w:sz w:val="24"/>
          <w:szCs w:val="24"/>
        </w:rPr>
        <w:t xml:space="preserve"> </w:t>
      </w:r>
      <w:r w:rsidR="00914C1C">
        <w:rPr>
          <w:rFonts w:ascii="Arial" w:hAnsi="Arial" w:cs="Arial"/>
          <w:sz w:val="24"/>
          <w:szCs w:val="24"/>
        </w:rPr>
        <w:t>n</w:t>
      </w:r>
      <w:r w:rsidR="00915252" w:rsidRPr="00867948">
        <w:rPr>
          <w:rFonts w:ascii="Arial" w:hAnsi="Arial" w:cs="Arial"/>
          <w:sz w:val="24"/>
          <w:szCs w:val="24"/>
        </w:rPr>
        <w:t xml:space="preserve">o charges were laid against the father. The father and the two daughters sued, alleging that the </w:t>
      </w:r>
      <w:r w:rsidR="003D2EE2" w:rsidRPr="00867948">
        <w:rPr>
          <w:rFonts w:ascii="Arial" w:hAnsi="Arial" w:cs="Arial"/>
          <w:sz w:val="24"/>
          <w:szCs w:val="24"/>
        </w:rPr>
        <w:t xml:space="preserve">social worker and psychologist </w:t>
      </w:r>
      <w:r w:rsidR="008D5540" w:rsidRPr="00867948">
        <w:rPr>
          <w:rFonts w:ascii="Arial" w:hAnsi="Arial" w:cs="Arial"/>
          <w:sz w:val="24"/>
          <w:szCs w:val="24"/>
        </w:rPr>
        <w:t xml:space="preserve">failed to </w:t>
      </w:r>
      <w:r w:rsidR="00915252" w:rsidRPr="00867948">
        <w:rPr>
          <w:rFonts w:ascii="Arial" w:hAnsi="Arial" w:cs="Arial"/>
          <w:sz w:val="24"/>
          <w:szCs w:val="24"/>
        </w:rPr>
        <w:t>investigat</w:t>
      </w:r>
      <w:r w:rsidR="008D5540" w:rsidRPr="00867948">
        <w:rPr>
          <w:rFonts w:ascii="Arial" w:hAnsi="Arial" w:cs="Arial"/>
          <w:sz w:val="24"/>
          <w:szCs w:val="24"/>
        </w:rPr>
        <w:t>e the allegation properly</w:t>
      </w:r>
      <w:r w:rsidR="00553466" w:rsidRPr="00867948">
        <w:rPr>
          <w:rFonts w:ascii="Arial" w:hAnsi="Arial" w:cs="Arial"/>
          <w:sz w:val="24"/>
          <w:szCs w:val="24"/>
        </w:rPr>
        <w:t xml:space="preserve">. The </w:t>
      </w:r>
      <w:r w:rsidR="00AE0962" w:rsidRPr="00867948">
        <w:rPr>
          <w:rFonts w:ascii="Arial" w:hAnsi="Arial" w:cs="Arial"/>
          <w:sz w:val="24"/>
          <w:szCs w:val="24"/>
        </w:rPr>
        <w:t xml:space="preserve">Privy Council accepted that the Department, social worker and clinical psychologist owed a duty to the daughters </w:t>
      </w:r>
      <w:r w:rsidR="00EA20E9" w:rsidRPr="00867948">
        <w:rPr>
          <w:rFonts w:ascii="Arial" w:hAnsi="Arial" w:cs="Arial"/>
          <w:sz w:val="24"/>
          <w:szCs w:val="24"/>
        </w:rPr>
        <w:t>– but not to the father –</w:t>
      </w:r>
      <w:r w:rsidR="002F7F2D" w:rsidRPr="00867948">
        <w:rPr>
          <w:rFonts w:ascii="Arial" w:hAnsi="Arial" w:cs="Arial"/>
          <w:sz w:val="24"/>
          <w:szCs w:val="24"/>
        </w:rPr>
        <w:t xml:space="preserve"> </w:t>
      </w:r>
      <w:r w:rsidR="005C0534" w:rsidRPr="00867948">
        <w:rPr>
          <w:rFonts w:ascii="Arial" w:hAnsi="Arial" w:cs="Arial"/>
          <w:sz w:val="24"/>
          <w:szCs w:val="24"/>
        </w:rPr>
        <w:t xml:space="preserve">to </w:t>
      </w:r>
      <w:r w:rsidR="004258E7" w:rsidRPr="00867948">
        <w:rPr>
          <w:rFonts w:ascii="Arial" w:hAnsi="Arial" w:cs="Arial"/>
          <w:sz w:val="24"/>
          <w:szCs w:val="24"/>
        </w:rPr>
        <w:t>instigate an inquiry</w:t>
      </w:r>
      <w:r w:rsidR="002F7F2D" w:rsidRPr="00867948">
        <w:rPr>
          <w:rFonts w:ascii="Arial" w:hAnsi="Arial" w:cs="Arial"/>
          <w:sz w:val="24"/>
          <w:szCs w:val="24"/>
        </w:rPr>
        <w:t xml:space="preserve"> and </w:t>
      </w:r>
      <w:r w:rsidR="00AE0962" w:rsidRPr="00867948">
        <w:rPr>
          <w:rFonts w:ascii="Arial" w:hAnsi="Arial" w:cs="Arial"/>
          <w:sz w:val="24"/>
          <w:szCs w:val="24"/>
        </w:rPr>
        <w:t xml:space="preserve">also </w:t>
      </w:r>
      <w:r w:rsidR="004258E7" w:rsidRPr="00867948">
        <w:rPr>
          <w:rFonts w:ascii="Arial" w:hAnsi="Arial" w:cs="Arial"/>
          <w:sz w:val="24"/>
          <w:szCs w:val="24"/>
        </w:rPr>
        <w:t xml:space="preserve">to ensure that the inquiry </w:t>
      </w:r>
      <w:r w:rsidR="00AE0962" w:rsidRPr="00867948">
        <w:rPr>
          <w:rFonts w:ascii="Arial" w:hAnsi="Arial" w:cs="Arial"/>
          <w:sz w:val="24"/>
          <w:szCs w:val="24"/>
        </w:rPr>
        <w:t>was</w:t>
      </w:r>
      <w:r w:rsidR="0039328D">
        <w:rPr>
          <w:rFonts w:ascii="Arial" w:hAnsi="Arial" w:cs="Arial"/>
          <w:sz w:val="24"/>
          <w:szCs w:val="24"/>
        </w:rPr>
        <w:t xml:space="preserve"> </w:t>
      </w:r>
      <w:r w:rsidR="009F164A">
        <w:rPr>
          <w:rFonts w:ascii="Arial" w:hAnsi="Arial" w:cs="Arial"/>
          <w:sz w:val="24"/>
          <w:szCs w:val="24"/>
        </w:rPr>
        <w:t xml:space="preserve">carried out and was </w:t>
      </w:r>
      <w:r w:rsidR="0039328D">
        <w:rPr>
          <w:rFonts w:ascii="Arial" w:hAnsi="Arial" w:cs="Arial"/>
          <w:sz w:val="24"/>
          <w:szCs w:val="24"/>
        </w:rPr>
        <w:t>adequ</w:t>
      </w:r>
      <w:r w:rsidR="00CA5285">
        <w:rPr>
          <w:rFonts w:ascii="Arial" w:hAnsi="Arial" w:cs="Arial"/>
          <w:sz w:val="24"/>
          <w:szCs w:val="24"/>
        </w:rPr>
        <w:t>ate</w:t>
      </w:r>
      <w:r w:rsidR="00AE0962" w:rsidRPr="00867948">
        <w:rPr>
          <w:rFonts w:ascii="Arial" w:hAnsi="Arial" w:cs="Arial"/>
          <w:sz w:val="24"/>
          <w:szCs w:val="24"/>
        </w:rPr>
        <w:t>.</w:t>
      </w:r>
      <w:r w:rsidR="004258E7" w:rsidRPr="00867948">
        <w:rPr>
          <w:rFonts w:ascii="Arial" w:hAnsi="Arial" w:cs="Arial"/>
          <w:sz w:val="24"/>
          <w:szCs w:val="24"/>
        </w:rPr>
        <w:t xml:space="preserve"> </w:t>
      </w:r>
      <w:r w:rsidR="00AE0962" w:rsidRPr="00867948">
        <w:rPr>
          <w:rFonts w:ascii="Arial" w:hAnsi="Arial" w:cs="Arial"/>
          <w:sz w:val="24"/>
          <w:szCs w:val="24"/>
        </w:rPr>
        <w:t xml:space="preserve">However, </w:t>
      </w:r>
      <w:r w:rsidR="00CD29BD" w:rsidRPr="00867948">
        <w:rPr>
          <w:rFonts w:ascii="Arial" w:hAnsi="Arial" w:cs="Arial"/>
          <w:sz w:val="24"/>
          <w:szCs w:val="24"/>
        </w:rPr>
        <w:t xml:space="preserve">it noted that this obligation was quite </w:t>
      </w:r>
      <w:r w:rsidR="000F073D" w:rsidRPr="00867948">
        <w:rPr>
          <w:rFonts w:ascii="Arial" w:hAnsi="Arial" w:cs="Arial"/>
          <w:sz w:val="24"/>
          <w:szCs w:val="24"/>
        </w:rPr>
        <w:t xml:space="preserve">separate from any action in </w:t>
      </w:r>
      <w:r w:rsidR="00CD29BD" w:rsidRPr="00867948">
        <w:rPr>
          <w:rFonts w:ascii="Arial" w:hAnsi="Arial" w:cs="Arial"/>
          <w:sz w:val="24"/>
          <w:szCs w:val="24"/>
        </w:rPr>
        <w:t xml:space="preserve">making decisions and assessments on what should be done in light </w:t>
      </w:r>
      <w:r w:rsidR="00C46B4B">
        <w:rPr>
          <w:rFonts w:ascii="Arial" w:hAnsi="Arial" w:cs="Arial"/>
          <w:sz w:val="24"/>
          <w:szCs w:val="24"/>
        </w:rPr>
        <w:t xml:space="preserve">of </w:t>
      </w:r>
      <w:r w:rsidR="007A3F13" w:rsidRPr="00867948">
        <w:rPr>
          <w:rFonts w:ascii="Arial" w:hAnsi="Arial" w:cs="Arial"/>
          <w:sz w:val="24"/>
          <w:szCs w:val="24"/>
        </w:rPr>
        <w:t>what the investigation revealed</w:t>
      </w:r>
      <w:r w:rsidR="00437435">
        <w:rPr>
          <w:rFonts w:ascii="Arial" w:hAnsi="Arial" w:cs="Arial"/>
          <w:sz w:val="24"/>
          <w:szCs w:val="24"/>
        </w:rPr>
        <w:t>.  I</w:t>
      </w:r>
      <w:r w:rsidR="00532FB4" w:rsidRPr="00867948">
        <w:rPr>
          <w:rFonts w:ascii="Arial" w:hAnsi="Arial" w:cs="Arial"/>
          <w:sz w:val="24"/>
          <w:szCs w:val="24"/>
        </w:rPr>
        <w:t>t</w:t>
      </w:r>
      <w:r w:rsidR="00CD29BD" w:rsidRPr="00867948">
        <w:rPr>
          <w:rFonts w:ascii="Arial" w:hAnsi="Arial" w:cs="Arial"/>
          <w:sz w:val="24"/>
          <w:szCs w:val="24"/>
        </w:rPr>
        <w:t xml:space="preserve"> had </w:t>
      </w:r>
      <w:r w:rsidR="004620BF" w:rsidRPr="00867948">
        <w:rPr>
          <w:rFonts w:ascii="Arial" w:hAnsi="Arial" w:cs="Arial"/>
          <w:sz w:val="24"/>
          <w:szCs w:val="24"/>
        </w:rPr>
        <w:t xml:space="preserve">been of </w:t>
      </w:r>
      <w:r w:rsidR="00CD29BD" w:rsidRPr="00867948">
        <w:rPr>
          <w:rFonts w:ascii="Arial" w:hAnsi="Arial" w:cs="Arial"/>
          <w:sz w:val="24"/>
          <w:szCs w:val="24"/>
        </w:rPr>
        <w:t>concern</w:t>
      </w:r>
      <w:r w:rsidR="004620BF" w:rsidRPr="00867948">
        <w:rPr>
          <w:rFonts w:ascii="Arial" w:hAnsi="Arial" w:cs="Arial"/>
          <w:sz w:val="24"/>
          <w:szCs w:val="24"/>
        </w:rPr>
        <w:t xml:space="preserve"> to</w:t>
      </w:r>
      <w:r w:rsidR="00CD29BD" w:rsidRPr="00867948">
        <w:rPr>
          <w:rFonts w:ascii="Arial" w:hAnsi="Arial" w:cs="Arial"/>
          <w:sz w:val="24"/>
          <w:szCs w:val="24"/>
        </w:rPr>
        <w:t xml:space="preserve"> the court below </w:t>
      </w:r>
      <w:r w:rsidR="00532FB4" w:rsidRPr="00867948">
        <w:rPr>
          <w:rFonts w:ascii="Arial" w:hAnsi="Arial" w:cs="Arial"/>
          <w:sz w:val="24"/>
          <w:szCs w:val="24"/>
        </w:rPr>
        <w:t xml:space="preserve">that a duty affecting those decisions would cut across </w:t>
      </w:r>
      <w:r w:rsidR="00CD29BD" w:rsidRPr="00867948">
        <w:rPr>
          <w:rFonts w:ascii="Arial" w:hAnsi="Arial" w:cs="Arial"/>
          <w:sz w:val="24"/>
          <w:szCs w:val="24"/>
        </w:rPr>
        <w:t xml:space="preserve">the </w:t>
      </w:r>
      <w:r w:rsidR="00E40F32" w:rsidRPr="00867948">
        <w:rPr>
          <w:rFonts w:ascii="Arial" w:hAnsi="Arial" w:cs="Arial"/>
          <w:sz w:val="24"/>
          <w:szCs w:val="24"/>
        </w:rPr>
        <w:t xml:space="preserve">applicable </w:t>
      </w:r>
      <w:r w:rsidR="003D1E5E" w:rsidRPr="00867948">
        <w:rPr>
          <w:rFonts w:ascii="Arial" w:hAnsi="Arial" w:cs="Arial"/>
          <w:sz w:val="24"/>
          <w:szCs w:val="24"/>
        </w:rPr>
        <w:t>statutory scheme</w:t>
      </w:r>
      <w:r w:rsidR="00E40F32" w:rsidRPr="00867948">
        <w:rPr>
          <w:rFonts w:ascii="Arial" w:hAnsi="Arial" w:cs="Arial"/>
          <w:sz w:val="24"/>
          <w:szCs w:val="24"/>
        </w:rPr>
        <w:t xml:space="preserve">, which among other things </w:t>
      </w:r>
      <w:r w:rsidR="004258E7" w:rsidRPr="00867948">
        <w:rPr>
          <w:rFonts w:ascii="Arial" w:hAnsi="Arial" w:cs="Arial"/>
          <w:sz w:val="24"/>
          <w:szCs w:val="24"/>
        </w:rPr>
        <w:t xml:space="preserve">included roles for courts and police. </w:t>
      </w:r>
    </w:p>
    <w:p w14:paraId="5876C35F" w14:textId="77777777" w:rsidR="00867948" w:rsidRPr="00867948" w:rsidRDefault="00867948" w:rsidP="00867948">
      <w:pPr>
        <w:pStyle w:val="ListParagraph"/>
        <w:ind w:left="1701"/>
        <w:rPr>
          <w:rFonts w:ascii="Arial" w:hAnsi="Arial" w:cs="Arial"/>
          <w:sz w:val="24"/>
          <w:szCs w:val="24"/>
        </w:rPr>
      </w:pPr>
    </w:p>
    <w:p w14:paraId="3BD72E6D" w14:textId="1B81AA80" w:rsidR="0091658B" w:rsidRPr="00867948" w:rsidRDefault="0091658B" w:rsidP="00867948">
      <w:pPr>
        <w:pStyle w:val="ListParagraph"/>
        <w:numPr>
          <w:ilvl w:val="0"/>
          <w:numId w:val="33"/>
        </w:numPr>
        <w:ind w:left="1701" w:hanging="567"/>
        <w:rPr>
          <w:rFonts w:ascii="Arial" w:hAnsi="Arial" w:cs="Arial"/>
          <w:sz w:val="24"/>
          <w:szCs w:val="24"/>
        </w:rPr>
      </w:pPr>
      <w:r w:rsidRPr="00867948">
        <w:rPr>
          <w:rFonts w:ascii="Arial" w:hAnsi="Arial" w:cs="Arial"/>
          <w:i/>
          <w:iCs/>
          <w:sz w:val="24"/>
          <w:szCs w:val="24"/>
        </w:rPr>
        <w:t>S v Attorney-General</w:t>
      </w:r>
      <w:r w:rsidRPr="00867948">
        <w:rPr>
          <w:rFonts w:ascii="Arial" w:hAnsi="Arial" w:cs="Arial"/>
          <w:sz w:val="24"/>
          <w:szCs w:val="24"/>
        </w:rPr>
        <w:t xml:space="preserve"> </w:t>
      </w:r>
      <w:r w:rsidR="00690CFA" w:rsidRPr="00867948">
        <w:rPr>
          <w:rFonts w:ascii="Arial" w:hAnsi="Arial" w:cs="Arial"/>
          <w:sz w:val="24"/>
          <w:szCs w:val="24"/>
        </w:rPr>
        <w:t xml:space="preserve">(HC Wellington CP 253/96, 1 February 2002) and </w:t>
      </w:r>
      <w:r w:rsidRPr="00867948">
        <w:rPr>
          <w:rFonts w:ascii="Arial" w:hAnsi="Arial" w:cs="Arial"/>
          <w:sz w:val="24"/>
          <w:szCs w:val="24"/>
        </w:rPr>
        <w:t>[2003] 3 NZLR 450</w:t>
      </w:r>
      <w:r w:rsidR="00855959" w:rsidRPr="00867948">
        <w:rPr>
          <w:rFonts w:ascii="Arial" w:hAnsi="Arial" w:cs="Arial"/>
          <w:sz w:val="24"/>
          <w:szCs w:val="24"/>
        </w:rPr>
        <w:t xml:space="preserve"> (CA) </w:t>
      </w:r>
      <w:r w:rsidR="009B1421" w:rsidRPr="00867948">
        <w:rPr>
          <w:rFonts w:ascii="Arial" w:hAnsi="Arial" w:cs="Arial"/>
          <w:sz w:val="24"/>
          <w:szCs w:val="24"/>
        </w:rPr>
        <w:t xml:space="preserve">recognised a continuing duty of the Superintendent of Child Welfare of protection in relation to foster children. </w:t>
      </w:r>
      <w:r w:rsidR="00292CC8" w:rsidRPr="00867948">
        <w:rPr>
          <w:rFonts w:ascii="Arial" w:hAnsi="Arial" w:cs="Arial"/>
          <w:sz w:val="24"/>
          <w:szCs w:val="24"/>
        </w:rPr>
        <w:t>The case</w:t>
      </w:r>
      <w:r w:rsidR="009B1421" w:rsidRPr="00867948">
        <w:rPr>
          <w:rFonts w:ascii="Arial" w:hAnsi="Arial" w:cs="Arial"/>
          <w:sz w:val="24"/>
          <w:szCs w:val="24"/>
        </w:rPr>
        <w:t xml:space="preserve"> </w:t>
      </w:r>
      <w:r w:rsidR="00855959" w:rsidRPr="00867948">
        <w:rPr>
          <w:rFonts w:ascii="Arial" w:hAnsi="Arial" w:cs="Arial"/>
          <w:sz w:val="24"/>
          <w:szCs w:val="24"/>
        </w:rPr>
        <w:t xml:space="preserve">involved a claimant </w:t>
      </w:r>
      <w:r w:rsidR="005E4248" w:rsidRPr="00867948">
        <w:rPr>
          <w:rFonts w:ascii="Arial" w:hAnsi="Arial" w:cs="Arial"/>
          <w:sz w:val="24"/>
          <w:szCs w:val="24"/>
        </w:rPr>
        <w:t xml:space="preserve">who was placed in </w:t>
      </w:r>
      <w:r w:rsidR="00476947" w:rsidRPr="00867948">
        <w:rPr>
          <w:rFonts w:ascii="Arial" w:hAnsi="Arial" w:cs="Arial"/>
          <w:sz w:val="24"/>
          <w:szCs w:val="24"/>
        </w:rPr>
        <w:t xml:space="preserve">a </w:t>
      </w:r>
      <w:r w:rsidR="00855959" w:rsidRPr="00867948">
        <w:rPr>
          <w:rFonts w:ascii="Arial" w:hAnsi="Arial" w:cs="Arial"/>
          <w:sz w:val="24"/>
          <w:szCs w:val="24"/>
        </w:rPr>
        <w:t>foster home</w:t>
      </w:r>
      <w:r w:rsidR="005E4248" w:rsidRPr="00867948">
        <w:rPr>
          <w:rFonts w:ascii="Arial" w:hAnsi="Arial" w:cs="Arial"/>
          <w:sz w:val="24"/>
          <w:szCs w:val="24"/>
        </w:rPr>
        <w:t>, and was subjected to sexual molestation and other abuse by his foster parents.</w:t>
      </w:r>
      <w:r w:rsidR="008C08A9" w:rsidRPr="00867948">
        <w:rPr>
          <w:rStyle w:val="FootnoteReference"/>
          <w:rFonts w:ascii="Arial" w:hAnsi="Arial" w:cs="Arial"/>
          <w:sz w:val="24"/>
          <w:szCs w:val="24"/>
        </w:rPr>
        <w:footnoteReference w:id="1"/>
      </w:r>
      <w:r w:rsidR="005E4248" w:rsidRPr="00867948">
        <w:rPr>
          <w:rFonts w:ascii="Arial" w:hAnsi="Arial" w:cs="Arial"/>
          <w:sz w:val="24"/>
          <w:szCs w:val="24"/>
        </w:rPr>
        <w:t xml:space="preserve"> </w:t>
      </w:r>
      <w:r w:rsidR="008E2184" w:rsidRPr="00867948">
        <w:rPr>
          <w:rFonts w:ascii="Arial" w:hAnsi="Arial" w:cs="Arial"/>
          <w:sz w:val="24"/>
          <w:szCs w:val="24"/>
        </w:rPr>
        <w:t xml:space="preserve">The Court recognised </w:t>
      </w:r>
      <w:r w:rsidR="00125058" w:rsidRPr="00867948">
        <w:rPr>
          <w:rFonts w:ascii="Arial" w:hAnsi="Arial" w:cs="Arial"/>
          <w:sz w:val="24"/>
          <w:szCs w:val="24"/>
        </w:rPr>
        <w:t xml:space="preserve">a </w:t>
      </w:r>
      <w:r w:rsidR="008E2184" w:rsidRPr="00867948">
        <w:rPr>
          <w:rFonts w:ascii="Arial" w:hAnsi="Arial" w:cs="Arial"/>
          <w:sz w:val="24"/>
          <w:szCs w:val="24"/>
        </w:rPr>
        <w:t>continuing statutory duty of the Superintendent of Child Welfare</w:t>
      </w:r>
      <w:r w:rsidR="008E2184" w:rsidRPr="00867948">
        <w:rPr>
          <w:rStyle w:val="FootnoteReference"/>
          <w:rFonts w:ascii="Arial" w:hAnsi="Arial" w:cs="Arial"/>
          <w:sz w:val="24"/>
          <w:szCs w:val="24"/>
        </w:rPr>
        <w:footnoteReference w:id="2"/>
      </w:r>
      <w:r w:rsidR="008E2184" w:rsidRPr="00867948">
        <w:rPr>
          <w:rFonts w:ascii="Arial" w:hAnsi="Arial" w:cs="Arial"/>
          <w:sz w:val="24"/>
          <w:szCs w:val="24"/>
        </w:rPr>
        <w:t xml:space="preserve"> to </w:t>
      </w:r>
      <w:r w:rsidR="00DE6A0A" w:rsidRPr="00867948">
        <w:rPr>
          <w:rFonts w:ascii="Arial" w:hAnsi="Arial" w:cs="Arial"/>
          <w:sz w:val="24"/>
          <w:szCs w:val="24"/>
        </w:rPr>
        <w:t>ensure that S was “properly looked after”</w:t>
      </w:r>
      <w:r w:rsidR="00E532A8" w:rsidRPr="00867948">
        <w:rPr>
          <w:rFonts w:ascii="Arial" w:hAnsi="Arial" w:cs="Arial"/>
          <w:sz w:val="24"/>
          <w:szCs w:val="24"/>
        </w:rPr>
        <w:t xml:space="preserve"> by the foster parents</w:t>
      </w:r>
      <w:r w:rsidR="0043445E" w:rsidRPr="00867948">
        <w:rPr>
          <w:rFonts w:ascii="Arial" w:hAnsi="Arial" w:cs="Arial"/>
          <w:sz w:val="24"/>
          <w:szCs w:val="24"/>
        </w:rPr>
        <w:t>, even though the Superintendent was not formally made a guardian of S</w:t>
      </w:r>
      <w:r w:rsidR="008E2184" w:rsidRPr="00867948">
        <w:rPr>
          <w:rFonts w:ascii="Arial" w:hAnsi="Arial" w:cs="Arial"/>
          <w:sz w:val="24"/>
          <w:szCs w:val="24"/>
        </w:rPr>
        <w:t>.</w:t>
      </w:r>
      <w:r w:rsidR="00EC1418" w:rsidRPr="00867948">
        <w:rPr>
          <w:rFonts w:ascii="Arial" w:hAnsi="Arial" w:cs="Arial"/>
          <w:sz w:val="24"/>
          <w:szCs w:val="24"/>
        </w:rPr>
        <w:t xml:space="preserve"> </w:t>
      </w:r>
      <w:r w:rsidR="007F60D3" w:rsidRPr="00867948">
        <w:rPr>
          <w:rFonts w:ascii="Arial" w:hAnsi="Arial" w:cs="Arial"/>
          <w:sz w:val="24"/>
          <w:szCs w:val="24"/>
        </w:rPr>
        <w:t>This was the basis for recognising the vicarious liability for the action</w:t>
      </w:r>
      <w:r w:rsidR="00EB68A9" w:rsidRPr="00867948">
        <w:rPr>
          <w:rFonts w:ascii="Arial" w:hAnsi="Arial" w:cs="Arial"/>
          <w:sz w:val="24"/>
          <w:szCs w:val="24"/>
        </w:rPr>
        <w:t>s</w:t>
      </w:r>
      <w:r w:rsidR="007F60D3" w:rsidRPr="00867948">
        <w:rPr>
          <w:rFonts w:ascii="Arial" w:hAnsi="Arial" w:cs="Arial"/>
          <w:sz w:val="24"/>
          <w:szCs w:val="24"/>
        </w:rPr>
        <w:t xml:space="preserve"> of the </w:t>
      </w:r>
      <w:r w:rsidR="00EB68A9" w:rsidRPr="00867948">
        <w:rPr>
          <w:rFonts w:ascii="Arial" w:hAnsi="Arial" w:cs="Arial"/>
          <w:sz w:val="24"/>
          <w:szCs w:val="24"/>
        </w:rPr>
        <w:t xml:space="preserve">foster </w:t>
      </w:r>
      <w:r w:rsidR="007F60D3" w:rsidRPr="00867948">
        <w:rPr>
          <w:rFonts w:ascii="Arial" w:hAnsi="Arial" w:cs="Arial"/>
          <w:sz w:val="24"/>
          <w:szCs w:val="24"/>
        </w:rPr>
        <w:t>parents</w:t>
      </w:r>
      <w:r w:rsidR="00606233" w:rsidRPr="00867948">
        <w:rPr>
          <w:rFonts w:ascii="Arial" w:hAnsi="Arial" w:cs="Arial"/>
          <w:sz w:val="24"/>
          <w:szCs w:val="24"/>
        </w:rPr>
        <w:t xml:space="preserve"> –</w:t>
      </w:r>
      <w:r w:rsidR="006708F7" w:rsidRPr="00867948">
        <w:rPr>
          <w:rFonts w:ascii="Arial" w:hAnsi="Arial" w:cs="Arial"/>
          <w:sz w:val="24"/>
          <w:szCs w:val="24"/>
        </w:rPr>
        <w:t xml:space="preserve"> </w:t>
      </w:r>
      <w:r w:rsidR="00606233" w:rsidRPr="00867948">
        <w:rPr>
          <w:rFonts w:ascii="Arial" w:hAnsi="Arial" w:cs="Arial"/>
          <w:sz w:val="24"/>
          <w:szCs w:val="24"/>
        </w:rPr>
        <w:t>the f</w:t>
      </w:r>
      <w:r w:rsidR="00FE5537" w:rsidRPr="00867948">
        <w:rPr>
          <w:rFonts w:ascii="Arial" w:hAnsi="Arial" w:cs="Arial"/>
          <w:sz w:val="24"/>
          <w:szCs w:val="24"/>
        </w:rPr>
        <w:t xml:space="preserve">oster </w:t>
      </w:r>
      <w:r w:rsidR="000B3C54" w:rsidRPr="00867948">
        <w:rPr>
          <w:rFonts w:ascii="Arial" w:hAnsi="Arial" w:cs="Arial"/>
          <w:sz w:val="24"/>
          <w:szCs w:val="24"/>
        </w:rPr>
        <w:t>parents were</w:t>
      </w:r>
      <w:r w:rsidR="00FE5537" w:rsidRPr="00867948">
        <w:rPr>
          <w:rFonts w:ascii="Arial" w:hAnsi="Arial" w:cs="Arial"/>
          <w:sz w:val="24"/>
          <w:szCs w:val="24"/>
        </w:rPr>
        <w:t>, at the State’s request, undertaking the State’s responsibility of care for these ‘abandoned’ children.</w:t>
      </w:r>
    </w:p>
    <w:p w14:paraId="18D02E5A" w14:textId="77777777" w:rsidR="00867948" w:rsidRPr="00867948" w:rsidRDefault="00867948" w:rsidP="00867948">
      <w:pPr>
        <w:pStyle w:val="ListParagraph"/>
        <w:ind w:left="1701"/>
        <w:rPr>
          <w:rFonts w:ascii="Arial" w:hAnsi="Arial" w:cs="Arial"/>
          <w:sz w:val="24"/>
          <w:szCs w:val="24"/>
        </w:rPr>
      </w:pPr>
    </w:p>
    <w:p w14:paraId="49168F93" w14:textId="5F31E94E" w:rsidR="003A3596" w:rsidRPr="00867948" w:rsidRDefault="003478DC" w:rsidP="00867948">
      <w:pPr>
        <w:pStyle w:val="ListParagraph"/>
        <w:numPr>
          <w:ilvl w:val="0"/>
          <w:numId w:val="33"/>
        </w:numPr>
        <w:ind w:left="1701" w:hanging="567"/>
        <w:rPr>
          <w:rFonts w:ascii="Arial" w:hAnsi="Arial" w:cs="Arial"/>
          <w:sz w:val="24"/>
          <w:szCs w:val="24"/>
        </w:rPr>
      </w:pPr>
      <w:r w:rsidRPr="00867948">
        <w:rPr>
          <w:rFonts w:ascii="Arial" w:hAnsi="Arial" w:cs="Arial"/>
          <w:i/>
          <w:iCs/>
          <w:sz w:val="24"/>
          <w:szCs w:val="24"/>
        </w:rPr>
        <w:t xml:space="preserve">W v Attorney-General </w:t>
      </w:r>
      <w:r w:rsidR="00936974" w:rsidRPr="00867948">
        <w:rPr>
          <w:rFonts w:ascii="Arial" w:hAnsi="Arial" w:cs="Arial"/>
          <w:sz w:val="24"/>
          <w:szCs w:val="24"/>
        </w:rPr>
        <w:t xml:space="preserve">(HC Wellington CP 42/97, 3 October 2002) </w:t>
      </w:r>
      <w:r w:rsidR="00241A37" w:rsidRPr="00867948">
        <w:rPr>
          <w:rFonts w:ascii="Arial" w:hAnsi="Arial" w:cs="Arial"/>
          <w:sz w:val="24"/>
          <w:szCs w:val="24"/>
        </w:rPr>
        <w:t xml:space="preserve">and </w:t>
      </w:r>
      <w:r w:rsidR="009A24F6" w:rsidRPr="00867948">
        <w:rPr>
          <w:rFonts w:ascii="Arial" w:hAnsi="Arial" w:cs="Arial"/>
          <w:sz w:val="24"/>
          <w:szCs w:val="24"/>
        </w:rPr>
        <w:t>(Court of Appeal, CA 227/02, 15 July 2003)</w:t>
      </w:r>
      <w:r w:rsidR="00B54BAC" w:rsidRPr="00867948">
        <w:rPr>
          <w:rFonts w:ascii="Arial" w:hAnsi="Arial" w:cs="Arial"/>
          <w:sz w:val="24"/>
          <w:szCs w:val="24"/>
        </w:rPr>
        <w:t xml:space="preserve"> </w:t>
      </w:r>
      <w:r w:rsidR="004A1CE7" w:rsidRPr="00867948">
        <w:rPr>
          <w:rFonts w:ascii="Arial" w:hAnsi="Arial" w:cs="Arial"/>
          <w:sz w:val="24"/>
          <w:szCs w:val="24"/>
        </w:rPr>
        <w:t>elaborated further on the duty in relation to foster children</w:t>
      </w:r>
      <w:r w:rsidR="00555C60" w:rsidRPr="00867948">
        <w:rPr>
          <w:rFonts w:ascii="Arial" w:hAnsi="Arial" w:cs="Arial"/>
          <w:sz w:val="24"/>
          <w:szCs w:val="24"/>
        </w:rPr>
        <w:t xml:space="preserve">, recognising that the duty included exercising due skill and care in respect of decisions relating to the </w:t>
      </w:r>
      <w:r w:rsidR="00600C0C" w:rsidRPr="00867948">
        <w:rPr>
          <w:rFonts w:ascii="Arial" w:hAnsi="Arial" w:cs="Arial"/>
          <w:sz w:val="24"/>
          <w:szCs w:val="24"/>
        </w:rPr>
        <w:t xml:space="preserve">placement of the </w:t>
      </w:r>
      <w:r w:rsidR="00555C60" w:rsidRPr="00867948">
        <w:rPr>
          <w:rFonts w:ascii="Arial" w:hAnsi="Arial" w:cs="Arial"/>
          <w:sz w:val="24"/>
          <w:szCs w:val="24"/>
        </w:rPr>
        <w:t>plaintiff</w:t>
      </w:r>
      <w:r w:rsidR="00145C9D" w:rsidRPr="00867948">
        <w:rPr>
          <w:rFonts w:ascii="Arial" w:hAnsi="Arial" w:cs="Arial"/>
          <w:sz w:val="24"/>
          <w:szCs w:val="24"/>
        </w:rPr>
        <w:t>, but noting that such duty must be assessed by standards of the day</w:t>
      </w:r>
      <w:r w:rsidR="00600C0C" w:rsidRPr="00867948">
        <w:rPr>
          <w:rFonts w:ascii="Arial" w:hAnsi="Arial" w:cs="Arial"/>
          <w:sz w:val="24"/>
          <w:szCs w:val="24"/>
        </w:rPr>
        <w:t>. The claimant</w:t>
      </w:r>
      <w:r w:rsidR="003B531C" w:rsidRPr="00867948">
        <w:rPr>
          <w:rFonts w:ascii="Arial" w:hAnsi="Arial" w:cs="Arial"/>
          <w:sz w:val="24"/>
          <w:szCs w:val="24"/>
        </w:rPr>
        <w:t xml:space="preserve"> was subjected to physical and emotional </w:t>
      </w:r>
      <w:r w:rsidR="00B54BAC" w:rsidRPr="00867948">
        <w:rPr>
          <w:rFonts w:ascii="Arial" w:hAnsi="Arial" w:cs="Arial"/>
          <w:sz w:val="24"/>
          <w:szCs w:val="24"/>
        </w:rPr>
        <w:t>a</w:t>
      </w:r>
      <w:r w:rsidR="003B531C" w:rsidRPr="00867948">
        <w:rPr>
          <w:rFonts w:ascii="Arial" w:hAnsi="Arial" w:cs="Arial"/>
          <w:sz w:val="24"/>
          <w:szCs w:val="24"/>
        </w:rPr>
        <w:t>buse by foster parents, including sexual abuse by the foster father.</w:t>
      </w:r>
      <w:r w:rsidR="00016F6C" w:rsidRPr="00867948">
        <w:rPr>
          <w:rFonts w:ascii="Arial" w:hAnsi="Arial" w:cs="Arial"/>
          <w:sz w:val="24"/>
          <w:szCs w:val="24"/>
        </w:rPr>
        <w:t xml:space="preserve"> </w:t>
      </w:r>
      <w:r w:rsidR="001B5672" w:rsidRPr="00867948">
        <w:rPr>
          <w:rFonts w:ascii="Arial" w:hAnsi="Arial" w:cs="Arial"/>
          <w:sz w:val="24"/>
          <w:szCs w:val="24"/>
        </w:rPr>
        <w:t>The High Court</w:t>
      </w:r>
      <w:r w:rsidR="00C22C78" w:rsidRPr="00867948">
        <w:rPr>
          <w:rFonts w:ascii="Arial" w:hAnsi="Arial" w:cs="Arial"/>
          <w:sz w:val="24"/>
          <w:szCs w:val="24"/>
        </w:rPr>
        <w:t xml:space="preserve"> held that the </w:t>
      </w:r>
      <w:r w:rsidR="00A106B0" w:rsidRPr="00867948">
        <w:rPr>
          <w:rFonts w:ascii="Arial" w:hAnsi="Arial" w:cs="Arial"/>
          <w:sz w:val="24"/>
          <w:szCs w:val="24"/>
        </w:rPr>
        <w:t xml:space="preserve">Department breached </w:t>
      </w:r>
      <w:r w:rsidR="00D57472" w:rsidRPr="00867948">
        <w:rPr>
          <w:rFonts w:ascii="Arial" w:hAnsi="Arial" w:cs="Arial"/>
          <w:sz w:val="24"/>
          <w:szCs w:val="24"/>
        </w:rPr>
        <w:t xml:space="preserve">its </w:t>
      </w:r>
      <w:r w:rsidR="00A106B0" w:rsidRPr="00867948">
        <w:rPr>
          <w:rFonts w:ascii="Arial" w:hAnsi="Arial" w:cs="Arial"/>
          <w:sz w:val="24"/>
          <w:szCs w:val="24"/>
        </w:rPr>
        <w:t xml:space="preserve">duty </w:t>
      </w:r>
      <w:r w:rsidR="00B54E3F" w:rsidRPr="00867948">
        <w:rPr>
          <w:rFonts w:ascii="Arial" w:hAnsi="Arial" w:cs="Arial"/>
          <w:sz w:val="24"/>
          <w:szCs w:val="24"/>
        </w:rPr>
        <w:t xml:space="preserve">by failing to </w:t>
      </w:r>
      <w:r w:rsidR="001B5672" w:rsidRPr="00867948">
        <w:rPr>
          <w:rFonts w:ascii="Arial" w:hAnsi="Arial" w:cs="Arial"/>
          <w:sz w:val="24"/>
          <w:szCs w:val="24"/>
        </w:rPr>
        <w:t>exercise due skill and care in respect of decisions relating to the plaintiff</w:t>
      </w:r>
      <w:r w:rsidR="002E5FF7" w:rsidRPr="00867948">
        <w:rPr>
          <w:rFonts w:ascii="Arial" w:hAnsi="Arial" w:cs="Arial"/>
          <w:sz w:val="24"/>
          <w:szCs w:val="24"/>
        </w:rPr>
        <w:t xml:space="preserve">, in particular </w:t>
      </w:r>
      <w:r w:rsidR="007F2633" w:rsidRPr="00867948">
        <w:rPr>
          <w:rFonts w:ascii="Arial" w:hAnsi="Arial" w:cs="Arial"/>
          <w:sz w:val="24"/>
          <w:szCs w:val="24"/>
        </w:rPr>
        <w:t xml:space="preserve">the decision to place the plaintiff </w:t>
      </w:r>
      <w:r w:rsidR="00E66BBB" w:rsidRPr="00867948">
        <w:rPr>
          <w:rFonts w:ascii="Arial" w:hAnsi="Arial" w:cs="Arial"/>
          <w:sz w:val="24"/>
          <w:szCs w:val="24"/>
        </w:rPr>
        <w:t>with a</w:t>
      </w:r>
      <w:r w:rsidR="006A2A84" w:rsidRPr="00867948">
        <w:rPr>
          <w:rFonts w:ascii="Arial" w:hAnsi="Arial" w:cs="Arial"/>
          <w:sz w:val="24"/>
          <w:szCs w:val="24"/>
        </w:rPr>
        <w:t xml:space="preserve"> </w:t>
      </w:r>
      <w:r w:rsidR="00E66BBB" w:rsidRPr="00867948">
        <w:rPr>
          <w:rFonts w:ascii="Arial" w:hAnsi="Arial" w:cs="Arial"/>
          <w:sz w:val="24"/>
          <w:szCs w:val="24"/>
        </w:rPr>
        <w:t xml:space="preserve">family </w:t>
      </w:r>
      <w:r w:rsidR="008150D5" w:rsidRPr="00867948">
        <w:rPr>
          <w:rFonts w:ascii="Arial" w:hAnsi="Arial" w:cs="Arial"/>
          <w:sz w:val="24"/>
          <w:szCs w:val="24"/>
        </w:rPr>
        <w:t>unable to properly supervise and protect her</w:t>
      </w:r>
      <w:r w:rsidR="00111107" w:rsidRPr="00867948">
        <w:rPr>
          <w:rFonts w:ascii="Arial" w:hAnsi="Arial" w:cs="Arial"/>
          <w:sz w:val="24"/>
          <w:szCs w:val="24"/>
        </w:rPr>
        <w:t xml:space="preserve">; </w:t>
      </w:r>
      <w:r w:rsidR="00581EB5" w:rsidRPr="00867948">
        <w:rPr>
          <w:rFonts w:ascii="Arial" w:hAnsi="Arial" w:cs="Arial"/>
          <w:sz w:val="24"/>
          <w:szCs w:val="24"/>
        </w:rPr>
        <w:t xml:space="preserve">failing to maintain connection with her family; </w:t>
      </w:r>
      <w:r w:rsidR="00111107" w:rsidRPr="00867948">
        <w:rPr>
          <w:rFonts w:ascii="Arial" w:hAnsi="Arial" w:cs="Arial"/>
          <w:sz w:val="24"/>
          <w:szCs w:val="24"/>
        </w:rPr>
        <w:t>and also by failing to investigate complaints of sexual abuse.</w:t>
      </w:r>
      <w:r w:rsidR="007F2633" w:rsidRPr="00867948">
        <w:rPr>
          <w:rFonts w:ascii="Arial" w:hAnsi="Arial" w:cs="Arial"/>
          <w:sz w:val="24"/>
          <w:szCs w:val="24"/>
        </w:rPr>
        <w:t xml:space="preserve"> However the </w:t>
      </w:r>
      <w:r w:rsidR="00A106B0" w:rsidRPr="00867948">
        <w:rPr>
          <w:rFonts w:ascii="Arial" w:hAnsi="Arial" w:cs="Arial"/>
          <w:sz w:val="24"/>
          <w:szCs w:val="24"/>
        </w:rPr>
        <w:t xml:space="preserve">High Court </w:t>
      </w:r>
      <w:r w:rsidR="00A106B0" w:rsidRPr="00867948">
        <w:rPr>
          <w:rFonts w:ascii="Arial" w:hAnsi="Arial" w:cs="Arial"/>
          <w:sz w:val="24"/>
          <w:szCs w:val="24"/>
        </w:rPr>
        <w:lastRenderedPageBreak/>
        <w:t>and the C</w:t>
      </w:r>
      <w:r w:rsidR="007F2633" w:rsidRPr="00867948">
        <w:rPr>
          <w:rFonts w:ascii="Arial" w:hAnsi="Arial" w:cs="Arial"/>
          <w:sz w:val="24"/>
          <w:szCs w:val="24"/>
        </w:rPr>
        <w:t xml:space="preserve">ourt </w:t>
      </w:r>
      <w:r w:rsidR="00A106B0" w:rsidRPr="00867948">
        <w:rPr>
          <w:rFonts w:ascii="Arial" w:hAnsi="Arial" w:cs="Arial"/>
          <w:sz w:val="24"/>
          <w:szCs w:val="24"/>
        </w:rPr>
        <w:t xml:space="preserve">of Appeal both rejected </w:t>
      </w:r>
      <w:r w:rsidR="007F2633" w:rsidRPr="00867948">
        <w:rPr>
          <w:rFonts w:ascii="Arial" w:hAnsi="Arial" w:cs="Arial"/>
          <w:sz w:val="24"/>
          <w:szCs w:val="24"/>
        </w:rPr>
        <w:t xml:space="preserve">a claim </w:t>
      </w:r>
      <w:r w:rsidR="00A106B0" w:rsidRPr="00867948">
        <w:rPr>
          <w:rFonts w:ascii="Arial" w:hAnsi="Arial" w:cs="Arial"/>
          <w:sz w:val="24"/>
          <w:szCs w:val="24"/>
        </w:rPr>
        <w:t xml:space="preserve">that the Department had breached a duty </w:t>
      </w:r>
      <w:r w:rsidR="007F2633" w:rsidRPr="00867948">
        <w:rPr>
          <w:rFonts w:ascii="Arial" w:hAnsi="Arial" w:cs="Arial"/>
          <w:sz w:val="24"/>
          <w:szCs w:val="24"/>
        </w:rPr>
        <w:t xml:space="preserve">through failure to recognize or nurture </w:t>
      </w:r>
      <w:r w:rsidR="00A106B0" w:rsidRPr="00867948">
        <w:rPr>
          <w:rFonts w:ascii="Arial" w:hAnsi="Arial" w:cs="Arial"/>
          <w:sz w:val="24"/>
          <w:szCs w:val="24"/>
        </w:rPr>
        <w:t xml:space="preserve">the plaintiff’s </w:t>
      </w:r>
      <w:r w:rsidR="007F2633" w:rsidRPr="00867948">
        <w:rPr>
          <w:rFonts w:ascii="Arial" w:hAnsi="Arial" w:cs="Arial"/>
          <w:sz w:val="24"/>
          <w:szCs w:val="24"/>
        </w:rPr>
        <w:t xml:space="preserve">ethnic and cultural background or ensure her cultural safety failed, </w:t>
      </w:r>
      <w:r w:rsidR="00A106B0" w:rsidRPr="00867948">
        <w:rPr>
          <w:rFonts w:ascii="Arial" w:hAnsi="Arial" w:cs="Arial"/>
          <w:sz w:val="24"/>
          <w:szCs w:val="24"/>
        </w:rPr>
        <w:t>noting the</w:t>
      </w:r>
      <w:r w:rsidR="003060E0" w:rsidRPr="00867948">
        <w:rPr>
          <w:rFonts w:ascii="Arial" w:hAnsi="Arial" w:cs="Arial"/>
          <w:sz w:val="24"/>
          <w:szCs w:val="24"/>
        </w:rPr>
        <w:t xml:space="preserve"> Department’s</w:t>
      </w:r>
      <w:r w:rsidR="00A106B0" w:rsidRPr="00867948">
        <w:rPr>
          <w:rFonts w:ascii="Arial" w:hAnsi="Arial" w:cs="Arial"/>
          <w:sz w:val="24"/>
          <w:szCs w:val="24"/>
        </w:rPr>
        <w:t xml:space="preserve"> duty </w:t>
      </w:r>
      <w:r w:rsidR="003060E0" w:rsidRPr="00867948">
        <w:rPr>
          <w:rFonts w:ascii="Arial" w:hAnsi="Arial" w:cs="Arial"/>
          <w:sz w:val="24"/>
          <w:szCs w:val="24"/>
        </w:rPr>
        <w:t xml:space="preserve">of care </w:t>
      </w:r>
      <w:r w:rsidR="00A106B0" w:rsidRPr="00867948">
        <w:rPr>
          <w:rFonts w:ascii="Arial" w:hAnsi="Arial" w:cs="Arial"/>
          <w:sz w:val="24"/>
          <w:szCs w:val="24"/>
        </w:rPr>
        <w:t>had to be judged by the standards of the day</w:t>
      </w:r>
      <w:r w:rsidR="007F2633" w:rsidRPr="00867948">
        <w:rPr>
          <w:rFonts w:ascii="Arial" w:hAnsi="Arial" w:cs="Arial"/>
          <w:sz w:val="24"/>
          <w:szCs w:val="24"/>
        </w:rPr>
        <w:t>.</w:t>
      </w:r>
    </w:p>
    <w:p w14:paraId="5AAA4368" w14:textId="77777777" w:rsidR="00867948" w:rsidRPr="00867948" w:rsidRDefault="00867948" w:rsidP="00867948">
      <w:pPr>
        <w:pStyle w:val="ListParagraph"/>
        <w:ind w:left="1701"/>
        <w:rPr>
          <w:rFonts w:ascii="Arial" w:hAnsi="Arial" w:cs="Arial"/>
          <w:sz w:val="24"/>
          <w:szCs w:val="24"/>
        </w:rPr>
      </w:pPr>
    </w:p>
    <w:p w14:paraId="60685512" w14:textId="68534B31" w:rsidR="003A3596" w:rsidRPr="00867948" w:rsidRDefault="003A3596" w:rsidP="00867948">
      <w:pPr>
        <w:pStyle w:val="ListParagraph"/>
        <w:numPr>
          <w:ilvl w:val="0"/>
          <w:numId w:val="33"/>
        </w:numPr>
        <w:ind w:left="1701" w:hanging="567"/>
        <w:rPr>
          <w:rFonts w:ascii="Arial" w:hAnsi="Arial" w:cs="Arial"/>
          <w:sz w:val="24"/>
          <w:szCs w:val="24"/>
        </w:rPr>
      </w:pPr>
      <w:r w:rsidRPr="00867948">
        <w:rPr>
          <w:rFonts w:ascii="Arial" w:hAnsi="Arial" w:cs="Arial"/>
          <w:i/>
          <w:iCs/>
          <w:sz w:val="24"/>
          <w:szCs w:val="24"/>
        </w:rPr>
        <w:t>White v Attorney-General</w:t>
      </w:r>
      <w:r w:rsidRPr="00867948">
        <w:rPr>
          <w:rFonts w:ascii="Arial" w:hAnsi="Arial" w:cs="Arial"/>
          <w:sz w:val="24"/>
          <w:szCs w:val="24"/>
        </w:rPr>
        <w:t xml:space="preserve"> </w:t>
      </w:r>
      <w:r w:rsidR="00EF7B8D" w:rsidRPr="00867948">
        <w:rPr>
          <w:rFonts w:ascii="Arial" w:hAnsi="Arial" w:cs="Arial"/>
          <w:sz w:val="24"/>
          <w:szCs w:val="24"/>
        </w:rPr>
        <w:t>(</w:t>
      </w:r>
      <w:r w:rsidRPr="00867948">
        <w:rPr>
          <w:rFonts w:ascii="Arial" w:hAnsi="Arial" w:cs="Arial"/>
          <w:sz w:val="24"/>
          <w:szCs w:val="24"/>
        </w:rPr>
        <w:t xml:space="preserve">HC </w:t>
      </w:r>
      <w:r w:rsidR="00EF7B8D" w:rsidRPr="00867948">
        <w:rPr>
          <w:rFonts w:ascii="Arial" w:hAnsi="Arial" w:cs="Arial"/>
          <w:sz w:val="24"/>
          <w:szCs w:val="24"/>
        </w:rPr>
        <w:t xml:space="preserve">Wellington </w:t>
      </w:r>
      <w:r w:rsidR="004F0375" w:rsidRPr="00867948">
        <w:rPr>
          <w:rFonts w:ascii="Arial" w:hAnsi="Arial" w:cs="Arial"/>
          <w:sz w:val="24"/>
          <w:szCs w:val="24"/>
        </w:rPr>
        <w:t xml:space="preserve">CIV 1999-485-85, 28 November 2007) </w:t>
      </w:r>
      <w:r w:rsidR="00CA2433" w:rsidRPr="00867948">
        <w:rPr>
          <w:rFonts w:ascii="Arial" w:hAnsi="Arial" w:cs="Arial"/>
          <w:sz w:val="24"/>
          <w:szCs w:val="24"/>
        </w:rPr>
        <w:t xml:space="preserve">noted </w:t>
      </w:r>
      <w:r w:rsidR="001D20C0" w:rsidRPr="00867948">
        <w:rPr>
          <w:rFonts w:ascii="Arial" w:hAnsi="Arial" w:cs="Arial"/>
          <w:sz w:val="24"/>
          <w:szCs w:val="24"/>
        </w:rPr>
        <w:t>that the</w:t>
      </w:r>
      <w:r w:rsidR="007A48D9" w:rsidRPr="00867948">
        <w:rPr>
          <w:rFonts w:ascii="Arial" w:hAnsi="Arial" w:cs="Arial"/>
          <w:sz w:val="24"/>
          <w:szCs w:val="24"/>
        </w:rPr>
        <w:t xml:space="preserve"> duty to inquire may arise even when children are looked after by their parents</w:t>
      </w:r>
      <w:r w:rsidR="004B32CE" w:rsidRPr="00867948">
        <w:rPr>
          <w:rFonts w:ascii="Arial" w:hAnsi="Arial" w:cs="Arial"/>
          <w:sz w:val="24"/>
          <w:szCs w:val="24"/>
        </w:rPr>
        <w:t>, where the Social Welfare department is aware of a risk of harm</w:t>
      </w:r>
      <w:r w:rsidR="006152BE" w:rsidRPr="00867948">
        <w:rPr>
          <w:rFonts w:ascii="Arial" w:hAnsi="Arial" w:cs="Arial"/>
          <w:sz w:val="24"/>
          <w:szCs w:val="24"/>
        </w:rPr>
        <w:t xml:space="preserve">. It also </w:t>
      </w:r>
      <w:r w:rsidR="007A48D9" w:rsidRPr="00867948">
        <w:rPr>
          <w:rFonts w:ascii="Arial" w:hAnsi="Arial" w:cs="Arial"/>
          <w:sz w:val="24"/>
          <w:szCs w:val="24"/>
        </w:rPr>
        <w:t xml:space="preserve">recognised </w:t>
      </w:r>
      <w:r w:rsidR="00915236" w:rsidRPr="00867948">
        <w:rPr>
          <w:rFonts w:ascii="Arial" w:hAnsi="Arial" w:cs="Arial"/>
          <w:sz w:val="24"/>
          <w:szCs w:val="24"/>
        </w:rPr>
        <w:t>a</w:t>
      </w:r>
      <w:r w:rsidR="006152BE" w:rsidRPr="00867948">
        <w:rPr>
          <w:rFonts w:ascii="Arial" w:hAnsi="Arial" w:cs="Arial"/>
          <w:sz w:val="24"/>
          <w:szCs w:val="24"/>
        </w:rPr>
        <w:t>n undisputed</w:t>
      </w:r>
      <w:r w:rsidR="00915236" w:rsidRPr="00867948">
        <w:rPr>
          <w:rFonts w:ascii="Arial" w:hAnsi="Arial" w:cs="Arial"/>
          <w:sz w:val="24"/>
          <w:szCs w:val="24"/>
        </w:rPr>
        <w:t xml:space="preserve"> duty of care </w:t>
      </w:r>
      <w:r w:rsidR="007A48D9" w:rsidRPr="00867948">
        <w:rPr>
          <w:rFonts w:ascii="Arial" w:hAnsi="Arial" w:cs="Arial"/>
          <w:sz w:val="24"/>
          <w:szCs w:val="24"/>
        </w:rPr>
        <w:t xml:space="preserve">in relation to children in </w:t>
      </w:r>
      <w:r w:rsidR="008E5B92" w:rsidRPr="00867948">
        <w:rPr>
          <w:rFonts w:ascii="Arial" w:hAnsi="Arial" w:cs="Arial"/>
          <w:sz w:val="24"/>
          <w:szCs w:val="24"/>
        </w:rPr>
        <w:t>institutions</w:t>
      </w:r>
      <w:r w:rsidR="006152BE" w:rsidRPr="00867948">
        <w:rPr>
          <w:rFonts w:ascii="Arial" w:hAnsi="Arial" w:cs="Arial"/>
          <w:sz w:val="24"/>
          <w:szCs w:val="24"/>
        </w:rPr>
        <w:t xml:space="preserve">, </w:t>
      </w:r>
      <w:r w:rsidR="00C473A1" w:rsidRPr="00867948">
        <w:rPr>
          <w:rFonts w:ascii="Arial" w:hAnsi="Arial" w:cs="Arial"/>
          <w:sz w:val="24"/>
          <w:szCs w:val="24"/>
        </w:rPr>
        <w:t>however, reinforced that this was to be assessed against standards of the day</w:t>
      </w:r>
      <w:r w:rsidR="008E5B92" w:rsidRPr="00867948">
        <w:rPr>
          <w:rFonts w:ascii="Arial" w:hAnsi="Arial" w:cs="Arial"/>
          <w:sz w:val="24"/>
          <w:szCs w:val="24"/>
        </w:rPr>
        <w:t xml:space="preserve">. </w:t>
      </w:r>
      <w:r w:rsidR="00C473A1" w:rsidRPr="00867948">
        <w:rPr>
          <w:rFonts w:ascii="Arial" w:hAnsi="Arial" w:cs="Arial"/>
          <w:sz w:val="24"/>
          <w:szCs w:val="24"/>
        </w:rPr>
        <w:t xml:space="preserve">The claim </w:t>
      </w:r>
      <w:r w:rsidR="00047CD3" w:rsidRPr="00867948">
        <w:rPr>
          <w:rFonts w:ascii="Arial" w:hAnsi="Arial" w:cs="Arial"/>
          <w:sz w:val="24"/>
          <w:szCs w:val="24"/>
        </w:rPr>
        <w:t xml:space="preserve">involved two brothers who </w:t>
      </w:r>
      <w:r w:rsidR="00BE02B4" w:rsidRPr="00867948">
        <w:rPr>
          <w:rFonts w:ascii="Arial" w:hAnsi="Arial" w:cs="Arial"/>
          <w:sz w:val="24"/>
          <w:szCs w:val="24"/>
        </w:rPr>
        <w:t xml:space="preserve">were abused and neglected by their parents and step-parent, </w:t>
      </w:r>
      <w:r w:rsidR="00047CD3" w:rsidRPr="00867948">
        <w:rPr>
          <w:rFonts w:ascii="Arial" w:hAnsi="Arial" w:cs="Arial"/>
          <w:sz w:val="24"/>
          <w:szCs w:val="24"/>
        </w:rPr>
        <w:t xml:space="preserve">and </w:t>
      </w:r>
      <w:r w:rsidR="00A72633" w:rsidRPr="00867948">
        <w:rPr>
          <w:rFonts w:ascii="Arial" w:hAnsi="Arial" w:cs="Arial"/>
          <w:sz w:val="24"/>
          <w:szCs w:val="24"/>
        </w:rPr>
        <w:t xml:space="preserve">after a period of </w:t>
      </w:r>
      <w:r w:rsidR="00DA575C" w:rsidRPr="00867948">
        <w:rPr>
          <w:rFonts w:ascii="Arial" w:hAnsi="Arial" w:cs="Arial"/>
          <w:sz w:val="24"/>
          <w:szCs w:val="24"/>
        </w:rPr>
        <w:t xml:space="preserve">supervision and monitoring by the Social Welfare </w:t>
      </w:r>
      <w:r w:rsidR="00B77205" w:rsidRPr="00867948">
        <w:rPr>
          <w:rFonts w:ascii="Arial" w:hAnsi="Arial" w:cs="Arial"/>
          <w:sz w:val="24"/>
          <w:szCs w:val="24"/>
        </w:rPr>
        <w:t>department</w:t>
      </w:r>
      <w:r w:rsidR="00A72633" w:rsidRPr="00867948">
        <w:rPr>
          <w:rFonts w:ascii="Arial" w:hAnsi="Arial" w:cs="Arial"/>
          <w:sz w:val="24"/>
          <w:szCs w:val="24"/>
        </w:rPr>
        <w:t xml:space="preserve">, </w:t>
      </w:r>
      <w:r w:rsidR="00047CD3" w:rsidRPr="00867948">
        <w:rPr>
          <w:rFonts w:ascii="Arial" w:hAnsi="Arial" w:cs="Arial"/>
          <w:sz w:val="24"/>
          <w:szCs w:val="24"/>
        </w:rPr>
        <w:t xml:space="preserve">were subsequently removed and placed in a number of institutions, where they were </w:t>
      </w:r>
      <w:r w:rsidR="00BE02B4" w:rsidRPr="00867948">
        <w:rPr>
          <w:rFonts w:ascii="Arial" w:hAnsi="Arial" w:cs="Arial"/>
          <w:sz w:val="24"/>
          <w:szCs w:val="24"/>
        </w:rPr>
        <w:t xml:space="preserve">further </w:t>
      </w:r>
      <w:r w:rsidR="00047CD3" w:rsidRPr="00867948">
        <w:rPr>
          <w:rFonts w:ascii="Arial" w:hAnsi="Arial" w:cs="Arial"/>
          <w:sz w:val="24"/>
          <w:szCs w:val="24"/>
        </w:rPr>
        <w:t>abused</w:t>
      </w:r>
      <w:r w:rsidR="00EC6F65" w:rsidRPr="00867948">
        <w:rPr>
          <w:rFonts w:ascii="Arial" w:hAnsi="Arial" w:cs="Arial"/>
          <w:sz w:val="24"/>
          <w:szCs w:val="24"/>
        </w:rPr>
        <w:t>, before being placed back with their parent and step</w:t>
      </w:r>
      <w:r w:rsidR="007978AE" w:rsidRPr="00867948">
        <w:rPr>
          <w:rFonts w:ascii="Arial" w:hAnsi="Arial" w:cs="Arial"/>
          <w:sz w:val="24"/>
          <w:szCs w:val="24"/>
        </w:rPr>
        <w:t>-</w:t>
      </w:r>
      <w:r w:rsidR="00EC6F65" w:rsidRPr="00867948">
        <w:rPr>
          <w:rFonts w:ascii="Arial" w:hAnsi="Arial" w:cs="Arial"/>
          <w:sz w:val="24"/>
          <w:szCs w:val="24"/>
        </w:rPr>
        <w:t xml:space="preserve">parent.  </w:t>
      </w:r>
      <w:r w:rsidR="00347D1A" w:rsidRPr="00867948">
        <w:rPr>
          <w:rFonts w:ascii="Arial" w:hAnsi="Arial" w:cs="Arial"/>
          <w:sz w:val="24"/>
          <w:szCs w:val="24"/>
        </w:rPr>
        <w:t xml:space="preserve">The High Court </w:t>
      </w:r>
      <w:r w:rsidR="00B274F4" w:rsidRPr="00867948">
        <w:rPr>
          <w:rFonts w:ascii="Arial" w:hAnsi="Arial" w:cs="Arial"/>
          <w:sz w:val="24"/>
          <w:szCs w:val="24"/>
        </w:rPr>
        <w:t xml:space="preserve">confirmed </w:t>
      </w:r>
      <w:r w:rsidR="004B5A59" w:rsidRPr="00867948">
        <w:rPr>
          <w:rFonts w:ascii="Arial" w:hAnsi="Arial" w:cs="Arial"/>
          <w:sz w:val="24"/>
          <w:szCs w:val="24"/>
        </w:rPr>
        <w:t>that the d</w:t>
      </w:r>
      <w:r w:rsidR="0012478E" w:rsidRPr="00867948">
        <w:rPr>
          <w:rFonts w:ascii="Arial" w:hAnsi="Arial" w:cs="Arial"/>
          <w:sz w:val="24"/>
          <w:szCs w:val="24"/>
        </w:rPr>
        <w:t xml:space="preserve">uty to inquire arose </w:t>
      </w:r>
      <w:r w:rsidR="001F412E" w:rsidRPr="00867948">
        <w:rPr>
          <w:rFonts w:ascii="Arial" w:hAnsi="Arial" w:cs="Arial"/>
          <w:sz w:val="24"/>
          <w:szCs w:val="24"/>
        </w:rPr>
        <w:t xml:space="preserve">when the Department was made aware of a risk of harm, </w:t>
      </w:r>
      <w:r w:rsidR="0012478E" w:rsidRPr="00867948">
        <w:rPr>
          <w:rFonts w:ascii="Arial" w:hAnsi="Arial" w:cs="Arial"/>
          <w:sz w:val="24"/>
          <w:szCs w:val="24"/>
        </w:rPr>
        <w:t xml:space="preserve">even when a child had no legal status, for example simply if they were being monitored by the Department. </w:t>
      </w:r>
      <w:r w:rsidR="00F46E46" w:rsidRPr="00867948">
        <w:rPr>
          <w:rFonts w:ascii="Arial" w:hAnsi="Arial" w:cs="Arial"/>
          <w:sz w:val="24"/>
          <w:szCs w:val="24"/>
        </w:rPr>
        <w:t xml:space="preserve">Once on notice, </w:t>
      </w:r>
      <w:r w:rsidR="00C86AE6" w:rsidRPr="00867948">
        <w:rPr>
          <w:rFonts w:ascii="Arial" w:hAnsi="Arial" w:cs="Arial"/>
          <w:sz w:val="24"/>
          <w:szCs w:val="24"/>
        </w:rPr>
        <w:t xml:space="preserve">it </w:t>
      </w:r>
      <w:r w:rsidR="00F46E46" w:rsidRPr="00867948">
        <w:rPr>
          <w:rFonts w:ascii="Arial" w:hAnsi="Arial" w:cs="Arial"/>
          <w:sz w:val="24"/>
          <w:szCs w:val="24"/>
        </w:rPr>
        <w:t xml:space="preserve">was </w:t>
      </w:r>
      <w:r w:rsidR="00302820">
        <w:rPr>
          <w:rFonts w:ascii="Arial" w:hAnsi="Arial" w:cs="Arial"/>
          <w:sz w:val="24"/>
          <w:szCs w:val="24"/>
        </w:rPr>
        <w:t xml:space="preserve">a </w:t>
      </w:r>
      <w:r w:rsidR="00F46E46" w:rsidRPr="00867948">
        <w:rPr>
          <w:rFonts w:ascii="Arial" w:hAnsi="Arial" w:cs="Arial"/>
          <w:sz w:val="24"/>
          <w:szCs w:val="24"/>
        </w:rPr>
        <w:t xml:space="preserve">breach of duty when social workers failed to speak with the children on their own. </w:t>
      </w:r>
      <w:r w:rsidR="003D6BC8" w:rsidRPr="00867948">
        <w:rPr>
          <w:rFonts w:ascii="Arial" w:hAnsi="Arial" w:cs="Arial"/>
          <w:sz w:val="24"/>
          <w:szCs w:val="24"/>
        </w:rPr>
        <w:t xml:space="preserve">There was no dispute that once </w:t>
      </w:r>
      <w:r w:rsidR="008A09C0" w:rsidRPr="00867948">
        <w:rPr>
          <w:rFonts w:ascii="Arial" w:hAnsi="Arial" w:cs="Arial"/>
          <w:sz w:val="24"/>
          <w:szCs w:val="24"/>
        </w:rPr>
        <w:t xml:space="preserve">they were </w:t>
      </w:r>
      <w:r w:rsidR="003D6BC8" w:rsidRPr="00867948">
        <w:rPr>
          <w:rFonts w:ascii="Arial" w:hAnsi="Arial" w:cs="Arial"/>
          <w:sz w:val="24"/>
          <w:szCs w:val="24"/>
        </w:rPr>
        <w:t xml:space="preserve">state </w:t>
      </w:r>
      <w:r w:rsidR="008A09C0" w:rsidRPr="00867948">
        <w:rPr>
          <w:rFonts w:ascii="Arial" w:hAnsi="Arial" w:cs="Arial"/>
          <w:sz w:val="24"/>
          <w:szCs w:val="24"/>
        </w:rPr>
        <w:t>wards</w:t>
      </w:r>
      <w:r w:rsidR="003D6BC8" w:rsidRPr="00867948">
        <w:rPr>
          <w:rFonts w:ascii="Arial" w:hAnsi="Arial" w:cs="Arial"/>
          <w:sz w:val="24"/>
          <w:szCs w:val="24"/>
        </w:rPr>
        <w:t>, and committed to institutions, there was a duty toward them</w:t>
      </w:r>
      <w:r w:rsidR="004F23D4" w:rsidRPr="00867948">
        <w:rPr>
          <w:rFonts w:ascii="Arial" w:hAnsi="Arial" w:cs="Arial"/>
          <w:sz w:val="24"/>
          <w:szCs w:val="24"/>
        </w:rPr>
        <w:t xml:space="preserve">. </w:t>
      </w:r>
    </w:p>
    <w:p w14:paraId="2CC08BEA" w14:textId="635D9387" w:rsidR="00FC6785" w:rsidRPr="00867948" w:rsidRDefault="00FC6785" w:rsidP="00867948">
      <w:pPr>
        <w:ind w:left="1134" w:hanging="567"/>
        <w:rPr>
          <w:rFonts w:ascii="Arial" w:hAnsi="Arial" w:cs="Arial"/>
          <w:sz w:val="24"/>
          <w:szCs w:val="24"/>
        </w:rPr>
      </w:pPr>
    </w:p>
    <w:p w14:paraId="24DF63B0" w14:textId="2F8A3AD5" w:rsidR="00261B85" w:rsidRPr="00867948" w:rsidRDefault="00261B85" w:rsidP="00867948">
      <w:pPr>
        <w:pStyle w:val="Heading3"/>
        <w:ind w:left="1134" w:hanging="567"/>
        <w:rPr>
          <w:rFonts w:ascii="Arial" w:hAnsi="Arial" w:cs="Arial"/>
          <w:bCs/>
          <w:i/>
          <w:iCs/>
          <w:color w:val="000000" w:themeColor="text1"/>
          <w:lang w:val="en-NZ"/>
        </w:rPr>
      </w:pPr>
      <w:r w:rsidRPr="00867948">
        <w:rPr>
          <w:rFonts w:ascii="Arial" w:hAnsi="Arial" w:cs="Arial"/>
          <w:bCs/>
          <w:i/>
          <w:iCs/>
          <w:color w:val="000000" w:themeColor="text1"/>
          <w:lang w:val="en-NZ"/>
        </w:rPr>
        <w:t>Vicarious liability for actions of foster parents and parents</w:t>
      </w:r>
    </w:p>
    <w:p w14:paraId="0B4D05AD" w14:textId="77777777" w:rsidR="00261B85" w:rsidRPr="00867948" w:rsidRDefault="00261B85" w:rsidP="00867948">
      <w:pPr>
        <w:ind w:left="1134" w:hanging="567"/>
        <w:rPr>
          <w:rFonts w:ascii="Arial" w:hAnsi="Arial" w:cs="Arial"/>
          <w:sz w:val="24"/>
          <w:szCs w:val="24"/>
        </w:rPr>
      </w:pPr>
    </w:p>
    <w:p w14:paraId="1FAB97EB" w14:textId="76987671" w:rsidR="007332FD" w:rsidRPr="00867948" w:rsidRDefault="00404594"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It is g</w:t>
      </w:r>
      <w:r w:rsidR="007332FD" w:rsidRPr="00867948">
        <w:rPr>
          <w:rFonts w:ascii="Arial" w:hAnsi="Arial" w:cs="Arial"/>
          <w:sz w:val="24"/>
          <w:szCs w:val="24"/>
        </w:rPr>
        <w:t xml:space="preserve">enerally accepted that </w:t>
      </w:r>
      <w:r w:rsidRPr="00867948">
        <w:rPr>
          <w:rFonts w:ascii="Arial" w:hAnsi="Arial" w:cs="Arial"/>
          <w:sz w:val="24"/>
          <w:szCs w:val="24"/>
        </w:rPr>
        <w:t xml:space="preserve">the Crown is </w:t>
      </w:r>
      <w:r w:rsidR="007332FD" w:rsidRPr="00867948">
        <w:rPr>
          <w:rFonts w:ascii="Arial" w:hAnsi="Arial" w:cs="Arial"/>
          <w:sz w:val="24"/>
          <w:szCs w:val="24"/>
        </w:rPr>
        <w:t xml:space="preserve">vicariously liable for </w:t>
      </w:r>
      <w:r w:rsidR="00D03A15" w:rsidRPr="00867948">
        <w:rPr>
          <w:rFonts w:ascii="Arial" w:hAnsi="Arial" w:cs="Arial"/>
          <w:sz w:val="24"/>
          <w:szCs w:val="24"/>
        </w:rPr>
        <w:t xml:space="preserve">abuse by </w:t>
      </w:r>
      <w:r w:rsidRPr="00867948">
        <w:rPr>
          <w:rFonts w:ascii="Arial" w:hAnsi="Arial" w:cs="Arial"/>
          <w:sz w:val="24"/>
          <w:szCs w:val="24"/>
        </w:rPr>
        <w:t xml:space="preserve">its </w:t>
      </w:r>
      <w:r w:rsidR="007332FD" w:rsidRPr="00867948">
        <w:rPr>
          <w:rFonts w:ascii="Arial" w:hAnsi="Arial" w:cs="Arial"/>
          <w:sz w:val="24"/>
          <w:szCs w:val="24"/>
        </w:rPr>
        <w:t>employees</w:t>
      </w:r>
      <w:r w:rsidR="0098412F" w:rsidRPr="00867948">
        <w:rPr>
          <w:rFonts w:ascii="Arial" w:hAnsi="Arial" w:cs="Arial"/>
          <w:sz w:val="24"/>
          <w:szCs w:val="24"/>
        </w:rPr>
        <w:t xml:space="preserve"> </w:t>
      </w:r>
      <w:r w:rsidR="00564D4C" w:rsidRPr="00867948">
        <w:rPr>
          <w:rFonts w:ascii="Arial" w:hAnsi="Arial" w:cs="Arial"/>
          <w:sz w:val="24"/>
          <w:szCs w:val="24"/>
        </w:rPr>
        <w:t xml:space="preserve">where children are in institutional care. </w:t>
      </w:r>
      <w:r w:rsidR="00DB544D" w:rsidRPr="00867948">
        <w:rPr>
          <w:rFonts w:ascii="Arial" w:hAnsi="Arial" w:cs="Arial"/>
          <w:sz w:val="24"/>
          <w:szCs w:val="24"/>
        </w:rPr>
        <w:t xml:space="preserve">Key </w:t>
      </w:r>
      <w:r w:rsidR="005E2692" w:rsidRPr="00867948">
        <w:rPr>
          <w:rFonts w:ascii="Arial" w:hAnsi="Arial" w:cs="Arial"/>
          <w:sz w:val="24"/>
          <w:szCs w:val="24"/>
        </w:rPr>
        <w:t xml:space="preserve">cases dealt with </w:t>
      </w:r>
      <w:r w:rsidR="006E35DE" w:rsidRPr="00867948">
        <w:rPr>
          <w:rFonts w:ascii="Arial" w:hAnsi="Arial" w:cs="Arial"/>
          <w:sz w:val="24"/>
          <w:szCs w:val="24"/>
        </w:rPr>
        <w:t xml:space="preserve">whether the Crown is </w:t>
      </w:r>
      <w:r w:rsidR="002D1436" w:rsidRPr="00867948">
        <w:rPr>
          <w:rFonts w:ascii="Arial" w:hAnsi="Arial" w:cs="Arial"/>
          <w:sz w:val="24"/>
          <w:szCs w:val="24"/>
        </w:rPr>
        <w:t xml:space="preserve">vicariously liable for abuse by </w:t>
      </w:r>
      <w:r w:rsidR="006E35DE" w:rsidRPr="00867948">
        <w:rPr>
          <w:rFonts w:ascii="Arial" w:hAnsi="Arial" w:cs="Arial"/>
          <w:sz w:val="24"/>
          <w:szCs w:val="24"/>
        </w:rPr>
        <w:t>others in other care settings</w:t>
      </w:r>
      <w:r w:rsidR="00860259" w:rsidRPr="00867948">
        <w:rPr>
          <w:rFonts w:ascii="Arial" w:hAnsi="Arial" w:cs="Arial"/>
          <w:sz w:val="24"/>
          <w:szCs w:val="24"/>
        </w:rPr>
        <w:t>, such as foster parents or parents</w:t>
      </w:r>
      <w:r w:rsidR="002B3924" w:rsidRPr="00867948">
        <w:rPr>
          <w:rFonts w:ascii="Arial" w:hAnsi="Arial" w:cs="Arial"/>
          <w:sz w:val="24"/>
          <w:szCs w:val="24"/>
        </w:rPr>
        <w:t xml:space="preserve">. In particular: </w:t>
      </w:r>
    </w:p>
    <w:p w14:paraId="107CAC61" w14:textId="77777777" w:rsidR="00867948" w:rsidRDefault="00867948" w:rsidP="00867948">
      <w:pPr>
        <w:pStyle w:val="ListParagraph"/>
        <w:ind w:left="1134"/>
        <w:rPr>
          <w:rFonts w:ascii="Arial" w:hAnsi="Arial" w:cs="Arial"/>
          <w:sz w:val="24"/>
          <w:szCs w:val="24"/>
        </w:rPr>
      </w:pPr>
    </w:p>
    <w:p w14:paraId="4C1617A4" w14:textId="401B8B55" w:rsidR="00C57414" w:rsidRPr="00867948" w:rsidRDefault="00130677" w:rsidP="00867948">
      <w:pPr>
        <w:pStyle w:val="ListParagraph"/>
        <w:numPr>
          <w:ilvl w:val="0"/>
          <w:numId w:val="34"/>
        </w:numPr>
        <w:ind w:left="1701" w:hanging="567"/>
        <w:rPr>
          <w:rFonts w:ascii="Arial" w:hAnsi="Arial" w:cs="Arial"/>
          <w:sz w:val="24"/>
          <w:szCs w:val="24"/>
        </w:rPr>
      </w:pPr>
      <w:r w:rsidRPr="00867948">
        <w:rPr>
          <w:rFonts w:ascii="Arial" w:hAnsi="Arial" w:cs="Arial"/>
          <w:sz w:val="24"/>
          <w:szCs w:val="24"/>
        </w:rPr>
        <w:t xml:space="preserve">In </w:t>
      </w:r>
      <w:r w:rsidR="009B2D40" w:rsidRPr="00867948">
        <w:rPr>
          <w:rFonts w:ascii="Arial" w:hAnsi="Arial" w:cs="Arial"/>
          <w:i/>
          <w:iCs/>
          <w:sz w:val="24"/>
          <w:szCs w:val="24"/>
        </w:rPr>
        <w:t>S v A</w:t>
      </w:r>
      <w:r w:rsidR="00534920" w:rsidRPr="00867948">
        <w:rPr>
          <w:rFonts w:ascii="Arial" w:hAnsi="Arial" w:cs="Arial"/>
          <w:i/>
          <w:iCs/>
          <w:sz w:val="24"/>
          <w:szCs w:val="24"/>
        </w:rPr>
        <w:t>ttorney-</w:t>
      </w:r>
      <w:r w:rsidR="009B2D40" w:rsidRPr="00867948">
        <w:rPr>
          <w:rFonts w:ascii="Arial" w:hAnsi="Arial" w:cs="Arial"/>
          <w:i/>
          <w:iCs/>
          <w:sz w:val="24"/>
          <w:szCs w:val="24"/>
        </w:rPr>
        <w:t>G</w:t>
      </w:r>
      <w:r w:rsidR="00534920" w:rsidRPr="00867948">
        <w:rPr>
          <w:rFonts w:ascii="Arial" w:hAnsi="Arial" w:cs="Arial"/>
          <w:i/>
          <w:iCs/>
          <w:sz w:val="24"/>
          <w:szCs w:val="24"/>
        </w:rPr>
        <w:t>eneral</w:t>
      </w:r>
      <w:r w:rsidR="009B2D40" w:rsidRPr="00867948">
        <w:rPr>
          <w:rFonts w:ascii="Arial" w:hAnsi="Arial" w:cs="Arial"/>
          <w:i/>
          <w:iCs/>
          <w:sz w:val="24"/>
          <w:szCs w:val="24"/>
        </w:rPr>
        <w:t xml:space="preserve"> </w:t>
      </w:r>
      <w:r w:rsidR="00012FD3" w:rsidRPr="00867948">
        <w:rPr>
          <w:rFonts w:ascii="Arial" w:hAnsi="Arial" w:cs="Arial"/>
          <w:sz w:val="24"/>
          <w:szCs w:val="24"/>
        </w:rPr>
        <w:t>(HC Wellington CP 253/96, 1 February 2002) and [2003] 3 NZLR 450 (CA)</w:t>
      </w:r>
      <w:r w:rsidR="00AA7156" w:rsidRPr="00867948">
        <w:rPr>
          <w:rFonts w:ascii="Arial" w:hAnsi="Arial" w:cs="Arial"/>
          <w:sz w:val="24"/>
          <w:szCs w:val="24"/>
        </w:rPr>
        <w:t xml:space="preserve"> </w:t>
      </w:r>
      <w:r w:rsidRPr="00867948">
        <w:rPr>
          <w:rFonts w:ascii="Arial" w:hAnsi="Arial" w:cs="Arial"/>
          <w:sz w:val="24"/>
          <w:szCs w:val="24"/>
        </w:rPr>
        <w:t>it was accepted that the Crown could be vicariously liable for the actions of foster parents – the foster parents were</w:t>
      </w:r>
      <w:r w:rsidR="00BA1F55" w:rsidRPr="00867948">
        <w:rPr>
          <w:rFonts w:ascii="Arial" w:hAnsi="Arial" w:cs="Arial"/>
          <w:sz w:val="24"/>
          <w:szCs w:val="24"/>
        </w:rPr>
        <w:t xml:space="preserve"> akin to agents as they were</w:t>
      </w:r>
      <w:r w:rsidRPr="00867948">
        <w:rPr>
          <w:rFonts w:ascii="Arial" w:hAnsi="Arial" w:cs="Arial"/>
          <w:sz w:val="24"/>
          <w:szCs w:val="24"/>
        </w:rPr>
        <w:t>, at the State’s request, undertaking the State’s responsibility of care for children</w:t>
      </w:r>
      <w:r w:rsidR="00BA1F55" w:rsidRPr="00867948">
        <w:rPr>
          <w:rFonts w:ascii="Arial" w:hAnsi="Arial" w:cs="Arial"/>
          <w:sz w:val="24"/>
          <w:szCs w:val="24"/>
        </w:rPr>
        <w:t xml:space="preserve">; they were licenced to do so by the Social Welfare Department; and the Superintendent had </w:t>
      </w:r>
      <w:r w:rsidR="009B2D40" w:rsidRPr="00867948">
        <w:rPr>
          <w:rFonts w:ascii="Arial" w:hAnsi="Arial" w:cs="Arial"/>
          <w:sz w:val="24"/>
          <w:szCs w:val="24"/>
        </w:rPr>
        <w:t xml:space="preserve">an ongoing duty to take care of </w:t>
      </w:r>
      <w:r w:rsidR="00BA1F55" w:rsidRPr="00867948">
        <w:rPr>
          <w:rFonts w:ascii="Arial" w:hAnsi="Arial" w:cs="Arial"/>
          <w:sz w:val="24"/>
          <w:szCs w:val="24"/>
        </w:rPr>
        <w:t xml:space="preserve">the </w:t>
      </w:r>
      <w:r w:rsidR="00792549" w:rsidRPr="00867948">
        <w:rPr>
          <w:rFonts w:ascii="Arial" w:hAnsi="Arial" w:cs="Arial"/>
          <w:sz w:val="24"/>
          <w:szCs w:val="24"/>
        </w:rPr>
        <w:t xml:space="preserve">foster </w:t>
      </w:r>
      <w:r w:rsidR="009B2D40" w:rsidRPr="00867948">
        <w:rPr>
          <w:rFonts w:ascii="Arial" w:hAnsi="Arial" w:cs="Arial"/>
          <w:sz w:val="24"/>
          <w:szCs w:val="24"/>
        </w:rPr>
        <w:t>children</w:t>
      </w:r>
      <w:r w:rsidR="005E150B" w:rsidRPr="00867948">
        <w:rPr>
          <w:rFonts w:ascii="Arial" w:hAnsi="Arial" w:cs="Arial"/>
          <w:sz w:val="24"/>
          <w:szCs w:val="24"/>
        </w:rPr>
        <w:t xml:space="preserve">, including </w:t>
      </w:r>
      <w:r w:rsidR="00792549" w:rsidRPr="00867948">
        <w:rPr>
          <w:rFonts w:ascii="Arial" w:hAnsi="Arial" w:cs="Arial"/>
          <w:sz w:val="24"/>
          <w:szCs w:val="24"/>
        </w:rPr>
        <w:t xml:space="preserve">a </w:t>
      </w:r>
      <w:r w:rsidR="005E150B" w:rsidRPr="00867948">
        <w:rPr>
          <w:rFonts w:ascii="Arial" w:hAnsi="Arial" w:cs="Arial"/>
          <w:sz w:val="24"/>
          <w:szCs w:val="24"/>
        </w:rPr>
        <w:t xml:space="preserve">right of inspection, </w:t>
      </w:r>
      <w:r w:rsidR="00792549" w:rsidRPr="00867948">
        <w:rPr>
          <w:rFonts w:ascii="Arial" w:hAnsi="Arial" w:cs="Arial"/>
          <w:sz w:val="24"/>
          <w:szCs w:val="24"/>
        </w:rPr>
        <w:t xml:space="preserve">and a </w:t>
      </w:r>
      <w:r w:rsidR="005E150B" w:rsidRPr="00867948">
        <w:rPr>
          <w:rFonts w:ascii="Arial" w:hAnsi="Arial" w:cs="Arial"/>
          <w:sz w:val="24"/>
          <w:szCs w:val="24"/>
        </w:rPr>
        <w:t xml:space="preserve">right to remove </w:t>
      </w:r>
      <w:r w:rsidR="007F0C88">
        <w:rPr>
          <w:rFonts w:ascii="Arial" w:hAnsi="Arial" w:cs="Arial"/>
          <w:sz w:val="24"/>
          <w:szCs w:val="24"/>
        </w:rPr>
        <w:t xml:space="preserve">the </w:t>
      </w:r>
      <w:r w:rsidR="005E150B" w:rsidRPr="00867948">
        <w:rPr>
          <w:rFonts w:ascii="Arial" w:hAnsi="Arial" w:cs="Arial"/>
          <w:sz w:val="24"/>
          <w:szCs w:val="24"/>
        </w:rPr>
        <w:t xml:space="preserve">child at any time. </w:t>
      </w:r>
      <w:r w:rsidR="00D67F4E" w:rsidRPr="00867948">
        <w:rPr>
          <w:rFonts w:ascii="Arial" w:hAnsi="Arial" w:cs="Arial"/>
          <w:sz w:val="24"/>
          <w:szCs w:val="24"/>
        </w:rPr>
        <w:t xml:space="preserve">It was also </w:t>
      </w:r>
      <w:r w:rsidR="00902E06" w:rsidRPr="00867948">
        <w:rPr>
          <w:rFonts w:ascii="Arial" w:hAnsi="Arial" w:cs="Arial"/>
          <w:sz w:val="24"/>
          <w:szCs w:val="24"/>
        </w:rPr>
        <w:t xml:space="preserve">held </w:t>
      </w:r>
      <w:r w:rsidR="00D67F4E" w:rsidRPr="00867948">
        <w:rPr>
          <w:rFonts w:ascii="Arial" w:hAnsi="Arial" w:cs="Arial"/>
          <w:sz w:val="24"/>
          <w:szCs w:val="24"/>
        </w:rPr>
        <w:t xml:space="preserve">that </w:t>
      </w:r>
      <w:r w:rsidR="00324E40" w:rsidRPr="00867948">
        <w:rPr>
          <w:rFonts w:ascii="Arial" w:hAnsi="Arial" w:cs="Arial"/>
          <w:sz w:val="24"/>
          <w:szCs w:val="24"/>
        </w:rPr>
        <w:t xml:space="preserve">the </w:t>
      </w:r>
      <w:r w:rsidR="005E150B" w:rsidRPr="00867948">
        <w:rPr>
          <w:rFonts w:ascii="Arial" w:hAnsi="Arial" w:cs="Arial"/>
          <w:sz w:val="24"/>
          <w:szCs w:val="24"/>
        </w:rPr>
        <w:t xml:space="preserve">abuse </w:t>
      </w:r>
      <w:r w:rsidR="00324E40" w:rsidRPr="00867948">
        <w:rPr>
          <w:rFonts w:ascii="Arial" w:hAnsi="Arial" w:cs="Arial"/>
          <w:sz w:val="24"/>
          <w:szCs w:val="24"/>
        </w:rPr>
        <w:t xml:space="preserve">that occurred was </w:t>
      </w:r>
      <w:r w:rsidR="00324DB9" w:rsidRPr="00867948">
        <w:rPr>
          <w:rFonts w:ascii="Arial" w:hAnsi="Arial" w:cs="Arial"/>
          <w:sz w:val="24"/>
          <w:szCs w:val="24"/>
        </w:rPr>
        <w:t xml:space="preserve">closely enough associated with the parenting role required of the foster parents, that it was </w:t>
      </w:r>
      <w:r w:rsidR="005E150B" w:rsidRPr="00867948">
        <w:rPr>
          <w:rFonts w:ascii="Arial" w:hAnsi="Arial" w:cs="Arial"/>
          <w:sz w:val="24"/>
          <w:szCs w:val="24"/>
        </w:rPr>
        <w:t>in the course of performance of agency duties.</w:t>
      </w:r>
      <w:r w:rsidR="006E35DE" w:rsidRPr="00867948">
        <w:rPr>
          <w:rFonts w:ascii="Arial" w:hAnsi="Arial" w:cs="Arial"/>
          <w:sz w:val="24"/>
          <w:szCs w:val="24"/>
        </w:rPr>
        <w:t xml:space="preserve"> </w:t>
      </w:r>
      <w:r w:rsidR="00AE2D54" w:rsidRPr="00867948">
        <w:rPr>
          <w:rFonts w:ascii="Arial" w:hAnsi="Arial" w:cs="Arial"/>
          <w:sz w:val="24"/>
          <w:szCs w:val="24"/>
        </w:rPr>
        <w:t xml:space="preserve">However, the Crown was held not to be </w:t>
      </w:r>
      <w:r w:rsidR="0005619C" w:rsidRPr="00867948">
        <w:rPr>
          <w:rFonts w:ascii="Arial" w:hAnsi="Arial" w:cs="Arial"/>
          <w:sz w:val="24"/>
          <w:szCs w:val="24"/>
        </w:rPr>
        <w:t xml:space="preserve">vicariously </w:t>
      </w:r>
      <w:r w:rsidR="00AE2D54" w:rsidRPr="00867948">
        <w:rPr>
          <w:rFonts w:ascii="Arial" w:hAnsi="Arial" w:cs="Arial"/>
          <w:sz w:val="24"/>
          <w:szCs w:val="24"/>
        </w:rPr>
        <w:t xml:space="preserve">liable for abuse by the foster parent’s adult son. </w:t>
      </w:r>
    </w:p>
    <w:p w14:paraId="52F8F1F1" w14:textId="77777777" w:rsidR="00867948" w:rsidRDefault="00867948" w:rsidP="00867948">
      <w:pPr>
        <w:pStyle w:val="ListParagraph"/>
        <w:ind w:left="1134"/>
        <w:rPr>
          <w:rFonts w:ascii="Arial" w:hAnsi="Arial" w:cs="Arial"/>
          <w:sz w:val="24"/>
          <w:szCs w:val="24"/>
        </w:rPr>
      </w:pPr>
    </w:p>
    <w:p w14:paraId="7C860447" w14:textId="20693B20" w:rsidR="00824A52" w:rsidRPr="00867948" w:rsidRDefault="00355F82" w:rsidP="00867948">
      <w:pPr>
        <w:pStyle w:val="ListParagraph"/>
        <w:numPr>
          <w:ilvl w:val="0"/>
          <w:numId w:val="34"/>
        </w:numPr>
        <w:ind w:left="1701" w:hanging="567"/>
        <w:rPr>
          <w:rFonts w:ascii="Arial" w:hAnsi="Arial" w:cs="Arial"/>
          <w:sz w:val="24"/>
          <w:szCs w:val="24"/>
        </w:rPr>
      </w:pPr>
      <w:r w:rsidRPr="00867948">
        <w:rPr>
          <w:rFonts w:ascii="Arial" w:hAnsi="Arial" w:cs="Arial"/>
          <w:sz w:val="24"/>
          <w:szCs w:val="24"/>
        </w:rPr>
        <w:t xml:space="preserve">In contrast, in </w:t>
      </w:r>
      <w:r w:rsidR="00AA44E3" w:rsidRPr="00867948">
        <w:rPr>
          <w:rFonts w:ascii="Arial" w:hAnsi="Arial" w:cs="Arial"/>
          <w:i/>
          <w:iCs/>
          <w:sz w:val="24"/>
          <w:szCs w:val="24"/>
        </w:rPr>
        <w:t>White v A</w:t>
      </w:r>
      <w:r w:rsidR="00EE7BF5" w:rsidRPr="00867948">
        <w:rPr>
          <w:rFonts w:ascii="Arial" w:hAnsi="Arial" w:cs="Arial"/>
          <w:i/>
          <w:iCs/>
          <w:sz w:val="24"/>
          <w:szCs w:val="24"/>
        </w:rPr>
        <w:t>ttorney-</w:t>
      </w:r>
      <w:r w:rsidR="00AA44E3" w:rsidRPr="00867948">
        <w:rPr>
          <w:rFonts w:ascii="Arial" w:hAnsi="Arial" w:cs="Arial"/>
          <w:i/>
          <w:iCs/>
          <w:sz w:val="24"/>
          <w:szCs w:val="24"/>
        </w:rPr>
        <w:t>G</w:t>
      </w:r>
      <w:r w:rsidR="00EE7BF5" w:rsidRPr="00867948">
        <w:rPr>
          <w:rFonts w:ascii="Arial" w:hAnsi="Arial" w:cs="Arial"/>
          <w:i/>
          <w:iCs/>
          <w:sz w:val="24"/>
          <w:szCs w:val="24"/>
        </w:rPr>
        <w:t>eneral</w:t>
      </w:r>
      <w:r w:rsidR="00534920" w:rsidRPr="00867948">
        <w:rPr>
          <w:rFonts w:ascii="Arial" w:hAnsi="Arial" w:cs="Arial"/>
          <w:i/>
          <w:iCs/>
          <w:sz w:val="24"/>
          <w:szCs w:val="24"/>
        </w:rPr>
        <w:t xml:space="preserve"> </w:t>
      </w:r>
      <w:r w:rsidR="00534920" w:rsidRPr="00867948">
        <w:rPr>
          <w:rFonts w:ascii="Arial" w:hAnsi="Arial" w:cs="Arial"/>
          <w:sz w:val="24"/>
          <w:szCs w:val="24"/>
        </w:rPr>
        <w:t>(HC Wellington CIV 1999-485-85, 28 November 2007)</w:t>
      </w:r>
      <w:r w:rsidRPr="00867948">
        <w:rPr>
          <w:rFonts w:ascii="Arial" w:hAnsi="Arial" w:cs="Arial"/>
          <w:i/>
          <w:iCs/>
          <w:sz w:val="24"/>
          <w:szCs w:val="24"/>
        </w:rPr>
        <w:t xml:space="preserve">, </w:t>
      </w:r>
      <w:r w:rsidR="00686ACA" w:rsidRPr="00867948">
        <w:rPr>
          <w:rFonts w:ascii="Arial" w:hAnsi="Arial" w:cs="Arial"/>
          <w:sz w:val="24"/>
          <w:szCs w:val="24"/>
        </w:rPr>
        <w:t xml:space="preserve">the High Court found that the Crown was not </w:t>
      </w:r>
      <w:r w:rsidR="0009206D" w:rsidRPr="00867948">
        <w:rPr>
          <w:rFonts w:ascii="Arial" w:hAnsi="Arial" w:cs="Arial"/>
          <w:sz w:val="24"/>
          <w:szCs w:val="24"/>
        </w:rPr>
        <w:t>vicarious</w:t>
      </w:r>
      <w:r w:rsidR="00686ACA" w:rsidRPr="00867948">
        <w:rPr>
          <w:rFonts w:ascii="Arial" w:hAnsi="Arial" w:cs="Arial"/>
          <w:sz w:val="24"/>
          <w:szCs w:val="24"/>
        </w:rPr>
        <w:t>ly</w:t>
      </w:r>
      <w:r w:rsidR="0009206D" w:rsidRPr="00867948">
        <w:rPr>
          <w:rFonts w:ascii="Arial" w:hAnsi="Arial" w:cs="Arial"/>
          <w:sz w:val="24"/>
          <w:szCs w:val="24"/>
        </w:rPr>
        <w:t xml:space="preserve"> liab</w:t>
      </w:r>
      <w:r w:rsidR="00686ACA" w:rsidRPr="00867948">
        <w:rPr>
          <w:rFonts w:ascii="Arial" w:hAnsi="Arial" w:cs="Arial"/>
          <w:sz w:val="24"/>
          <w:szCs w:val="24"/>
        </w:rPr>
        <w:t>le</w:t>
      </w:r>
      <w:r w:rsidR="0009206D" w:rsidRPr="00867948">
        <w:rPr>
          <w:rFonts w:ascii="Arial" w:hAnsi="Arial" w:cs="Arial"/>
          <w:sz w:val="24"/>
          <w:szCs w:val="24"/>
        </w:rPr>
        <w:t xml:space="preserve"> for </w:t>
      </w:r>
      <w:r w:rsidR="00341F16" w:rsidRPr="00867948">
        <w:rPr>
          <w:rFonts w:ascii="Arial" w:hAnsi="Arial" w:cs="Arial"/>
          <w:sz w:val="24"/>
          <w:szCs w:val="24"/>
        </w:rPr>
        <w:t xml:space="preserve">the actions </w:t>
      </w:r>
      <w:r w:rsidR="0009206D" w:rsidRPr="00867948">
        <w:rPr>
          <w:rFonts w:ascii="Arial" w:hAnsi="Arial" w:cs="Arial"/>
          <w:sz w:val="24"/>
          <w:szCs w:val="24"/>
        </w:rPr>
        <w:t xml:space="preserve">of </w:t>
      </w:r>
      <w:r w:rsidR="00341F16" w:rsidRPr="00867948">
        <w:rPr>
          <w:rFonts w:ascii="Arial" w:hAnsi="Arial" w:cs="Arial"/>
          <w:sz w:val="24"/>
          <w:szCs w:val="24"/>
        </w:rPr>
        <w:t xml:space="preserve">the children’s </w:t>
      </w:r>
      <w:r w:rsidR="0009206D" w:rsidRPr="00867948">
        <w:rPr>
          <w:rFonts w:ascii="Arial" w:hAnsi="Arial" w:cs="Arial"/>
          <w:sz w:val="24"/>
          <w:szCs w:val="24"/>
        </w:rPr>
        <w:t xml:space="preserve">parents and </w:t>
      </w:r>
      <w:r w:rsidR="001340C9" w:rsidRPr="00867948">
        <w:rPr>
          <w:rFonts w:ascii="Arial" w:hAnsi="Arial" w:cs="Arial"/>
          <w:sz w:val="24"/>
          <w:szCs w:val="24"/>
        </w:rPr>
        <w:t>stepfather</w:t>
      </w:r>
      <w:r w:rsidR="0009206D" w:rsidRPr="00867948">
        <w:rPr>
          <w:rFonts w:ascii="Arial" w:hAnsi="Arial" w:cs="Arial"/>
          <w:sz w:val="24"/>
          <w:szCs w:val="24"/>
        </w:rPr>
        <w:t xml:space="preserve">, either </w:t>
      </w:r>
      <w:r w:rsidR="001761F1" w:rsidRPr="00867948">
        <w:rPr>
          <w:rFonts w:ascii="Arial" w:hAnsi="Arial" w:cs="Arial"/>
          <w:sz w:val="24"/>
          <w:szCs w:val="24"/>
        </w:rPr>
        <w:t xml:space="preserve">during the period </w:t>
      </w:r>
      <w:r w:rsidR="009A07F8" w:rsidRPr="00867948">
        <w:rPr>
          <w:rFonts w:ascii="Arial" w:hAnsi="Arial" w:cs="Arial"/>
          <w:sz w:val="24"/>
          <w:szCs w:val="24"/>
        </w:rPr>
        <w:t xml:space="preserve">while </w:t>
      </w:r>
      <w:r w:rsidR="0009206D" w:rsidRPr="00867948">
        <w:rPr>
          <w:rFonts w:ascii="Arial" w:hAnsi="Arial" w:cs="Arial"/>
          <w:sz w:val="24"/>
          <w:szCs w:val="24"/>
        </w:rPr>
        <w:t xml:space="preserve">the children </w:t>
      </w:r>
      <w:r w:rsidR="009A07F8" w:rsidRPr="00867948">
        <w:rPr>
          <w:rFonts w:ascii="Arial" w:hAnsi="Arial" w:cs="Arial"/>
          <w:sz w:val="24"/>
          <w:szCs w:val="24"/>
        </w:rPr>
        <w:t xml:space="preserve">and parents were being supervised, or later when the children </w:t>
      </w:r>
      <w:r w:rsidR="007F0C88">
        <w:rPr>
          <w:rFonts w:ascii="Arial" w:hAnsi="Arial" w:cs="Arial"/>
          <w:sz w:val="24"/>
          <w:szCs w:val="24"/>
        </w:rPr>
        <w:t xml:space="preserve">were </w:t>
      </w:r>
      <w:r w:rsidR="009A07F8" w:rsidRPr="00867948">
        <w:rPr>
          <w:rFonts w:ascii="Arial" w:hAnsi="Arial" w:cs="Arial"/>
          <w:sz w:val="24"/>
          <w:szCs w:val="24"/>
        </w:rPr>
        <w:t>placed back with their parents</w:t>
      </w:r>
      <w:r w:rsidR="006E18BB" w:rsidRPr="00867948">
        <w:rPr>
          <w:rFonts w:ascii="Arial" w:hAnsi="Arial" w:cs="Arial"/>
          <w:sz w:val="24"/>
          <w:szCs w:val="24"/>
        </w:rPr>
        <w:t xml:space="preserve"> while remaining state wards</w:t>
      </w:r>
      <w:r w:rsidR="009A07F8" w:rsidRPr="00867948">
        <w:rPr>
          <w:rFonts w:ascii="Arial" w:hAnsi="Arial" w:cs="Arial"/>
          <w:sz w:val="24"/>
          <w:szCs w:val="24"/>
        </w:rPr>
        <w:t xml:space="preserve">. It was distinguished from </w:t>
      </w:r>
      <w:r w:rsidR="009A07F8" w:rsidRPr="00867948">
        <w:rPr>
          <w:rFonts w:ascii="Arial" w:hAnsi="Arial" w:cs="Arial"/>
          <w:i/>
          <w:iCs/>
          <w:sz w:val="24"/>
          <w:szCs w:val="24"/>
        </w:rPr>
        <w:t xml:space="preserve">S v AG </w:t>
      </w:r>
      <w:r w:rsidR="009A07F8" w:rsidRPr="00867948">
        <w:rPr>
          <w:rFonts w:ascii="Arial" w:hAnsi="Arial" w:cs="Arial"/>
          <w:sz w:val="24"/>
          <w:szCs w:val="24"/>
        </w:rPr>
        <w:t xml:space="preserve">as at that time there was no alternative open to the Social Welfare Department for placement. </w:t>
      </w:r>
      <w:r w:rsidR="005E5E70" w:rsidRPr="00867948">
        <w:rPr>
          <w:rFonts w:ascii="Arial" w:hAnsi="Arial" w:cs="Arial"/>
          <w:sz w:val="24"/>
          <w:szCs w:val="24"/>
        </w:rPr>
        <w:t xml:space="preserve">The </w:t>
      </w:r>
      <w:r w:rsidR="00D22BB0" w:rsidRPr="00867948">
        <w:rPr>
          <w:rFonts w:ascii="Arial" w:hAnsi="Arial" w:cs="Arial"/>
          <w:sz w:val="24"/>
          <w:szCs w:val="24"/>
        </w:rPr>
        <w:t>C</w:t>
      </w:r>
      <w:r w:rsidR="005E5E70" w:rsidRPr="00867948">
        <w:rPr>
          <w:rFonts w:ascii="Arial" w:hAnsi="Arial" w:cs="Arial"/>
          <w:sz w:val="24"/>
          <w:szCs w:val="24"/>
        </w:rPr>
        <w:t xml:space="preserve">ourt of </w:t>
      </w:r>
      <w:r w:rsidR="00D22BB0" w:rsidRPr="00867948">
        <w:rPr>
          <w:rFonts w:ascii="Arial" w:hAnsi="Arial" w:cs="Arial"/>
          <w:sz w:val="24"/>
          <w:szCs w:val="24"/>
        </w:rPr>
        <w:t>A</w:t>
      </w:r>
      <w:r w:rsidR="005E5E70" w:rsidRPr="00867948">
        <w:rPr>
          <w:rFonts w:ascii="Arial" w:hAnsi="Arial" w:cs="Arial"/>
          <w:sz w:val="24"/>
          <w:szCs w:val="24"/>
        </w:rPr>
        <w:t>ppeal</w:t>
      </w:r>
      <w:r w:rsidR="00D22BB0" w:rsidRPr="00867948">
        <w:rPr>
          <w:rFonts w:ascii="Arial" w:hAnsi="Arial" w:cs="Arial"/>
          <w:sz w:val="24"/>
          <w:szCs w:val="24"/>
        </w:rPr>
        <w:t xml:space="preserve"> </w:t>
      </w:r>
      <w:r w:rsidR="00E646E1" w:rsidRPr="00867948">
        <w:rPr>
          <w:rFonts w:ascii="Arial" w:hAnsi="Arial" w:cs="Arial"/>
          <w:sz w:val="24"/>
          <w:szCs w:val="24"/>
        </w:rPr>
        <w:t>(</w:t>
      </w:r>
      <w:r w:rsidR="00286B4D" w:rsidRPr="00867948">
        <w:rPr>
          <w:rFonts w:ascii="Arial" w:hAnsi="Arial" w:cs="Arial"/>
          <w:sz w:val="24"/>
          <w:szCs w:val="24"/>
        </w:rPr>
        <w:t xml:space="preserve">[2010] NZCA 139) </w:t>
      </w:r>
      <w:r w:rsidR="00D22BB0" w:rsidRPr="00867948">
        <w:rPr>
          <w:rFonts w:ascii="Arial" w:hAnsi="Arial" w:cs="Arial"/>
          <w:sz w:val="24"/>
          <w:szCs w:val="24"/>
        </w:rPr>
        <w:t xml:space="preserve">held </w:t>
      </w:r>
      <w:r w:rsidR="00E73C06" w:rsidRPr="00867948">
        <w:rPr>
          <w:rFonts w:ascii="Arial" w:hAnsi="Arial" w:cs="Arial"/>
          <w:sz w:val="24"/>
          <w:szCs w:val="24"/>
        </w:rPr>
        <w:t xml:space="preserve">that it was </w:t>
      </w:r>
      <w:r w:rsidR="00D22BB0" w:rsidRPr="00867948">
        <w:rPr>
          <w:rFonts w:ascii="Arial" w:hAnsi="Arial" w:cs="Arial"/>
          <w:sz w:val="24"/>
          <w:szCs w:val="24"/>
        </w:rPr>
        <w:t>not necessary to decide</w:t>
      </w:r>
      <w:r w:rsidR="00014740" w:rsidRPr="00867948">
        <w:rPr>
          <w:rFonts w:ascii="Arial" w:hAnsi="Arial" w:cs="Arial"/>
          <w:sz w:val="24"/>
          <w:szCs w:val="24"/>
        </w:rPr>
        <w:t xml:space="preserve"> whether the Crown could be vicariously liable</w:t>
      </w:r>
      <w:r w:rsidR="00A81611" w:rsidRPr="00867948">
        <w:rPr>
          <w:rFonts w:ascii="Arial" w:hAnsi="Arial" w:cs="Arial"/>
          <w:sz w:val="24"/>
          <w:szCs w:val="24"/>
        </w:rPr>
        <w:t xml:space="preserve"> for actions of parents while the children were wards of the state</w:t>
      </w:r>
      <w:r w:rsidR="00D22BB0" w:rsidRPr="00867948">
        <w:rPr>
          <w:rFonts w:ascii="Arial" w:hAnsi="Arial" w:cs="Arial"/>
          <w:sz w:val="24"/>
          <w:szCs w:val="24"/>
        </w:rPr>
        <w:t xml:space="preserve">, as </w:t>
      </w:r>
      <w:r w:rsidR="00014740" w:rsidRPr="00867948">
        <w:rPr>
          <w:rFonts w:ascii="Arial" w:hAnsi="Arial" w:cs="Arial"/>
          <w:sz w:val="24"/>
          <w:szCs w:val="24"/>
        </w:rPr>
        <w:t xml:space="preserve">on the facts </w:t>
      </w:r>
      <w:r w:rsidR="00D22BB0" w:rsidRPr="00867948">
        <w:rPr>
          <w:rFonts w:ascii="Arial" w:hAnsi="Arial" w:cs="Arial"/>
          <w:sz w:val="24"/>
          <w:szCs w:val="24"/>
        </w:rPr>
        <w:t xml:space="preserve">no breach of duty by the parents </w:t>
      </w:r>
      <w:r w:rsidR="00014740" w:rsidRPr="00867948">
        <w:rPr>
          <w:rFonts w:ascii="Arial" w:hAnsi="Arial" w:cs="Arial"/>
          <w:sz w:val="24"/>
          <w:szCs w:val="24"/>
        </w:rPr>
        <w:t xml:space="preserve">had been </w:t>
      </w:r>
      <w:r w:rsidR="00D22BB0" w:rsidRPr="00867948">
        <w:rPr>
          <w:rFonts w:ascii="Arial" w:hAnsi="Arial" w:cs="Arial"/>
          <w:sz w:val="24"/>
          <w:szCs w:val="24"/>
        </w:rPr>
        <w:t>established.</w:t>
      </w:r>
    </w:p>
    <w:p w14:paraId="6A90D1B3" w14:textId="77777777" w:rsidR="00377A3F" w:rsidRPr="00867948" w:rsidRDefault="00377A3F" w:rsidP="00867948">
      <w:pPr>
        <w:pStyle w:val="ListParagraph"/>
        <w:ind w:left="1134" w:hanging="567"/>
        <w:rPr>
          <w:rFonts w:ascii="Arial" w:hAnsi="Arial" w:cs="Arial"/>
          <w:sz w:val="24"/>
          <w:szCs w:val="24"/>
        </w:rPr>
      </w:pPr>
    </w:p>
    <w:p w14:paraId="102CFD02" w14:textId="7FCB0FC6" w:rsidR="00C1162E" w:rsidRPr="00867948" w:rsidRDefault="00C1162E" w:rsidP="00867948">
      <w:pPr>
        <w:pStyle w:val="Heading3"/>
        <w:ind w:left="1134" w:hanging="567"/>
        <w:rPr>
          <w:rFonts w:ascii="Arial" w:hAnsi="Arial" w:cs="Arial"/>
          <w:bCs/>
          <w:i/>
          <w:iCs/>
          <w:color w:val="000000" w:themeColor="text1"/>
          <w:lang w:val="en-NZ"/>
        </w:rPr>
      </w:pPr>
      <w:r w:rsidRPr="00867948">
        <w:rPr>
          <w:rFonts w:ascii="Arial" w:hAnsi="Arial" w:cs="Arial"/>
          <w:bCs/>
          <w:i/>
          <w:iCs/>
          <w:color w:val="000000" w:themeColor="text1"/>
          <w:lang w:val="en-NZ"/>
        </w:rPr>
        <w:t>Causation of damage</w:t>
      </w:r>
    </w:p>
    <w:p w14:paraId="5B1CE545" w14:textId="72AB9800" w:rsidR="00824A52" w:rsidRPr="00867948" w:rsidRDefault="00824A52" w:rsidP="00867948">
      <w:pPr>
        <w:pStyle w:val="ListParagraph"/>
        <w:ind w:left="1134" w:hanging="567"/>
        <w:rPr>
          <w:rFonts w:ascii="Arial" w:hAnsi="Arial" w:cs="Arial"/>
          <w:sz w:val="24"/>
          <w:szCs w:val="24"/>
        </w:rPr>
      </w:pPr>
    </w:p>
    <w:p w14:paraId="1C1CF639" w14:textId="376A6BA9" w:rsidR="004A2FC1" w:rsidRPr="00867948" w:rsidRDefault="00DE794F"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The </w:t>
      </w:r>
      <w:r w:rsidR="00F94EF8" w:rsidRPr="00867948">
        <w:rPr>
          <w:rFonts w:ascii="Arial" w:hAnsi="Arial" w:cs="Arial"/>
          <w:i/>
          <w:iCs/>
          <w:sz w:val="24"/>
          <w:szCs w:val="24"/>
        </w:rPr>
        <w:t xml:space="preserve">White </w:t>
      </w:r>
      <w:r w:rsidR="005060BC" w:rsidRPr="00867948">
        <w:rPr>
          <w:rFonts w:ascii="Arial" w:hAnsi="Arial" w:cs="Arial"/>
          <w:sz w:val="24"/>
          <w:szCs w:val="24"/>
        </w:rPr>
        <w:t xml:space="preserve">case </w:t>
      </w:r>
      <w:r w:rsidR="00F94EF8" w:rsidRPr="00867948">
        <w:rPr>
          <w:rFonts w:ascii="Arial" w:hAnsi="Arial" w:cs="Arial"/>
          <w:sz w:val="24"/>
          <w:szCs w:val="24"/>
        </w:rPr>
        <w:t xml:space="preserve">highlighted the challenge </w:t>
      </w:r>
      <w:r w:rsidR="004E3F16" w:rsidRPr="00867948">
        <w:rPr>
          <w:rFonts w:ascii="Arial" w:hAnsi="Arial" w:cs="Arial"/>
          <w:sz w:val="24"/>
          <w:szCs w:val="24"/>
        </w:rPr>
        <w:t xml:space="preserve">that some </w:t>
      </w:r>
      <w:r w:rsidR="00F94EF8" w:rsidRPr="00867948">
        <w:rPr>
          <w:rFonts w:ascii="Arial" w:hAnsi="Arial" w:cs="Arial"/>
          <w:sz w:val="24"/>
          <w:szCs w:val="24"/>
        </w:rPr>
        <w:t xml:space="preserve">abuse victims </w:t>
      </w:r>
      <w:r w:rsidR="004E3F16" w:rsidRPr="00867948">
        <w:rPr>
          <w:rFonts w:ascii="Arial" w:hAnsi="Arial" w:cs="Arial"/>
          <w:sz w:val="24"/>
          <w:szCs w:val="24"/>
        </w:rPr>
        <w:t xml:space="preserve">may face </w:t>
      </w:r>
      <w:r w:rsidR="00F94EF8" w:rsidRPr="00867948">
        <w:rPr>
          <w:rFonts w:ascii="Arial" w:hAnsi="Arial" w:cs="Arial"/>
          <w:sz w:val="24"/>
          <w:szCs w:val="24"/>
        </w:rPr>
        <w:t xml:space="preserve">in establishing causation </w:t>
      </w:r>
      <w:r w:rsidR="006C7661" w:rsidRPr="00867948">
        <w:rPr>
          <w:rFonts w:ascii="Arial" w:hAnsi="Arial" w:cs="Arial"/>
          <w:sz w:val="24"/>
          <w:szCs w:val="24"/>
        </w:rPr>
        <w:t>of damage in a negligence claim</w:t>
      </w:r>
      <w:r w:rsidR="00A30A1A" w:rsidRPr="00867948">
        <w:rPr>
          <w:rFonts w:ascii="Arial" w:hAnsi="Arial" w:cs="Arial"/>
          <w:sz w:val="24"/>
          <w:szCs w:val="24"/>
        </w:rPr>
        <w:t>, particularly if they also suffered abuse prior to going into care</w:t>
      </w:r>
      <w:r w:rsidR="00F94EF8" w:rsidRPr="00867948">
        <w:rPr>
          <w:rFonts w:ascii="Arial" w:hAnsi="Arial" w:cs="Arial"/>
          <w:sz w:val="24"/>
          <w:szCs w:val="24"/>
        </w:rPr>
        <w:t xml:space="preserve">. </w:t>
      </w:r>
      <w:r w:rsidR="005D3A54" w:rsidRPr="00867948">
        <w:rPr>
          <w:rFonts w:ascii="Arial" w:hAnsi="Arial" w:cs="Arial"/>
          <w:sz w:val="24"/>
          <w:szCs w:val="24"/>
        </w:rPr>
        <w:t xml:space="preserve">In that case it was established </w:t>
      </w:r>
      <w:r w:rsidR="00F94EF8" w:rsidRPr="00867948">
        <w:rPr>
          <w:rFonts w:ascii="Arial" w:hAnsi="Arial" w:cs="Arial"/>
          <w:sz w:val="24"/>
          <w:szCs w:val="24"/>
        </w:rPr>
        <w:t xml:space="preserve">that both claimants </w:t>
      </w:r>
      <w:r w:rsidR="00B44B7E" w:rsidRPr="00867948">
        <w:rPr>
          <w:rFonts w:ascii="Arial" w:hAnsi="Arial" w:cs="Arial"/>
          <w:sz w:val="24"/>
          <w:szCs w:val="24"/>
        </w:rPr>
        <w:t xml:space="preserve">had been </w:t>
      </w:r>
      <w:r w:rsidR="005D3A54" w:rsidRPr="00867948">
        <w:rPr>
          <w:rFonts w:ascii="Arial" w:hAnsi="Arial" w:cs="Arial"/>
          <w:sz w:val="24"/>
          <w:szCs w:val="24"/>
        </w:rPr>
        <w:t xml:space="preserve">subject to physical abuse and one claimant had been sexually abused on multiple occasions by a staff member in a care institution. </w:t>
      </w:r>
      <w:r w:rsidR="005C3C16" w:rsidRPr="00867948">
        <w:rPr>
          <w:rFonts w:ascii="Arial" w:hAnsi="Arial" w:cs="Arial"/>
          <w:sz w:val="24"/>
          <w:szCs w:val="24"/>
        </w:rPr>
        <w:t xml:space="preserve">Psychiatric evidence was called from both the plaintiffs and the defence. </w:t>
      </w:r>
      <w:r w:rsidR="00E13A98" w:rsidRPr="00867948">
        <w:rPr>
          <w:rFonts w:ascii="Arial" w:hAnsi="Arial" w:cs="Arial"/>
          <w:sz w:val="24"/>
          <w:szCs w:val="24"/>
        </w:rPr>
        <w:t>Although t</w:t>
      </w:r>
      <w:r w:rsidR="005D3A54" w:rsidRPr="00867948">
        <w:rPr>
          <w:rFonts w:ascii="Arial" w:hAnsi="Arial" w:cs="Arial"/>
          <w:sz w:val="24"/>
          <w:szCs w:val="24"/>
        </w:rPr>
        <w:t xml:space="preserve">he judge </w:t>
      </w:r>
      <w:r w:rsidR="00E13A98" w:rsidRPr="00867948">
        <w:rPr>
          <w:rFonts w:ascii="Arial" w:hAnsi="Arial" w:cs="Arial"/>
          <w:sz w:val="24"/>
          <w:szCs w:val="24"/>
        </w:rPr>
        <w:t xml:space="preserve">accepted that both claimants </w:t>
      </w:r>
      <w:r w:rsidR="00F94EF8" w:rsidRPr="00867948">
        <w:rPr>
          <w:rFonts w:ascii="Arial" w:hAnsi="Arial" w:cs="Arial"/>
          <w:sz w:val="24"/>
          <w:szCs w:val="24"/>
        </w:rPr>
        <w:t xml:space="preserve">suffered </w:t>
      </w:r>
      <w:r w:rsidR="00CB7C50" w:rsidRPr="00867948">
        <w:rPr>
          <w:rFonts w:ascii="Arial" w:hAnsi="Arial" w:cs="Arial"/>
          <w:sz w:val="24"/>
          <w:szCs w:val="24"/>
        </w:rPr>
        <w:t xml:space="preserve">from </w:t>
      </w:r>
      <w:r w:rsidR="00F94EF8" w:rsidRPr="00867948">
        <w:rPr>
          <w:rFonts w:ascii="Arial" w:hAnsi="Arial" w:cs="Arial"/>
          <w:sz w:val="24"/>
          <w:szCs w:val="24"/>
        </w:rPr>
        <w:t xml:space="preserve">psychiatric conditions and problems with addiction, </w:t>
      </w:r>
      <w:r w:rsidR="004315EB" w:rsidRPr="00867948">
        <w:rPr>
          <w:rFonts w:ascii="Arial" w:hAnsi="Arial" w:cs="Arial"/>
          <w:sz w:val="24"/>
          <w:szCs w:val="24"/>
        </w:rPr>
        <w:t xml:space="preserve">it was </w:t>
      </w:r>
      <w:r w:rsidR="00525CA4" w:rsidRPr="00867948">
        <w:rPr>
          <w:rFonts w:ascii="Arial" w:hAnsi="Arial" w:cs="Arial"/>
          <w:sz w:val="24"/>
          <w:szCs w:val="24"/>
        </w:rPr>
        <w:t xml:space="preserve">held that </w:t>
      </w:r>
      <w:r w:rsidR="00D40261" w:rsidRPr="00867948">
        <w:rPr>
          <w:rFonts w:ascii="Arial" w:hAnsi="Arial" w:cs="Arial"/>
          <w:sz w:val="24"/>
          <w:szCs w:val="24"/>
        </w:rPr>
        <w:t xml:space="preserve">these difficulties were likely to have substantially been the result of early childhood experiences </w:t>
      </w:r>
      <w:r w:rsidR="00B177A6" w:rsidRPr="00867948">
        <w:rPr>
          <w:rFonts w:ascii="Arial" w:hAnsi="Arial" w:cs="Arial"/>
          <w:sz w:val="24"/>
          <w:szCs w:val="24"/>
        </w:rPr>
        <w:t xml:space="preserve">of </w:t>
      </w:r>
      <w:r w:rsidR="00D40261" w:rsidRPr="00867948">
        <w:rPr>
          <w:rFonts w:ascii="Arial" w:hAnsi="Arial" w:cs="Arial"/>
          <w:sz w:val="24"/>
          <w:szCs w:val="24"/>
        </w:rPr>
        <w:t xml:space="preserve">neglect and abuse by </w:t>
      </w:r>
      <w:r w:rsidR="00B177A6" w:rsidRPr="00867948">
        <w:rPr>
          <w:rFonts w:ascii="Arial" w:hAnsi="Arial" w:cs="Arial"/>
          <w:sz w:val="24"/>
          <w:szCs w:val="24"/>
        </w:rPr>
        <w:t xml:space="preserve">their </w:t>
      </w:r>
      <w:r w:rsidR="00D40261" w:rsidRPr="00867948">
        <w:rPr>
          <w:rFonts w:ascii="Arial" w:hAnsi="Arial" w:cs="Arial"/>
          <w:sz w:val="24"/>
          <w:szCs w:val="24"/>
        </w:rPr>
        <w:t>parents, as well as potential</w:t>
      </w:r>
      <w:r w:rsidR="003B0C34" w:rsidRPr="00867948">
        <w:rPr>
          <w:rFonts w:ascii="Arial" w:hAnsi="Arial" w:cs="Arial"/>
          <w:sz w:val="24"/>
          <w:szCs w:val="24"/>
        </w:rPr>
        <w:t>ly containing a</w:t>
      </w:r>
      <w:r w:rsidR="00D40261" w:rsidRPr="00867948">
        <w:rPr>
          <w:rFonts w:ascii="Arial" w:hAnsi="Arial" w:cs="Arial"/>
          <w:sz w:val="24"/>
          <w:szCs w:val="24"/>
        </w:rPr>
        <w:t xml:space="preserve"> genetic element. </w:t>
      </w:r>
      <w:r w:rsidR="00EB22EF" w:rsidRPr="00867948">
        <w:rPr>
          <w:rFonts w:ascii="Arial" w:hAnsi="Arial" w:cs="Arial"/>
          <w:sz w:val="24"/>
          <w:szCs w:val="24"/>
        </w:rPr>
        <w:t xml:space="preserve">In particular, although it was established that one of the claimants had been sexually abused on a number of occasions while in a care institution, the judge held that </w:t>
      </w:r>
      <w:r w:rsidR="009C6C7A" w:rsidRPr="00867948">
        <w:rPr>
          <w:rFonts w:ascii="Arial" w:hAnsi="Arial" w:cs="Arial"/>
          <w:sz w:val="24"/>
          <w:szCs w:val="24"/>
        </w:rPr>
        <w:t xml:space="preserve">“In my opinion, </w:t>
      </w:r>
      <w:r w:rsidR="00EB22EF" w:rsidRPr="00867948">
        <w:rPr>
          <w:rFonts w:ascii="Arial" w:hAnsi="Arial" w:cs="Arial"/>
          <w:sz w:val="24"/>
          <w:szCs w:val="24"/>
        </w:rPr>
        <w:t xml:space="preserve">the sexual abuse </w:t>
      </w:r>
      <w:r w:rsidR="009C6C7A" w:rsidRPr="00867948">
        <w:rPr>
          <w:rFonts w:ascii="Arial" w:hAnsi="Arial" w:cs="Arial"/>
          <w:sz w:val="24"/>
          <w:szCs w:val="24"/>
        </w:rPr>
        <w:t>…</w:t>
      </w:r>
      <w:r w:rsidR="00EB22EF" w:rsidRPr="00867948">
        <w:rPr>
          <w:rFonts w:ascii="Arial" w:hAnsi="Arial" w:cs="Arial"/>
          <w:sz w:val="24"/>
          <w:szCs w:val="24"/>
        </w:rPr>
        <w:t>ha</w:t>
      </w:r>
      <w:r w:rsidR="009C6C7A" w:rsidRPr="00867948">
        <w:rPr>
          <w:rFonts w:ascii="Arial" w:hAnsi="Arial" w:cs="Arial"/>
          <w:sz w:val="24"/>
          <w:szCs w:val="24"/>
        </w:rPr>
        <w:t>s</w:t>
      </w:r>
      <w:r w:rsidR="00EB22EF" w:rsidRPr="00867948">
        <w:rPr>
          <w:rFonts w:ascii="Arial" w:hAnsi="Arial" w:cs="Arial"/>
          <w:sz w:val="24"/>
          <w:szCs w:val="24"/>
        </w:rPr>
        <w:t xml:space="preserve"> not made a material contribution to his difficulties.</w:t>
      </w:r>
      <w:r w:rsidR="009C6C7A" w:rsidRPr="00867948">
        <w:rPr>
          <w:rFonts w:ascii="Arial" w:hAnsi="Arial" w:cs="Arial"/>
          <w:sz w:val="24"/>
          <w:szCs w:val="24"/>
        </w:rPr>
        <w:t>”</w:t>
      </w:r>
    </w:p>
    <w:p w14:paraId="3E8714A5" w14:textId="77777777" w:rsidR="005550B8" w:rsidRPr="00867948" w:rsidRDefault="005550B8" w:rsidP="00867948">
      <w:pPr>
        <w:ind w:left="1134" w:hanging="567"/>
        <w:rPr>
          <w:rFonts w:ascii="Arial" w:hAnsi="Arial" w:cs="Arial"/>
          <w:sz w:val="24"/>
          <w:szCs w:val="24"/>
        </w:rPr>
      </w:pPr>
    </w:p>
    <w:p w14:paraId="6663A2AA" w14:textId="7F3941AE" w:rsidR="00C57414" w:rsidRPr="00867948" w:rsidRDefault="005202FB" w:rsidP="00867948">
      <w:pPr>
        <w:pStyle w:val="Heading3"/>
        <w:numPr>
          <w:ilvl w:val="0"/>
          <w:numId w:val="14"/>
        </w:numPr>
        <w:ind w:left="1134" w:hanging="567"/>
        <w:rPr>
          <w:rFonts w:ascii="Arial" w:hAnsi="Arial" w:cs="Arial"/>
          <w:b/>
          <w:color w:val="000000" w:themeColor="text1"/>
          <w:lang w:val="en-NZ"/>
        </w:rPr>
      </w:pPr>
      <w:r w:rsidRPr="00867948">
        <w:rPr>
          <w:rFonts w:ascii="Arial" w:hAnsi="Arial" w:cs="Arial"/>
          <w:b/>
          <w:color w:val="000000" w:themeColor="text1"/>
          <w:lang w:val="en-NZ"/>
        </w:rPr>
        <w:t>LIMITATION ACT</w:t>
      </w:r>
    </w:p>
    <w:p w14:paraId="33D9E61D" w14:textId="77777777" w:rsidR="003B7BEE" w:rsidRPr="00867948" w:rsidRDefault="003B7BEE" w:rsidP="00867948">
      <w:pPr>
        <w:keepNext/>
        <w:spacing w:after="0" w:line="240" w:lineRule="auto"/>
        <w:ind w:left="1134" w:hanging="567"/>
        <w:rPr>
          <w:rFonts w:ascii="Arial" w:eastAsia="Times New Roman" w:hAnsi="Arial" w:cs="Arial"/>
          <w:b/>
          <w:bCs/>
          <w:i/>
          <w:iCs/>
          <w:color w:val="000000"/>
          <w:sz w:val="24"/>
          <w:szCs w:val="24"/>
          <w:lang w:eastAsia="en-NZ"/>
        </w:rPr>
      </w:pPr>
    </w:p>
    <w:p w14:paraId="320486C5" w14:textId="094C71AE" w:rsidR="003B7BEE" w:rsidRPr="00867948" w:rsidRDefault="005630F3" w:rsidP="00867948">
      <w:pPr>
        <w:pStyle w:val="Heading3"/>
        <w:ind w:left="1134" w:hanging="567"/>
        <w:rPr>
          <w:rFonts w:ascii="Arial" w:hAnsi="Arial" w:cs="Arial"/>
          <w:bCs/>
          <w:i/>
          <w:iCs/>
          <w:color w:val="000000" w:themeColor="text1"/>
          <w:lang w:val="en-NZ"/>
        </w:rPr>
      </w:pPr>
      <w:r w:rsidRPr="00867948">
        <w:rPr>
          <w:rFonts w:ascii="Arial" w:hAnsi="Arial" w:cs="Arial"/>
          <w:bCs/>
          <w:i/>
          <w:iCs/>
          <w:color w:val="000000" w:themeColor="text1"/>
          <w:lang w:val="en-NZ"/>
        </w:rPr>
        <w:t>Limitation Act 1950</w:t>
      </w:r>
    </w:p>
    <w:p w14:paraId="6947F8C4" w14:textId="62C14689" w:rsidR="0093640E" w:rsidRPr="00867948" w:rsidRDefault="0093640E" w:rsidP="00867948">
      <w:pPr>
        <w:spacing w:after="0" w:line="240" w:lineRule="auto"/>
        <w:ind w:left="1134" w:hanging="567"/>
        <w:rPr>
          <w:rFonts w:ascii="Arial" w:eastAsia="Times New Roman" w:hAnsi="Arial" w:cs="Arial"/>
          <w:b/>
          <w:bCs/>
          <w:color w:val="000000"/>
          <w:sz w:val="24"/>
          <w:szCs w:val="24"/>
          <w:lang w:eastAsia="en-NZ"/>
        </w:rPr>
      </w:pPr>
    </w:p>
    <w:p w14:paraId="291674F0" w14:textId="55569356" w:rsidR="00C91386" w:rsidRPr="00867948" w:rsidRDefault="00C91386"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Almost all claims for abuse in care have been made relating to abuse that occurred some years in the past</w:t>
      </w:r>
      <w:r w:rsidR="00B825F1" w:rsidRPr="00867948">
        <w:rPr>
          <w:rFonts w:ascii="Arial" w:hAnsi="Arial" w:cs="Arial"/>
          <w:sz w:val="24"/>
          <w:szCs w:val="24"/>
        </w:rPr>
        <w:t>, and the Crown has invariably invoked the Limitation Act</w:t>
      </w:r>
      <w:r w:rsidRPr="00867948">
        <w:rPr>
          <w:rFonts w:ascii="Arial" w:hAnsi="Arial" w:cs="Arial"/>
          <w:sz w:val="24"/>
          <w:szCs w:val="24"/>
        </w:rPr>
        <w:t xml:space="preserve">. </w:t>
      </w:r>
    </w:p>
    <w:p w14:paraId="225E9DBF" w14:textId="77777777" w:rsidR="00C91386" w:rsidRPr="00867948" w:rsidRDefault="00C91386" w:rsidP="00867948">
      <w:pPr>
        <w:pStyle w:val="ListParagraph"/>
        <w:ind w:left="1134" w:hanging="567"/>
        <w:rPr>
          <w:rFonts w:ascii="Arial" w:hAnsi="Arial" w:cs="Arial"/>
          <w:sz w:val="24"/>
          <w:szCs w:val="24"/>
        </w:rPr>
      </w:pPr>
    </w:p>
    <w:p w14:paraId="1D08287B" w14:textId="6409D79F" w:rsidR="00C76EA3" w:rsidRPr="00867948" w:rsidRDefault="0093640E"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The Limitation Act 1950</w:t>
      </w:r>
      <w:r w:rsidR="00E7734F">
        <w:rPr>
          <w:rFonts w:ascii="Arial" w:hAnsi="Arial" w:cs="Arial"/>
          <w:sz w:val="24"/>
          <w:szCs w:val="24"/>
        </w:rPr>
        <w:t xml:space="preserve"> (</w:t>
      </w:r>
      <w:r w:rsidR="00E7734F">
        <w:rPr>
          <w:rFonts w:ascii="Arial" w:hAnsi="Arial" w:cs="Arial"/>
          <w:b/>
          <w:bCs/>
          <w:sz w:val="24"/>
          <w:szCs w:val="24"/>
        </w:rPr>
        <w:t>the Act</w:t>
      </w:r>
      <w:r w:rsidR="00E7734F">
        <w:rPr>
          <w:rFonts w:ascii="Arial" w:hAnsi="Arial" w:cs="Arial"/>
          <w:sz w:val="24"/>
          <w:szCs w:val="24"/>
        </w:rPr>
        <w:t>)</w:t>
      </w:r>
      <w:r w:rsidRPr="00867948">
        <w:rPr>
          <w:rFonts w:ascii="Arial" w:hAnsi="Arial" w:cs="Arial"/>
          <w:sz w:val="24"/>
          <w:szCs w:val="24"/>
        </w:rPr>
        <w:t xml:space="preserve"> </w:t>
      </w:r>
      <w:r w:rsidR="006C3444" w:rsidRPr="00867948">
        <w:rPr>
          <w:rFonts w:ascii="Arial" w:hAnsi="Arial" w:cs="Arial"/>
          <w:sz w:val="24"/>
          <w:szCs w:val="24"/>
        </w:rPr>
        <w:t xml:space="preserve">applies to, among other things, most </w:t>
      </w:r>
      <w:r w:rsidRPr="00867948">
        <w:rPr>
          <w:rFonts w:ascii="Arial" w:hAnsi="Arial" w:cs="Arial"/>
          <w:sz w:val="24"/>
          <w:szCs w:val="24"/>
        </w:rPr>
        <w:t>actions in tort</w:t>
      </w:r>
      <w:r w:rsidR="006C3444" w:rsidRPr="00867948">
        <w:rPr>
          <w:rFonts w:ascii="Arial" w:hAnsi="Arial" w:cs="Arial"/>
          <w:sz w:val="24"/>
          <w:szCs w:val="24"/>
        </w:rPr>
        <w:t xml:space="preserve">. </w:t>
      </w:r>
      <w:r w:rsidR="00266FD7" w:rsidRPr="00867948">
        <w:rPr>
          <w:rFonts w:ascii="Arial" w:hAnsi="Arial" w:cs="Arial"/>
          <w:sz w:val="24"/>
          <w:szCs w:val="24"/>
        </w:rPr>
        <w:t>Under s 4, i</w:t>
      </w:r>
      <w:r w:rsidR="00517391" w:rsidRPr="00867948">
        <w:rPr>
          <w:rFonts w:ascii="Arial" w:hAnsi="Arial" w:cs="Arial"/>
          <w:sz w:val="24"/>
          <w:szCs w:val="24"/>
        </w:rPr>
        <w:t>t provides a limitation period of 6 years for actions</w:t>
      </w:r>
      <w:r w:rsidR="00CE447E" w:rsidRPr="00867948">
        <w:rPr>
          <w:rFonts w:ascii="Arial" w:hAnsi="Arial" w:cs="Arial"/>
          <w:sz w:val="24"/>
          <w:szCs w:val="24"/>
        </w:rPr>
        <w:t xml:space="preserve"> </w:t>
      </w:r>
      <w:r w:rsidR="00517391" w:rsidRPr="00867948">
        <w:rPr>
          <w:rFonts w:ascii="Arial" w:hAnsi="Arial" w:cs="Arial"/>
          <w:sz w:val="24"/>
          <w:szCs w:val="24"/>
        </w:rPr>
        <w:t>– that is</w:t>
      </w:r>
      <w:r w:rsidR="00131FE2" w:rsidRPr="00867948">
        <w:rPr>
          <w:rFonts w:ascii="Arial" w:hAnsi="Arial" w:cs="Arial"/>
          <w:sz w:val="24"/>
          <w:szCs w:val="24"/>
        </w:rPr>
        <w:t>,</w:t>
      </w:r>
      <w:r w:rsidR="006C3444" w:rsidRPr="00867948">
        <w:rPr>
          <w:rFonts w:ascii="Arial" w:hAnsi="Arial" w:cs="Arial"/>
          <w:sz w:val="24"/>
          <w:szCs w:val="24"/>
        </w:rPr>
        <w:t xml:space="preserve"> </w:t>
      </w:r>
      <w:r w:rsidR="00131FE2" w:rsidRPr="00867948">
        <w:rPr>
          <w:rFonts w:ascii="Arial" w:hAnsi="Arial" w:cs="Arial"/>
          <w:sz w:val="24"/>
          <w:szCs w:val="24"/>
        </w:rPr>
        <w:t xml:space="preserve">it provides that </w:t>
      </w:r>
      <w:r w:rsidR="006C3444" w:rsidRPr="00867948">
        <w:rPr>
          <w:rFonts w:ascii="Arial" w:hAnsi="Arial" w:cs="Arial"/>
          <w:sz w:val="24"/>
          <w:szCs w:val="24"/>
        </w:rPr>
        <w:t xml:space="preserve">an action </w:t>
      </w:r>
      <w:r w:rsidRPr="00867948">
        <w:rPr>
          <w:rFonts w:ascii="Arial" w:hAnsi="Arial" w:cs="Arial"/>
          <w:sz w:val="24"/>
          <w:szCs w:val="24"/>
        </w:rPr>
        <w:t xml:space="preserve">shall not be brought </w:t>
      </w:r>
      <w:r w:rsidR="002B3253" w:rsidRPr="00867948">
        <w:rPr>
          <w:rFonts w:ascii="Arial" w:hAnsi="Arial" w:cs="Arial"/>
          <w:sz w:val="24"/>
          <w:szCs w:val="24"/>
        </w:rPr>
        <w:t xml:space="preserve">more than </w:t>
      </w:r>
      <w:r w:rsidRPr="00867948">
        <w:rPr>
          <w:rFonts w:ascii="Arial" w:hAnsi="Arial" w:cs="Arial"/>
          <w:sz w:val="24"/>
          <w:szCs w:val="24"/>
        </w:rPr>
        <w:lastRenderedPageBreak/>
        <w:t xml:space="preserve">6 years </w:t>
      </w:r>
      <w:r w:rsidR="006C3444" w:rsidRPr="00867948">
        <w:rPr>
          <w:rFonts w:ascii="Arial" w:hAnsi="Arial" w:cs="Arial"/>
          <w:sz w:val="24"/>
          <w:szCs w:val="24"/>
        </w:rPr>
        <w:t xml:space="preserve">from </w:t>
      </w:r>
      <w:r w:rsidRPr="00867948">
        <w:rPr>
          <w:rFonts w:ascii="Arial" w:hAnsi="Arial" w:cs="Arial"/>
          <w:sz w:val="24"/>
          <w:szCs w:val="24"/>
        </w:rPr>
        <w:t>the date on which the cause of action accrued.</w:t>
      </w:r>
      <w:r w:rsidRPr="00867948">
        <w:rPr>
          <w:rFonts w:ascii="Arial" w:hAnsi="Arial" w:cs="Arial"/>
          <w:sz w:val="24"/>
          <w:szCs w:val="24"/>
          <w:vertAlign w:val="superscript"/>
        </w:rPr>
        <w:footnoteReference w:id="3"/>
      </w:r>
      <w:r w:rsidRPr="00867948">
        <w:rPr>
          <w:rFonts w:ascii="Arial" w:hAnsi="Arial" w:cs="Arial"/>
          <w:sz w:val="24"/>
          <w:szCs w:val="24"/>
        </w:rPr>
        <w:t xml:space="preserve"> </w:t>
      </w:r>
      <w:r w:rsidR="00C76EA3" w:rsidRPr="00867948">
        <w:rPr>
          <w:rFonts w:ascii="Arial" w:hAnsi="Arial" w:cs="Arial"/>
          <w:sz w:val="24"/>
          <w:szCs w:val="24"/>
        </w:rPr>
        <w:t xml:space="preserve">In the case of claims for </w:t>
      </w:r>
      <w:r w:rsidR="00F46D2E" w:rsidRPr="00867948">
        <w:rPr>
          <w:rFonts w:ascii="Arial" w:hAnsi="Arial" w:cs="Arial"/>
          <w:sz w:val="24"/>
          <w:szCs w:val="24"/>
        </w:rPr>
        <w:t xml:space="preserve">bodily </w:t>
      </w:r>
      <w:r w:rsidR="00C76EA3" w:rsidRPr="00867948">
        <w:rPr>
          <w:rFonts w:ascii="Arial" w:hAnsi="Arial" w:cs="Arial"/>
          <w:sz w:val="24"/>
          <w:szCs w:val="24"/>
        </w:rPr>
        <w:t>injury,</w:t>
      </w:r>
      <w:r w:rsidR="00C76EA3" w:rsidRPr="00867948">
        <w:rPr>
          <w:rFonts w:ascii="Arial" w:hAnsi="Arial" w:cs="Arial"/>
          <w:sz w:val="24"/>
          <w:szCs w:val="24"/>
          <w:vertAlign w:val="superscript"/>
        </w:rPr>
        <w:footnoteReference w:id="4"/>
      </w:r>
      <w:r w:rsidR="0021424E" w:rsidRPr="00867948">
        <w:rPr>
          <w:rFonts w:ascii="Arial" w:hAnsi="Arial" w:cs="Arial"/>
          <w:sz w:val="24"/>
          <w:szCs w:val="24"/>
        </w:rPr>
        <w:t xml:space="preserve"> including psychiatric injury,</w:t>
      </w:r>
      <w:r w:rsidR="00F46D2E" w:rsidRPr="00867948">
        <w:rPr>
          <w:rFonts w:ascii="Arial" w:hAnsi="Arial" w:cs="Arial"/>
          <w:sz w:val="24"/>
          <w:szCs w:val="24"/>
          <w:vertAlign w:val="superscript"/>
        </w:rPr>
        <w:footnoteReference w:id="5"/>
      </w:r>
      <w:r w:rsidR="00C76EA3" w:rsidRPr="00867948">
        <w:rPr>
          <w:rFonts w:ascii="Arial" w:hAnsi="Arial" w:cs="Arial"/>
          <w:sz w:val="24"/>
          <w:szCs w:val="24"/>
        </w:rPr>
        <w:t xml:space="preserve"> </w:t>
      </w:r>
      <w:r w:rsidR="005B64B9" w:rsidRPr="00867948">
        <w:rPr>
          <w:rFonts w:ascii="Arial" w:hAnsi="Arial" w:cs="Arial"/>
          <w:sz w:val="24"/>
          <w:szCs w:val="24"/>
        </w:rPr>
        <w:t xml:space="preserve">there is an additional requirement to obtain either leave of the Court or consent of the defendant for actions that are brought more than </w:t>
      </w:r>
      <w:r w:rsidR="00020B81" w:rsidRPr="00867948">
        <w:rPr>
          <w:rFonts w:ascii="Arial" w:hAnsi="Arial" w:cs="Arial"/>
          <w:sz w:val="24"/>
          <w:szCs w:val="24"/>
        </w:rPr>
        <w:t>2 years from the date of accrual.</w:t>
      </w:r>
      <w:r w:rsidR="003F4788" w:rsidRPr="00867948">
        <w:rPr>
          <w:rFonts w:ascii="Arial" w:hAnsi="Arial" w:cs="Arial"/>
          <w:sz w:val="24"/>
          <w:szCs w:val="24"/>
          <w:vertAlign w:val="superscript"/>
        </w:rPr>
        <w:footnoteReference w:id="6"/>
      </w:r>
    </w:p>
    <w:p w14:paraId="2840D16B" w14:textId="77777777" w:rsidR="00C76EA3" w:rsidRPr="00867948" w:rsidRDefault="00C76EA3" w:rsidP="00867948">
      <w:pPr>
        <w:pStyle w:val="ListParagraph"/>
        <w:ind w:left="1134" w:hanging="567"/>
        <w:rPr>
          <w:rFonts w:ascii="Arial" w:hAnsi="Arial" w:cs="Arial"/>
          <w:sz w:val="24"/>
          <w:szCs w:val="24"/>
        </w:rPr>
      </w:pPr>
    </w:p>
    <w:p w14:paraId="0292DBC7" w14:textId="709769FC" w:rsidR="004A1BE0" w:rsidRPr="00867948" w:rsidRDefault="006C3444"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The </w:t>
      </w:r>
      <w:r w:rsidR="005B6BAD" w:rsidRPr="00867948">
        <w:rPr>
          <w:rFonts w:ascii="Arial" w:hAnsi="Arial" w:cs="Arial"/>
          <w:sz w:val="24"/>
          <w:szCs w:val="24"/>
        </w:rPr>
        <w:t xml:space="preserve">limitation provisions do </w:t>
      </w:r>
      <w:r w:rsidRPr="00867948">
        <w:rPr>
          <w:rFonts w:ascii="Arial" w:hAnsi="Arial" w:cs="Arial"/>
          <w:sz w:val="24"/>
          <w:szCs w:val="24"/>
        </w:rPr>
        <w:t xml:space="preserve">not prevent a plaintiff bringing an action, but </w:t>
      </w:r>
      <w:r w:rsidR="0069385A" w:rsidRPr="00867948">
        <w:rPr>
          <w:rFonts w:ascii="Arial" w:hAnsi="Arial" w:cs="Arial"/>
          <w:sz w:val="24"/>
          <w:szCs w:val="24"/>
        </w:rPr>
        <w:t xml:space="preserve">they </w:t>
      </w:r>
      <w:r w:rsidRPr="00867948">
        <w:rPr>
          <w:rFonts w:ascii="Arial" w:hAnsi="Arial" w:cs="Arial"/>
          <w:sz w:val="24"/>
          <w:szCs w:val="24"/>
        </w:rPr>
        <w:t>do</w:t>
      </w:r>
      <w:r w:rsidR="0069385A" w:rsidRPr="00867948">
        <w:rPr>
          <w:rFonts w:ascii="Arial" w:hAnsi="Arial" w:cs="Arial"/>
          <w:sz w:val="24"/>
          <w:szCs w:val="24"/>
        </w:rPr>
        <w:t xml:space="preserve"> </w:t>
      </w:r>
      <w:r w:rsidRPr="00867948">
        <w:rPr>
          <w:rFonts w:ascii="Arial" w:hAnsi="Arial" w:cs="Arial"/>
          <w:sz w:val="24"/>
          <w:szCs w:val="24"/>
        </w:rPr>
        <w:t xml:space="preserve">provide a defendant with a defence should </w:t>
      </w:r>
      <w:r w:rsidR="007A14A2" w:rsidRPr="00867948">
        <w:rPr>
          <w:rFonts w:ascii="Arial" w:hAnsi="Arial" w:cs="Arial"/>
          <w:sz w:val="24"/>
          <w:szCs w:val="24"/>
        </w:rPr>
        <w:t xml:space="preserve">they </w:t>
      </w:r>
      <w:r w:rsidRPr="00867948">
        <w:rPr>
          <w:rFonts w:ascii="Arial" w:hAnsi="Arial" w:cs="Arial"/>
          <w:sz w:val="24"/>
          <w:szCs w:val="24"/>
        </w:rPr>
        <w:t xml:space="preserve">choose to use it. </w:t>
      </w:r>
    </w:p>
    <w:p w14:paraId="0AD9431A" w14:textId="77777777" w:rsidR="00585F51" w:rsidRPr="00867948" w:rsidRDefault="00585F51" w:rsidP="00867948">
      <w:pPr>
        <w:pStyle w:val="ListParagraph"/>
        <w:ind w:left="1134" w:hanging="567"/>
        <w:rPr>
          <w:rFonts w:ascii="Arial" w:hAnsi="Arial" w:cs="Arial"/>
          <w:sz w:val="24"/>
          <w:szCs w:val="24"/>
        </w:rPr>
      </w:pPr>
    </w:p>
    <w:p w14:paraId="4354778F" w14:textId="14544ECB" w:rsidR="00B825F1" w:rsidRPr="00867948" w:rsidRDefault="00585F51"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Although s 4 of the Act does not apply to actions in equity, such as breach of a fiduciary duty, courts have held that where the pleaded breach of fiduciary duty is substantially the same as a tort duty such as negligence, the tort limitation period applies</w:t>
      </w:r>
      <w:r w:rsidR="00B51E84" w:rsidRPr="00867948">
        <w:rPr>
          <w:rFonts w:ascii="Arial" w:hAnsi="Arial" w:cs="Arial"/>
          <w:sz w:val="24"/>
          <w:szCs w:val="24"/>
        </w:rPr>
        <w:t xml:space="preserve"> by analogy</w:t>
      </w:r>
      <w:r w:rsidRPr="00867948">
        <w:rPr>
          <w:rFonts w:ascii="Arial" w:hAnsi="Arial" w:cs="Arial"/>
          <w:sz w:val="24"/>
          <w:szCs w:val="24"/>
        </w:rPr>
        <w:t>.</w:t>
      </w:r>
      <w:r w:rsidRPr="00867948">
        <w:rPr>
          <w:rFonts w:ascii="Arial" w:hAnsi="Arial" w:cs="Arial"/>
          <w:sz w:val="24"/>
          <w:szCs w:val="24"/>
          <w:vertAlign w:val="superscript"/>
        </w:rPr>
        <w:footnoteReference w:id="7"/>
      </w:r>
    </w:p>
    <w:p w14:paraId="0C7FF231" w14:textId="77777777" w:rsidR="002653B2" w:rsidRPr="00867948" w:rsidRDefault="002653B2" w:rsidP="00867948">
      <w:pPr>
        <w:pStyle w:val="ListParagraph"/>
        <w:ind w:left="1134" w:hanging="567"/>
        <w:rPr>
          <w:rFonts w:ascii="Arial" w:hAnsi="Arial" w:cs="Arial"/>
          <w:sz w:val="24"/>
          <w:szCs w:val="24"/>
        </w:rPr>
      </w:pPr>
    </w:p>
    <w:p w14:paraId="50AE1AE9" w14:textId="0BF534DE" w:rsidR="002653B2" w:rsidRPr="00867948" w:rsidRDefault="002653B2"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The Limitation Act </w:t>
      </w:r>
      <w:r w:rsidR="00680D45">
        <w:rPr>
          <w:rFonts w:ascii="Arial" w:hAnsi="Arial" w:cs="Arial"/>
          <w:sz w:val="24"/>
          <w:szCs w:val="24"/>
        </w:rPr>
        <w:t xml:space="preserve">1950 </w:t>
      </w:r>
      <w:r w:rsidRPr="00867948">
        <w:rPr>
          <w:rFonts w:ascii="Arial" w:hAnsi="Arial" w:cs="Arial"/>
          <w:sz w:val="24"/>
          <w:szCs w:val="24"/>
        </w:rPr>
        <w:t xml:space="preserve">does not </w:t>
      </w:r>
      <w:r w:rsidR="00346787">
        <w:rPr>
          <w:rFonts w:ascii="Arial" w:hAnsi="Arial" w:cs="Arial"/>
          <w:sz w:val="24"/>
          <w:szCs w:val="24"/>
        </w:rPr>
        <w:t xml:space="preserve">generally </w:t>
      </w:r>
      <w:r w:rsidRPr="00867948">
        <w:rPr>
          <w:rFonts w:ascii="Arial" w:hAnsi="Arial" w:cs="Arial"/>
          <w:sz w:val="24"/>
          <w:szCs w:val="24"/>
        </w:rPr>
        <w:t xml:space="preserve">apply to claims under </w:t>
      </w:r>
      <w:r w:rsidR="001127DB">
        <w:rPr>
          <w:rFonts w:ascii="Arial" w:hAnsi="Arial" w:cs="Arial"/>
          <w:sz w:val="24"/>
          <w:szCs w:val="24"/>
        </w:rPr>
        <w:t xml:space="preserve">the </w:t>
      </w:r>
      <w:r w:rsidRPr="00867948">
        <w:rPr>
          <w:rFonts w:ascii="Arial" w:hAnsi="Arial" w:cs="Arial"/>
          <w:sz w:val="24"/>
          <w:szCs w:val="24"/>
        </w:rPr>
        <w:t>N</w:t>
      </w:r>
      <w:r w:rsidR="001127DB">
        <w:rPr>
          <w:rFonts w:ascii="Arial" w:hAnsi="Arial" w:cs="Arial"/>
          <w:sz w:val="24"/>
          <w:szCs w:val="24"/>
        </w:rPr>
        <w:t xml:space="preserve">ew </w:t>
      </w:r>
      <w:r w:rsidRPr="00867948">
        <w:rPr>
          <w:rFonts w:ascii="Arial" w:hAnsi="Arial" w:cs="Arial"/>
          <w:sz w:val="24"/>
          <w:szCs w:val="24"/>
        </w:rPr>
        <w:t>Z</w:t>
      </w:r>
      <w:r w:rsidR="00C244C9">
        <w:rPr>
          <w:rFonts w:ascii="Arial" w:hAnsi="Arial" w:cs="Arial"/>
          <w:sz w:val="24"/>
          <w:szCs w:val="24"/>
        </w:rPr>
        <w:t>e</w:t>
      </w:r>
      <w:r w:rsidR="001127DB">
        <w:rPr>
          <w:rFonts w:ascii="Arial" w:hAnsi="Arial" w:cs="Arial"/>
          <w:sz w:val="24"/>
          <w:szCs w:val="24"/>
        </w:rPr>
        <w:t xml:space="preserve">aland </w:t>
      </w:r>
      <w:r w:rsidRPr="00867948">
        <w:rPr>
          <w:rFonts w:ascii="Arial" w:hAnsi="Arial" w:cs="Arial"/>
          <w:sz w:val="24"/>
          <w:szCs w:val="24"/>
        </w:rPr>
        <w:t>B</w:t>
      </w:r>
      <w:r w:rsidR="001127DB">
        <w:rPr>
          <w:rFonts w:ascii="Arial" w:hAnsi="Arial" w:cs="Arial"/>
          <w:sz w:val="24"/>
          <w:szCs w:val="24"/>
        </w:rPr>
        <w:t>ill of Rights A</w:t>
      </w:r>
      <w:r w:rsidR="00264842">
        <w:rPr>
          <w:rFonts w:ascii="Arial" w:hAnsi="Arial" w:cs="Arial"/>
          <w:sz w:val="24"/>
          <w:szCs w:val="24"/>
        </w:rPr>
        <w:t>ct</w:t>
      </w:r>
      <w:r w:rsidR="000C3476">
        <w:rPr>
          <w:lang w:val="en-AU"/>
        </w:rPr>
        <w:t xml:space="preserve">, </w:t>
      </w:r>
      <w:r w:rsidR="006F1151">
        <w:rPr>
          <w:rFonts w:ascii="Arial" w:hAnsi="Arial" w:cs="Arial"/>
          <w:sz w:val="24"/>
          <w:szCs w:val="24"/>
        </w:rPr>
        <w:t>a</w:t>
      </w:r>
      <w:r w:rsidR="007849BB" w:rsidRPr="007849BB">
        <w:rPr>
          <w:rFonts w:ascii="Arial" w:hAnsi="Arial" w:cs="Arial"/>
          <w:sz w:val="24"/>
          <w:szCs w:val="24"/>
        </w:rPr>
        <w:t xml:space="preserve">lthough the limitation and leave requirements applying to claims for bodily injury under s 4(7) </w:t>
      </w:r>
      <w:r w:rsidR="007849BB" w:rsidRPr="0003360F">
        <w:rPr>
          <w:rFonts w:ascii="Arial" w:hAnsi="Arial" w:cs="Arial"/>
          <w:sz w:val="24"/>
          <w:szCs w:val="24"/>
        </w:rPr>
        <w:t>may</w:t>
      </w:r>
      <w:r w:rsidR="007849BB" w:rsidRPr="007849BB">
        <w:rPr>
          <w:rFonts w:ascii="Arial" w:hAnsi="Arial" w:cs="Arial"/>
          <w:sz w:val="24"/>
          <w:szCs w:val="24"/>
        </w:rPr>
        <w:t xml:space="preserve"> apply where bodily injury is an element of the </w:t>
      </w:r>
      <w:r w:rsidR="00F20408">
        <w:rPr>
          <w:rFonts w:ascii="Arial" w:hAnsi="Arial" w:cs="Arial"/>
          <w:sz w:val="24"/>
          <w:szCs w:val="24"/>
        </w:rPr>
        <w:t>claim</w:t>
      </w:r>
      <w:r w:rsidR="000125C5">
        <w:rPr>
          <w:rFonts w:ascii="Arial" w:hAnsi="Arial" w:cs="Arial"/>
          <w:sz w:val="24"/>
          <w:szCs w:val="24"/>
        </w:rPr>
        <w:t>.</w:t>
      </w:r>
      <w:r w:rsidR="00405A92">
        <w:rPr>
          <w:rStyle w:val="FootnoteReference"/>
          <w:rFonts w:ascii="Arial" w:hAnsi="Arial" w:cs="Arial"/>
          <w:sz w:val="24"/>
          <w:szCs w:val="24"/>
        </w:rPr>
        <w:footnoteReference w:id="8"/>
      </w:r>
    </w:p>
    <w:p w14:paraId="134B7402" w14:textId="77777777" w:rsidR="002653B2" w:rsidRPr="00867948" w:rsidRDefault="002653B2" w:rsidP="00867948">
      <w:pPr>
        <w:pStyle w:val="ListParagraph"/>
        <w:ind w:left="1134" w:hanging="567"/>
        <w:rPr>
          <w:rFonts w:ascii="Arial" w:hAnsi="Arial" w:cs="Arial"/>
          <w:sz w:val="24"/>
          <w:szCs w:val="24"/>
        </w:rPr>
      </w:pPr>
    </w:p>
    <w:p w14:paraId="455C3318" w14:textId="0654451B" w:rsidR="002653B2" w:rsidRPr="00867948" w:rsidRDefault="00256AD6"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Of key relevance to historic abuse cases are </w:t>
      </w:r>
      <w:r w:rsidR="00F247F2" w:rsidRPr="00867948">
        <w:rPr>
          <w:rFonts w:ascii="Arial" w:hAnsi="Arial" w:cs="Arial"/>
          <w:sz w:val="24"/>
          <w:szCs w:val="24"/>
        </w:rPr>
        <w:t xml:space="preserve">factors which may delay the running of the limitation period. These include </w:t>
      </w:r>
      <w:r w:rsidRPr="00867948">
        <w:rPr>
          <w:rFonts w:ascii="Arial" w:hAnsi="Arial" w:cs="Arial"/>
          <w:sz w:val="24"/>
          <w:szCs w:val="24"/>
        </w:rPr>
        <w:t>the doctrine of reasonable discoverability and the provisions relating to disability</w:t>
      </w:r>
      <w:r w:rsidR="00F247F2" w:rsidRPr="00867948">
        <w:rPr>
          <w:rFonts w:ascii="Arial" w:hAnsi="Arial" w:cs="Arial"/>
          <w:sz w:val="24"/>
          <w:szCs w:val="24"/>
        </w:rPr>
        <w:t>.</w:t>
      </w:r>
    </w:p>
    <w:p w14:paraId="5540CED3" w14:textId="2A849D21" w:rsidR="004B1B5A" w:rsidRPr="00867948" w:rsidRDefault="004B1B5A" w:rsidP="00867948">
      <w:pPr>
        <w:spacing w:after="0" w:line="240" w:lineRule="auto"/>
        <w:ind w:left="1134" w:hanging="567"/>
        <w:rPr>
          <w:rFonts w:ascii="Arial" w:eastAsia="Times New Roman" w:hAnsi="Arial" w:cs="Arial"/>
          <w:color w:val="000000"/>
          <w:sz w:val="24"/>
          <w:szCs w:val="24"/>
          <w:lang w:eastAsia="en-NZ"/>
        </w:rPr>
      </w:pPr>
    </w:p>
    <w:p w14:paraId="0F1A5D6C" w14:textId="4DF0EF56" w:rsidR="004B1B5A" w:rsidRPr="00867948" w:rsidRDefault="008017BF" w:rsidP="00867948">
      <w:pPr>
        <w:ind w:left="1134" w:hanging="567"/>
        <w:rPr>
          <w:rFonts w:ascii="Arial" w:hAnsi="Arial" w:cs="Arial"/>
          <w:b/>
          <w:bCs/>
          <w:sz w:val="24"/>
          <w:szCs w:val="24"/>
        </w:rPr>
      </w:pPr>
      <w:r w:rsidRPr="00867948">
        <w:rPr>
          <w:rFonts w:ascii="Arial" w:hAnsi="Arial" w:cs="Arial"/>
          <w:b/>
          <w:bCs/>
          <w:sz w:val="24"/>
          <w:szCs w:val="24"/>
        </w:rPr>
        <w:t>Date of accrual: r</w:t>
      </w:r>
      <w:r w:rsidR="00C411C7" w:rsidRPr="00867948">
        <w:rPr>
          <w:rFonts w:ascii="Arial" w:hAnsi="Arial" w:cs="Arial"/>
          <w:b/>
          <w:bCs/>
          <w:sz w:val="24"/>
          <w:szCs w:val="24"/>
        </w:rPr>
        <w:t>easonable discoverability</w:t>
      </w:r>
    </w:p>
    <w:p w14:paraId="23184404" w14:textId="1683AF33" w:rsidR="00934E54" w:rsidRPr="00867948" w:rsidRDefault="00934E54" w:rsidP="00867948">
      <w:pPr>
        <w:spacing w:after="0" w:line="240" w:lineRule="auto"/>
        <w:ind w:left="1134" w:hanging="567"/>
        <w:rPr>
          <w:rFonts w:ascii="Arial" w:eastAsia="Times New Roman" w:hAnsi="Arial" w:cs="Arial"/>
          <w:color w:val="000000"/>
          <w:sz w:val="24"/>
          <w:szCs w:val="24"/>
          <w:lang w:eastAsia="en-NZ"/>
        </w:rPr>
      </w:pPr>
    </w:p>
    <w:p w14:paraId="450647BB" w14:textId="75D12D6F" w:rsidR="00BA0ED5" w:rsidRPr="00867948" w:rsidRDefault="006E4BC0"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The doctrine </w:t>
      </w:r>
      <w:r w:rsidR="00BA0ED5" w:rsidRPr="00867948">
        <w:rPr>
          <w:rFonts w:ascii="Arial" w:hAnsi="Arial" w:cs="Arial"/>
          <w:sz w:val="24"/>
          <w:szCs w:val="24"/>
        </w:rPr>
        <w:t xml:space="preserve">of ‘reasonable discoverability’ has been held to apply in some cases of abuse in care resulting in </w:t>
      </w:r>
      <w:r w:rsidR="003171B4" w:rsidRPr="00867948">
        <w:rPr>
          <w:rFonts w:ascii="Arial" w:hAnsi="Arial" w:cs="Arial"/>
          <w:sz w:val="24"/>
          <w:szCs w:val="24"/>
        </w:rPr>
        <w:t xml:space="preserve">mental </w:t>
      </w:r>
      <w:r w:rsidR="00BA0ED5" w:rsidRPr="00867948">
        <w:rPr>
          <w:rFonts w:ascii="Arial" w:hAnsi="Arial" w:cs="Arial"/>
          <w:sz w:val="24"/>
          <w:szCs w:val="24"/>
        </w:rPr>
        <w:t xml:space="preserve">injury: providing that the cause of action does not accrue – and therefore the limitation period does not begin to run – before the plaintiff has either identified or reasonably should have identified the link between the psychological damage and the abuse. </w:t>
      </w:r>
    </w:p>
    <w:p w14:paraId="74C8FBC0" w14:textId="77777777" w:rsidR="007D50E0" w:rsidRPr="00867948" w:rsidRDefault="007D50E0" w:rsidP="00867948">
      <w:pPr>
        <w:pStyle w:val="ListParagraph"/>
        <w:ind w:left="1134" w:hanging="567"/>
        <w:rPr>
          <w:rFonts w:ascii="Arial" w:hAnsi="Arial" w:cs="Arial"/>
          <w:sz w:val="24"/>
          <w:szCs w:val="24"/>
        </w:rPr>
      </w:pPr>
    </w:p>
    <w:p w14:paraId="13983916" w14:textId="346E3EC3" w:rsidR="003715D7" w:rsidRPr="00867948" w:rsidRDefault="003715D7"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lastRenderedPageBreak/>
        <w:t xml:space="preserve">In general, this doctrine has been applied to negligence claims and not to claims of assault and battery, where damage is not an element of the tort. </w:t>
      </w:r>
      <w:r w:rsidR="001F3F7A" w:rsidRPr="00867948">
        <w:rPr>
          <w:rFonts w:ascii="Arial" w:hAnsi="Arial" w:cs="Arial"/>
          <w:sz w:val="24"/>
          <w:szCs w:val="24"/>
        </w:rPr>
        <w:t xml:space="preserve">In </w:t>
      </w:r>
      <w:r w:rsidR="0015042F" w:rsidRPr="00867948">
        <w:rPr>
          <w:rFonts w:ascii="Arial" w:hAnsi="Arial" w:cs="Arial"/>
          <w:sz w:val="24"/>
          <w:szCs w:val="24"/>
        </w:rPr>
        <w:t>claims</w:t>
      </w:r>
      <w:r w:rsidR="00FD2F28" w:rsidRPr="00867948">
        <w:rPr>
          <w:rFonts w:ascii="Arial" w:hAnsi="Arial" w:cs="Arial"/>
          <w:sz w:val="24"/>
          <w:szCs w:val="24"/>
        </w:rPr>
        <w:t xml:space="preserve"> of assault and battery</w:t>
      </w:r>
      <w:r w:rsidR="001F3F7A" w:rsidRPr="00867948">
        <w:rPr>
          <w:rFonts w:ascii="Arial" w:hAnsi="Arial" w:cs="Arial"/>
          <w:sz w:val="24"/>
          <w:szCs w:val="24"/>
        </w:rPr>
        <w:t xml:space="preserve">, the limitation period has been held to run from the date at which the plaintiff </w:t>
      </w:r>
      <w:r w:rsidR="001436CB" w:rsidRPr="00867948">
        <w:rPr>
          <w:rFonts w:ascii="Arial" w:hAnsi="Arial" w:cs="Arial"/>
          <w:sz w:val="24"/>
          <w:szCs w:val="24"/>
        </w:rPr>
        <w:t>understands he or she did not consent to the abuse</w:t>
      </w:r>
      <w:r w:rsidR="00C8241A" w:rsidRPr="00867948">
        <w:rPr>
          <w:rFonts w:ascii="Arial" w:hAnsi="Arial" w:cs="Arial"/>
          <w:sz w:val="24"/>
          <w:szCs w:val="24"/>
        </w:rPr>
        <w:t xml:space="preserve"> or that the conduct was wrongful</w:t>
      </w:r>
      <w:r w:rsidR="00C97DCD" w:rsidRPr="00867948">
        <w:rPr>
          <w:rFonts w:ascii="Arial" w:hAnsi="Arial" w:cs="Arial"/>
          <w:sz w:val="24"/>
          <w:szCs w:val="24"/>
        </w:rPr>
        <w:t>,</w:t>
      </w:r>
      <w:r w:rsidR="005E3E25" w:rsidRPr="00867948">
        <w:rPr>
          <w:rStyle w:val="FootnoteReference"/>
          <w:rFonts w:ascii="Arial" w:hAnsi="Arial" w:cs="Arial"/>
          <w:sz w:val="24"/>
          <w:szCs w:val="24"/>
        </w:rPr>
        <w:footnoteReference w:id="9"/>
      </w:r>
      <w:r w:rsidR="00C97DCD" w:rsidRPr="00867948">
        <w:rPr>
          <w:rFonts w:ascii="Arial" w:hAnsi="Arial" w:cs="Arial"/>
          <w:sz w:val="24"/>
          <w:szCs w:val="24"/>
        </w:rPr>
        <w:t xml:space="preserve"> and so in historic abuse cases </w:t>
      </w:r>
      <w:r w:rsidR="00394698" w:rsidRPr="00867948">
        <w:rPr>
          <w:rFonts w:ascii="Arial" w:hAnsi="Arial" w:cs="Arial"/>
          <w:sz w:val="24"/>
          <w:szCs w:val="24"/>
        </w:rPr>
        <w:t xml:space="preserve">claims of assault and battery </w:t>
      </w:r>
      <w:r w:rsidR="00C97DCD" w:rsidRPr="00867948">
        <w:rPr>
          <w:rFonts w:ascii="Arial" w:hAnsi="Arial" w:cs="Arial"/>
          <w:sz w:val="24"/>
          <w:szCs w:val="24"/>
        </w:rPr>
        <w:t xml:space="preserve">have generally been held to </w:t>
      </w:r>
      <w:r w:rsidR="00C244C9">
        <w:rPr>
          <w:rFonts w:ascii="Arial" w:hAnsi="Arial" w:cs="Arial"/>
          <w:sz w:val="24"/>
          <w:szCs w:val="24"/>
        </w:rPr>
        <w:t xml:space="preserve">be </w:t>
      </w:r>
      <w:r w:rsidR="00C97DCD" w:rsidRPr="00867948">
        <w:rPr>
          <w:rFonts w:ascii="Arial" w:hAnsi="Arial" w:cs="Arial"/>
          <w:sz w:val="24"/>
          <w:szCs w:val="24"/>
        </w:rPr>
        <w:t xml:space="preserve">barred by the </w:t>
      </w:r>
      <w:r w:rsidR="003033F4" w:rsidRPr="00867948">
        <w:rPr>
          <w:rFonts w:ascii="Arial" w:hAnsi="Arial" w:cs="Arial"/>
          <w:sz w:val="24"/>
          <w:szCs w:val="24"/>
        </w:rPr>
        <w:t>L</w:t>
      </w:r>
      <w:r w:rsidR="00C97DCD" w:rsidRPr="00867948">
        <w:rPr>
          <w:rFonts w:ascii="Arial" w:hAnsi="Arial" w:cs="Arial"/>
          <w:sz w:val="24"/>
          <w:szCs w:val="24"/>
        </w:rPr>
        <w:t xml:space="preserve">imitation </w:t>
      </w:r>
      <w:r w:rsidR="003033F4" w:rsidRPr="00867948">
        <w:rPr>
          <w:rFonts w:ascii="Arial" w:hAnsi="Arial" w:cs="Arial"/>
          <w:sz w:val="24"/>
          <w:szCs w:val="24"/>
        </w:rPr>
        <w:t>A</w:t>
      </w:r>
      <w:r w:rsidR="00C97DCD" w:rsidRPr="00867948">
        <w:rPr>
          <w:rFonts w:ascii="Arial" w:hAnsi="Arial" w:cs="Arial"/>
          <w:sz w:val="24"/>
          <w:szCs w:val="24"/>
        </w:rPr>
        <w:t>ct.</w:t>
      </w:r>
    </w:p>
    <w:p w14:paraId="5A2260D2" w14:textId="77777777" w:rsidR="00BA0ED5" w:rsidRPr="00867948" w:rsidRDefault="00BA0ED5" w:rsidP="00867948">
      <w:pPr>
        <w:pStyle w:val="ListParagraph"/>
        <w:ind w:left="1134" w:hanging="567"/>
        <w:rPr>
          <w:rFonts w:ascii="Arial" w:hAnsi="Arial" w:cs="Arial"/>
          <w:sz w:val="24"/>
          <w:szCs w:val="24"/>
        </w:rPr>
      </w:pPr>
    </w:p>
    <w:p w14:paraId="22F5ED69" w14:textId="1CFABC9C" w:rsidR="003730F2" w:rsidRPr="00867948" w:rsidRDefault="000E2D87"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Key cases discussing reasonable discoverability in abuse </w:t>
      </w:r>
      <w:r w:rsidR="005D0A94" w:rsidRPr="00867948">
        <w:rPr>
          <w:rFonts w:ascii="Arial" w:hAnsi="Arial" w:cs="Arial"/>
          <w:sz w:val="24"/>
          <w:szCs w:val="24"/>
        </w:rPr>
        <w:t xml:space="preserve">and abuse </w:t>
      </w:r>
      <w:r w:rsidRPr="00867948">
        <w:rPr>
          <w:rFonts w:ascii="Arial" w:hAnsi="Arial" w:cs="Arial"/>
          <w:sz w:val="24"/>
          <w:szCs w:val="24"/>
        </w:rPr>
        <w:t>in care claims include:</w:t>
      </w:r>
    </w:p>
    <w:p w14:paraId="1D099C09" w14:textId="188365EE" w:rsidR="00037173" w:rsidRPr="00867948" w:rsidRDefault="00037173" w:rsidP="00867948">
      <w:pPr>
        <w:spacing w:after="0" w:line="240" w:lineRule="auto"/>
        <w:ind w:left="1134" w:hanging="567"/>
        <w:rPr>
          <w:rFonts w:ascii="Arial" w:eastAsia="Times New Roman" w:hAnsi="Arial" w:cs="Arial"/>
          <w:i/>
          <w:iCs/>
          <w:color w:val="000000"/>
          <w:sz w:val="24"/>
          <w:szCs w:val="24"/>
          <w:lang w:eastAsia="en-NZ"/>
        </w:rPr>
      </w:pPr>
    </w:p>
    <w:p w14:paraId="0F2E83DA" w14:textId="74631A31" w:rsidR="0012628F" w:rsidRPr="00867948" w:rsidRDefault="00994B37" w:rsidP="00C244C9">
      <w:pPr>
        <w:pStyle w:val="ListParagraph"/>
        <w:numPr>
          <w:ilvl w:val="0"/>
          <w:numId w:val="35"/>
        </w:numPr>
        <w:ind w:left="1701" w:hanging="567"/>
        <w:rPr>
          <w:rFonts w:ascii="Arial" w:hAnsi="Arial" w:cs="Arial"/>
          <w:sz w:val="24"/>
          <w:szCs w:val="24"/>
        </w:rPr>
      </w:pPr>
      <w:r w:rsidRPr="00867948">
        <w:rPr>
          <w:rFonts w:ascii="Arial" w:hAnsi="Arial" w:cs="Arial"/>
          <w:i/>
          <w:iCs/>
          <w:sz w:val="24"/>
          <w:szCs w:val="24"/>
        </w:rPr>
        <w:t>S v G</w:t>
      </w:r>
      <w:r w:rsidR="003E74BE" w:rsidRPr="00867948">
        <w:rPr>
          <w:rFonts w:ascii="Arial" w:hAnsi="Arial" w:cs="Arial"/>
          <w:i/>
          <w:iCs/>
          <w:sz w:val="24"/>
          <w:szCs w:val="24"/>
        </w:rPr>
        <w:t xml:space="preserve"> </w:t>
      </w:r>
      <w:r w:rsidR="003E74BE" w:rsidRPr="00867948">
        <w:rPr>
          <w:rFonts w:ascii="Arial" w:hAnsi="Arial" w:cs="Arial"/>
          <w:sz w:val="24"/>
          <w:szCs w:val="24"/>
        </w:rPr>
        <w:t>[1995] 3 NZLR 681 (CA)</w:t>
      </w:r>
      <w:r w:rsidR="00B25F6D" w:rsidRPr="00867948">
        <w:rPr>
          <w:rFonts w:ascii="Arial" w:hAnsi="Arial" w:cs="Arial"/>
          <w:sz w:val="24"/>
          <w:szCs w:val="24"/>
        </w:rPr>
        <w:t xml:space="preserve"> </w:t>
      </w:r>
      <w:r w:rsidR="00CF4E07" w:rsidRPr="00867948">
        <w:rPr>
          <w:rFonts w:ascii="Arial" w:hAnsi="Arial" w:cs="Arial"/>
          <w:sz w:val="24"/>
          <w:szCs w:val="24"/>
        </w:rPr>
        <w:t>established the applicability of the reasonable discoverability doctrine in</w:t>
      </w:r>
      <w:r w:rsidR="00274095" w:rsidRPr="00867948">
        <w:rPr>
          <w:rFonts w:ascii="Arial" w:hAnsi="Arial" w:cs="Arial"/>
          <w:sz w:val="24"/>
          <w:szCs w:val="24"/>
        </w:rPr>
        <w:t xml:space="preserve"> a</w:t>
      </w:r>
      <w:r w:rsidR="00CF4E07" w:rsidRPr="00867948">
        <w:rPr>
          <w:rFonts w:ascii="Arial" w:hAnsi="Arial" w:cs="Arial"/>
          <w:sz w:val="24"/>
          <w:szCs w:val="24"/>
        </w:rPr>
        <w:t xml:space="preserve"> case</w:t>
      </w:r>
      <w:r w:rsidR="00274095" w:rsidRPr="00867948">
        <w:rPr>
          <w:rFonts w:ascii="Arial" w:hAnsi="Arial" w:cs="Arial"/>
          <w:sz w:val="24"/>
          <w:szCs w:val="24"/>
        </w:rPr>
        <w:t xml:space="preserve"> involving </w:t>
      </w:r>
      <w:r w:rsidR="00CF4E07" w:rsidRPr="00867948">
        <w:rPr>
          <w:rFonts w:ascii="Arial" w:hAnsi="Arial" w:cs="Arial"/>
          <w:sz w:val="24"/>
          <w:szCs w:val="24"/>
        </w:rPr>
        <w:t>abuse.</w:t>
      </w:r>
      <w:r w:rsidR="00CF4E07" w:rsidRPr="00867948">
        <w:rPr>
          <w:rStyle w:val="FootnoteReference"/>
          <w:rFonts w:ascii="Arial" w:hAnsi="Arial" w:cs="Arial"/>
          <w:sz w:val="24"/>
          <w:szCs w:val="24"/>
        </w:rPr>
        <w:footnoteReference w:id="10"/>
      </w:r>
      <w:r w:rsidR="00CF4E07" w:rsidRPr="00867948">
        <w:rPr>
          <w:rFonts w:ascii="Arial" w:hAnsi="Arial" w:cs="Arial"/>
          <w:sz w:val="24"/>
          <w:szCs w:val="24"/>
        </w:rPr>
        <w:t xml:space="preserve"> The case </w:t>
      </w:r>
      <w:r w:rsidR="00274095" w:rsidRPr="00867948">
        <w:rPr>
          <w:rFonts w:ascii="Arial" w:hAnsi="Arial" w:cs="Arial"/>
          <w:sz w:val="24"/>
          <w:szCs w:val="24"/>
        </w:rPr>
        <w:t xml:space="preserve">was brought as </w:t>
      </w:r>
      <w:r w:rsidR="00D904BE" w:rsidRPr="00867948">
        <w:rPr>
          <w:rFonts w:ascii="Arial" w:hAnsi="Arial" w:cs="Arial"/>
          <w:sz w:val="24"/>
          <w:szCs w:val="24"/>
        </w:rPr>
        <w:t xml:space="preserve">a claim in negligence and trespass to the person, </w:t>
      </w:r>
      <w:r w:rsidR="00541481" w:rsidRPr="00867948">
        <w:rPr>
          <w:rFonts w:ascii="Arial" w:hAnsi="Arial" w:cs="Arial"/>
          <w:sz w:val="24"/>
          <w:szCs w:val="24"/>
        </w:rPr>
        <w:t>for</w:t>
      </w:r>
      <w:r w:rsidR="00D904BE" w:rsidRPr="00867948">
        <w:rPr>
          <w:rFonts w:ascii="Arial" w:hAnsi="Arial" w:cs="Arial"/>
          <w:sz w:val="24"/>
          <w:szCs w:val="24"/>
        </w:rPr>
        <w:t xml:space="preserve"> </w:t>
      </w:r>
      <w:r w:rsidR="00B25F6D" w:rsidRPr="00867948">
        <w:rPr>
          <w:rFonts w:ascii="Arial" w:hAnsi="Arial" w:cs="Arial"/>
          <w:sz w:val="24"/>
          <w:szCs w:val="24"/>
        </w:rPr>
        <w:t>sexual</w:t>
      </w:r>
      <w:r w:rsidR="00D904BE" w:rsidRPr="00867948">
        <w:rPr>
          <w:rFonts w:ascii="Arial" w:hAnsi="Arial" w:cs="Arial"/>
          <w:sz w:val="24"/>
          <w:szCs w:val="24"/>
        </w:rPr>
        <w:t xml:space="preserve">, physical and emotional </w:t>
      </w:r>
      <w:r w:rsidR="00B25F6D" w:rsidRPr="00867948">
        <w:rPr>
          <w:rFonts w:ascii="Arial" w:hAnsi="Arial" w:cs="Arial"/>
          <w:sz w:val="24"/>
          <w:szCs w:val="24"/>
        </w:rPr>
        <w:t>abuse</w:t>
      </w:r>
      <w:r w:rsidR="00D904BE" w:rsidRPr="00867948">
        <w:rPr>
          <w:rFonts w:ascii="Arial" w:hAnsi="Arial" w:cs="Arial"/>
          <w:sz w:val="24"/>
          <w:szCs w:val="24"/>
        </w:rPr>
        <w:t xml:space="preserve"> by a medical practitioner, which had led to psychological injury. The claimant provided evidence that it was not until she started counselling that she came to recognise that the psychological damage was causally </w:t>
      </w:r>
      <w:r w:rsidR="00C241BD" w:rsidRPr="00867948">
        <w:rPr>
          <w:rFonts w:ascii="Arial" w:hAnsi="Arial" w:cs="Arial"/>
          <w:sz w:val="24"/>
          <w:szCs w:val="24"/>
        </w:rPr>
        <w:t xml:space="preserve">linked to </w:t>
      </w:r>
      <w:r w:rsidR="00F86B25" w:rsidRPr="00867948">
        <w:rPr>
          <w:rFonts w:ascii="Arial" w:hAnsi="Arial" w:cs="Arial"/>
          <w:sz w:val="24"/>
          <w:szCs w:val="24"/>
        </w:rPr>
        <w:t xml:space="preserve">the abuse she had suffered. The </w:t>
      </w:r>
      <w:r w:rsidR="00902207" w:rsidRPr="00867948">
        <w:rPr>
          <w:rFonts w:ascii="Arial" w:hAnsi="Arial" w:cs="Arial"/>
          <w:sz w:val="24"/>
          <w:szCs w:val="24"/>
        </w:rPr>
        <w:t xml:space="preserve">Court of Appeal accepted that she </w:t>
      </w:r>
      <w:r w:rsidR="008234E1" w:rsidRPr="00867948">
        <w:rPr>
          <w:rFonts w:ascii="Arial" w:hAnsi="Arial" w:cs="Arial"/>
          <w:sz w:val="24"/>
          <w:szCs w:val="24"/>
        </w:rPr>
        <w:t xml:space="preserve">had </w:t>
      </w:r>
      <w:r w:rsidRPr="00867948">
        <w:rPr>
          <w:rFonts w:ascii="Arial" w:hAnsi="Arial" w:cs="Arial"/>
          <w:sz w:val="24"/>
          <w:szCs w:val="24"/>
        </w:rPr>
        <w:t xml:space="preserve">reasonably not linked </w:t>
      </w:r>
      <w:r w:rsidR="00C125BE" w:rsidRPr="00867948">
        <w:rPr>
          <w:rFonts w:ascii="Arial" w:hAnsi="Arial" w:cs="Arial"/>
          <w:sz w:val="24"/>
          <w:szCs w:val="24"/>
        </w:rPr>
        <w:t xml:space="preserve">her </w:t>
      </w:r>
      <w:r w:rsidRPr="00867948">
        <w:rPr>
          <w:rFonts w:ascii="Arial" w:hAnsi="Arial" w:cs="Arial"/>
          <w:sz w:val="24"/>
          <w:szCs w:val="24"/>
        </w:rPr>
        <w:t>serious psychological harm to the abuse</w:t>
      </w:r>
      <w:r w:rsidR="00902207" w:rsidRPr="00867948">
        <w:rPr>
          <w:rFonts w:ascii="Arial" w:hAnsi="Arial" w:cs="Arial"/>
          <w:sz w:val="24"/>
          <w:szCs w:val="24"/>
        </w:rPr>
        <w:t xml:space="preserve"> until undergoing counselling</w:t>
      </w:r>
      <w:r w:rsidRPr="00867948">
        <w:rPr>
          <w:rFonts w:ascii="Arial" w:hAnsi="Arial" w:cs="Arial"/>
          <w:sz w:val="24"/>
          <w:szCs w:val="24"/>
        </w:rPr>
        <w:t xml:space="preserve">, and </w:t>
      </w:r>
      <w:r w:rsidR="00902207" w:rsidRPr="00867948">
        <w:rPr>
          <w:rFonts w:ascii="Arial" w:hAnsi="Arial" w:cs="Arial"/>
          <w:sz w:val="24"/>
          <w:szCs w:val="24"/>
        </w:rPr>
        <w:t xml:space="preserve">held that </w:t>
      </w:r>
      <w:r w:rsidR="00BA22A5" w:rsidRPr="00867948">
        <w:rPr>
          <w:rFonts w:ascii="Arial" w:hAnsi="Arial" w:cs="Arial"/>
          <w:sz w:val="24"/>
          <w:szCs w:val="24"/>
        </w:rPr>
        <w:t xml:space="preserve">it is </w:t>
      </w:r>
      <w:r w:rsidRPr="00867948">
        <w:rPr>
          <w:rFonts w:ascii="Arial" w:hAnsi="Arial" w:cs="Arial"/>
          <w:sz w:val="24"/>
          <w:szCs w:val="24"/>
        </w:rPr>
        <w:t xml:space="preserve">only once </w:t>
      </w:r>
      <w:r w:rsidR="00902207" w:rsidRPr="00867948">
        <w:rPr>
          <w:rFonts w:ascii="Arial" w:hAnsi="Arial" w:cs="Arial"/>
          <w:sz w:val="24"/>
          <w:szCs w:val="24"/>
        </w:rPr>
        <w:t xml:space="preserve">the harm </w:t>
      </w:r>
      <w:r w:rsidRPr="00867948">
        <w:rPr>
          <w:rFonts w:ascii="Arial" w:hAnsi="Arial" w:cs="Arial"/>
          <w:sz w:val="24"/>
          <w:szCs w:val="24"/>
        </w:rPr>
        <w:t xml:space="preserve">reasonably should have been identified and linked to the abuse that </w:t>
      </w:r>
      <w:r w:rsidR="008841DD" w:rsidRPr="00867948">
        <w:rPr>
          <w:rFonts w:ascii="Arial" w:hAnsi="Arial" w:cs="Arial"/>
          <w:sz w:val="24"/>
          <w:szCs w:val="24"/>
        </w:rPr>
        <w:t xml:space="preserve">all the </w:t>
      </w:r>
      <w:r w:rsidRPr="00867948">
        <w:rPr>
          <w:rFonts w:ascii="Arial" w:hAnsi="Arial" w:cs="Arial"/>
          <w:sz w:val="24"/>
          <w:szCs w:val="24"/>
        </w:rPr>
        <w:t xml:space="preserve">negligence elements </w:t>
      </w:r>
      <w:r w:rsidR="00D81B9F">
        <w:rPr>
          <w:rFonts w:ascii="Arial" w:hAnsi="Arial" w:cs="Arial"/>
          <w:sz w:val="24"/>
          <w:szCs w:val="24"/>
        </w:rPr>
        <w:t xml:space="preserve">are </w:t>
      </w:r>
      <w:r w:rsidRPr="00867948">
        <w:rPr>
          <w:rFonts w:ascii="Arial" w:hAnsi="Arial" w:cs="Arial"/>
          <w:sz w:val="24"/>
          <w:szCs w:val="24"/>
        </w:rPr>
        <w:t xml:space="preserve">known and </w:t>
      </w:r>
      <w:r w:rsidR="00D81B9F">
        <w:rPr>
          <w:rFonts w:ascii="Arial" w:hAnsi="Arial" w:cs="Arial"/>
          <w:sz w:val="24"/>
          <w:szCs w:val="24"/>
        </w:rPr>
        <w:t xml:space="preserve">the </w:t>
      </w:r>
      <w:r w:rsidRPr="00867948">
        <w:rPr>
          <w:rFonts w:ascii="Arial" w:hAnsi="Arial" w:cs="Arial"/>
          <w:sz w:val="24"/>
          <w:szCs w:val="24"/>
        </w:rPr>
        <w:t>cause of action accrues.</w:t>
      </w:r>
    </w:p>
    <w:p w14:paraId="7E6D87F2" w14:textId="77777777" w:rsidR="00867948" w:rsidRDefault="00867948" w:rsidP="00867948">
      <w:pPr>
        <w:pStyle w:val="ListParagraph"/>
        <w:ind w:left="1134"/>
        <w:rPr>
          <w:rFonts w:ascii="Arial" w:hAnsi="Arial" w:cs="Arial"/>
          <w:sz w:val="24"/>
          <w:szCs w:val="24"/>
        </w:rPr>
      </w:pPr>
    </w:p>
    <w:p w14:paraId="513A4A0D" w14:textId="2587A05B" w:rsidR="00605623" w:rsidRPr="00867948" w:rsidRDefault="005E4189" w:rsidP="00C244C9">
      <w:pPr>
        <w:pStyle w:val="ListParagraph"/>
        <w:numPr>
          <w:ilvl w:val="0"/>
          <w:numId w:val="35"/>
        </w:numPr>
        <w:ind w:left="1701" w:hanging="567"/>
        <w:rPr>
          <w:rFonts w:ascii="Arial" w:hAnsi="Arial" w:cs="Arial"/>
          <w:sz w:val="24"/>
          <w:szCs w:val="24"/>
        </w:rPr>
      </w:pPr>
      <w:r w:rsidRPr="00867948">
        <w:rPr>
          <w:rFonts w:ascii="Arial" w:hAnsi="Arial" w:cs="Arial"/>
          <w:sz w:val="24"/>
          <w:szCs w:val="24"/>
        </w:rPr>
        <w:t xml:space="preserve">The </w:t>
      </w:r>
      <w:r w:rsidR="00605623" w:rsidRPr="00867948">
        <w:rPr>
          <w:rFonts w:ascii="Arial" w:hAnsi="Arial" w:cs="Arial"/>
          <w:i/>
          <w:iCs/>
          <w:sz w:val="24"/>
          <w:szCs w:val="24"/>
        </w:rPr>
        <w:t>W v Attorney-General</w:t>
      </w:r>
      <w:r w:rsidR="00605623" w:rsidRPr="00867948">
        <w:rPr>
          <w:rFonts w:ascii="Arial" w:hAnsi="Arial" w:cs="Arial"/>
          <w:sz w:val="24"/>
          <w:szCs w:val="24"/>
        </w:rPr>
        <w:t xml:space="preserve"> </w:t>
      </w:r>
      <w:r w:rsidRPr="00867948">
        <w:rPr>
          <w:rFonts w:ascii="Arial" w:hAnsi="Arial" w:cs="Arial"/>
          <w:sz w:val="24"/>
          <w:szCs w:val="24"/>
        </w:rPr>
        <w:t>claim began with an application for leave to bring the action under s 4(7)</w:t>
      </w:r>
      <w:r w:rsidR="003E506A">
        <w:rPr>
          <w:rFonts w:ascii="Arial" w:hAnsi="Arial" w:cs="Arial"/>
          <w:sz w:val="24"/>
          <w:szCs w:val="24"/>
        </w:rPr>
        <w:t xml:space="preserve"> of the Act</w:t>
      </w:r>
      <w:r w:rsidRPr="00867948">
        <w:rPr>
          <w:rFonts w:ascii="Arial" w:hAnsi="Arial" w:cs="Arial"/>
          <w:sz w:val="24"/>
          <w:szCs w:val="24"/>
        </w:rPr>
        <w:t xml:space="preserve">: [1999] 2 NZLR 709. </w:t>
      </w:r>
      <w:r w:rsidR="006141D4" w:rsidRPr="00867948">
        <w:rPr>
          <w:rFonts w:ascii="Arial" w:hAnsi="Arial" w:cs="Arial"/>
          <w:sz w:val="24"/>
          <w:szCs w:val="24"/>
        </w:rPr>
        <w:t xml:space="preserve">The Court of Appeal confirmed the applicability of the reasonable discoverability </w:t>
      </w:r>
      <w:r w:rsidR="00C51217" w:rsidRPr="00867948">
        <w:rPr>
          <w:rFonts w:ascii="Arial" w:hAnsi="Arial" w:cs="Arial"/>
          <w:sz w:val="24"/>
          <w:szCs w:val="24"/>
        </w:rPr>
        <w:t>doctrine in a case of abuse in care</w:t>
      </w:r>
      <w:r w:rsidR="003C652E" w:rsidRPr="00867948">
        <w:rPr>
          <w:rFonts w:ascii="Arial" w:hAnsi="Arial" w:cs="Arial"/>
          <w:sz w:val="24"/>
          <w:szCs w:val="24"/>
        </w:rPr>
        <w:t xml:space="preserve">. It held that in assessing whether the link ought to have been made earlier, the test is not one of whether a reasonable person would reasonably have made that link, but whether the plaintiff, as they are, should reasonably have made the link. Leave was granted to bring the claim. In the substantive proceedings it was confirmed that the plaintiff had not made the link </w:t>
      </w:r>
      <w:r w:rsidR="00F3695A" w:rsidRPr="00867948">
        <w:rPr>
          <w:rFonts w:ascii="Arial" w:hAnsi="Arial" w:cs="Arial"/>
          <w:sz w:val="24"/>
          <w:szCs w:val="24"/>
        </w:rPr>
        <w:t xml:space="preserve">until much later, when interviewed by </w:t>
      </w:r>
      <w:r w:rsidR="003E506A">
        <w:rPr>
          <w:rFonts w:ascii="Arial" w:hAnsi="Arial" w:cs="Arial"/>
          <w:sz w:val="24"/>
          <w:szCs w:val="24"/>
        </w:rPr>
        <w:t xml:space="preserve">a </w:t>
      </w:r>
      <w:r w:rsidR="00F3695A" w:rsidRPr="00867948">
        <w:rPr>
          <w:rFonts w:ascii="Arial" w:hAnsi="Arial" w:cs="Arial"/>
          <w:sz w:val="24"/>
          <w:szCs w:val="24"/>
        </w:rPr>
        <w:t xml:space="preserve">psychiatrist ahead of making </w:t>
      </w:r>
      <w:r w:rsidR="003E506A">
        <w:rPr>
          <w:rFonts w:ascii="Arial" w:hAnsi="Arial" w:cs="Arial"/>
          <w:sz w:val="24"/>
          <w:szCs w:val="24"/>
        </w:rPr>
        <w:t xml:space="preserve">the </w:t>
      </w:r>
      <w:r w:rsidR="00F3695A" w:rsidRPr="00867948">
        <w:rPr>
          <w:rFonts w:ascii="Arial" w:hAnsi="Arial" w:cs="Arial"/>
          <w:sz w:val="24"/>
          <w:szCs w:val="24"/>
        </w:rPr>
        <w:t xml:space="preserve">claim. </w:t>
      </w:r>
      <w:r w:rsidR="00A2354E" w:rsidRPr="00867948">
        <w:rPr>
          <w:rFonts w:ascii="Arial" w:hAnsi="Arial" w:cs="Arial"/>
          <w:sz w:val="24"/>
          <w:szCs w:val="24"/>
        </w:rPr>
        <w:t>It was noted that r</w:t>
      </w:r>
      <w:r w:rsidR="00F3695A" w:rsidRPr="00867948">
        <w:rPr>
          <w:rFonts w:ascii="Arial" w:hAnsi="Arial" w:cs="Arial"/>
          <w:sz w:val="24"/>
          <w:szCs w:val="24"/>
        </w:rPr>
        <w:t>emembering abuse was not the same as making the link between that abuse and the current condition.</w:t>
      </w:r>
    </w:p>
    <w:p w14:paraId="2551884E" w14:textId="77777777" w:rsidR="00867948" w:rsidRDefault="00867948" w:rsidP="00867948">
      <w:pPr>
        <w:pStyle w:val="ListParagraph"/>
        <w:ind w:left="1134"/>
        <w:rPr>
          <w:rFonts w:ascii="Arial" w:hAnsi="Arial" w:cs="Arial"/>
          <w:sz w:val="24"/>
          <w:szCs w:val="24"/>
        </w:rPr>
      </w:pPr>
    </w:p>
    <w:p w14:paraId="4DCCE80A" w14:textId="678F321B" w:rsidR="00D80240" w:rsidRPr="00867948" w:rsidRDefault="002053F5" w:rsidP="00C244C9">
      <w:pPr>
        <w:pStyle w:val="ListParagraph"/>
        <w:numPr>
          <w:ilvl w:val="0"/>
          <w:numId w:val="35"/>
        </w:numPr>
        <w:ind w:left="1701" w:hanging="567"/>
        <w:rPr>
          <w:rFonts w:ascii="Arial" w:hAnsi="Arial" w:cs="Arial"/>
          <w:sz w:val="24"/>
          <w:szCs w:val="24"/>
        </w:rPr>
      </w:pPr>
      <w:r w:rsidRPr="00867948">
        <w:rPr>
          <w:rFonts w:ascii="Arial" w:hAnsi="Arial" w:cs="Arial"/>
          <w:sz w:val="24"/>
          <w:szCs w:val="24"/>
        </w:rPr>
        <w:lastRenderedPageBreak/>
        <w:t xml:space="preserve">The High Court in </w:t>
      </w:r>
      <w:r w:rsidR="008D5084" w:rsidRPr="00867948">
        <w:rPr>
          <w:rFonts w:ascii="Arial" w:hAnsi="Arial" w:cs="Arial"/>
          <w:i/>
          <w:iCs/>
          <w:sz w:val="24"/>
          <w:szCs w:val="24"/>
        </w:rPr>
        <w:t>S v Attorney General</w:t>
      </w:r>
      <w:r w:rsidR="008D5084" w:rsidRPr="00867948">
        <w:rPr>
          <w:rFonts w:ascii="Arial" w:hAnsi="Arial" w:cs="Arial"/>
          <w:sz w:val="24"/>
          <w:szCs w:val="24"/>
        </w:rPr>
        <w:t xml:space="preserve"> </w:t>
      </w:r>
      <w:r w:rsidR="003E506A" w:rsidRPr="00867948">
        <w:rPr>
          <w:rFonts w:ascii="Arial" w:hAnsi="Arial" w:cs="Arial"/>
          <w:sz w:val="24"/>
          <w:szCs w:val="24"/>
        </w:rPr>
        <w:t xml:space="preserve">(HC Wellington CP 253/96, 1 February 2002) </w:t>
      </w:r>
      <w:r w:rsidR="00C51217" w:rsidRPr="00867948">
        <w:rPr>
          <w:rFonts w:ascii="Arial" w:hAnsi="Arial" w:cs="Arial"/>
          <w:sz w:val="24"/>
          <w:szCs w:val="24"/>
        </w:rPr>
        <w:t>also applied the principle</w:t>
      </w:r>
      <w:r w:rsidRPr="00867948">
        <w:rPr>
          <w:rFonts w:ascii="Arial" w:hAnsi="Arial" w:cs="Arial"/>
          <w:sz w:val="24"/>
          <w:szCs w:val="24"/>
        </w:rPr>
        <w:t xml:space="preserve">. </w:t>
      </w:r>
      <w:r w:rsidR="00B06F08" w:rsidRPr="00867948">
        <w:rPr>
          <w:rFonts w:ascii="Arial" w:hAnsi="Arial" w:cs="Arial"/>
          <w:sz w:val="24"/>
          <w:szCs w:val="24"/>
        </w:rPr>
        <w:t xml:space="preserve">The court </w:t>
      </w:r>
      <w:r w:rsidR="005A1A5D" w:rsidRPr="00867948">
        <w:rPr>
          <w:rFonts w:ascii="Arial" w:hAnsi="Arial" w:cs="Arial"/>
          <w:sz w:val="24"/>
          <w:szCs w:val="24"/>
        </w:rPr>
        <w:t xml:space="preserve">recognised that </w:t>
      </w:r>
      <w:r w:rsidR="007B7466" w:rsidRPr="00867948">
        <w:rPr>
          <w:rFonts w:ascii="Arial" w:hAnsi="Arial" w:cs="Arial"/>
          <w:sz w:val="24"/>
          <w:szCs w:val="24"/>
        </w:rPr>
        <w:t xml:space="preserve">it may only be possible or reasonable to make </w:t>
      </w:r>
      <w:r w:rsidR="005A1A5D" w:rsidRPr="00867948">
        <w:rPr>
          <w:rFonts w:ascii="Arial" w:hAnsi="Arial" w:cs="Arial"/>
          <w:sz w:val="24"/>
          <w:szCs w:val="24"/>
        </w:rPr>
        <w:t xml:space="preserve">the link </w:t>
      </w:r>
      <w:r w:rsidR="00E84E7C" w:rsidRPr="00867948">
        <w:rPr>
          <w:rFonts w:ascii="Arial" w:hAnsi="Arial" w:cs="Arial"/>
          <w:sz w:val="24"/>
          <w:szCs w:val="24"/>
        </w:rPr>
        <w:t xml:space="preserve">when </w:t>
      </w:r>
      <w:r w:rsidR="005A1A5D" w:rsidRPr="00867948">
        <w:rPr>
          <w:rFonts w:ascii="Arial" w:hAnsi="Arial" w:cs="Arial"/>
          <w:sz w:val="24"/>
          <w:szCs w:val="24"/>
        </w:rPr>
        <w:t xml:space="preserve">the claimant has </w:t>
      </w:r>
      <w:r w:rsidR="00E84E7C" w:rsidRPr="00867948">
        <w:rPr>
          <w:rFonts w:ascii="Arial" w:hAnsi="Arial" w:cs="Arial"/>
          <w:sz w:val="24"/>
          <w:szCs w:val="24"/>
        </w:rPr>
        <w:t>sufficient information</w:t>
      </w:r>
      <w:r w:rsidR="00F628BB" w:rsidRPr="00867948">
        <w:rPr>
          <w:rFonts w:ascii="Arial" w:hAnsi="Arial" w:cs="Arial"/>
          <w:sz w:val="24"/>
          <w:szCs w:val="24"/>
        </w:rPr>
        <w:t xml:space="preserve"> </w:t>
      </w:r>
      <w:r w:rsidR="005A1A5D" w:rsidRPr="00867948">
        <w:rPr>
          <w:rFonts w:ascii="Arial" w:hAnsi="Arial" w:cs="Arial"/>
          <w:sz w:val="24"/>
          <w:szCs w:val="24"/>
        </w:rPr>
        <w:t xml:space="preserve">– in that case, </w:t>
      </w:r>
      <w:r w:rsidR="00F628BB" w:rsidRPr="00867948">
        <w:rPr>
          <w:rFonts w:ascii="Arial" w:hAnsi="Arial" w:cs="Arial"/>
          <w:sz w:val="24"/>
          <w:szCs w:val="24"/>
        </w:rPr>
        <w:t xml:space="preserve">it was </w:t>
      </w:r>
      <w:r w:rsidR="005A1A5D" w:rsidRPr="00867948">
        <w:rPr>
          <w:rFonts w:ascii="Arial" w:hAnsi="Arial" w:cs="Arial"/>
          <w:sz w:val="24"/>
          <w:szCs w:val="24"/>
        </w:rPr>
        <w:t>only after the claimant had obtained their file from Social Welfare</w:t>
      </w:r>
      <w:r w:rsidR="00C3072F" w:rsidRPr="00867948">
        <w:rPr>
          <w:rFonts w:ascii="Arial" w:hAnsi="Arial" w:cs="Arial"/>
          <w:sz w:val="24"/>
          <w:szCs w:val="24"/>
        </w:rPr>
        <w:t xml:space="preserve"> and recognised the role Social Welfare had in placing them</w:t>
      </w:r>
      <w:r w:rsidR="00226F0C" w:rsidRPr="00867948">
        <w:rPr>
          <w:rFonts w:ascii="Arial" w:hAnsi="Arial" w:cs="Arial"/>
          <w:sz w:val="24"/>
          <w:szCs w:val="24"/>
        </w:rPr>
        <w:t>, that they were able to make the link between the actions of Social Welfare and the damage</w:t>
      </w:r>
      <w:r w:rsidR="00CA5CEF" w:rsidRPr="00867948">
        <w:rPr>
          <w:rFonts w:ascii="Arial" w:hAnsi="Arial" w:cs="Arial"/>
          <w:sz w:val="24"/>
          <w:szCs w:val="24"/>
        </w:rPr>
        <w:t xml:space="preserve"> suffered</w:t>
      </w:r>
      <w:r w:rsidR="00540016" w:rsidRPr="00867948">
        <w:rPr>
          <w:rFonts w:ascii="Arial" w:hAnsi="Arial" w:cs="Arial"/>
          <w:sz w:val="24"/>
          <w:szCs w:val="24"/>
        </w:rPr>
        <w:t xml:space="preserve">. </w:t>
      </w:r>
      <w:r w:rsidR="00FE20EB" w:rsidRPr="00867948">
        <w:rPr>
          <w:rFonts w:ascii="Arial" w:hAnsi="Arial" w:cs="Arial"/>
          <w:sz w:val="24"/>
          <w:szCs w:val="24"/>
        </w:rPr>
        <w:t xml:space="preserve">It was also confirmed that </w:t>
      </w:r>
      <w:r w:rsidR="009D6727">
        <w:rPr>
          <w:rFonts w:ascii="Arial" w:hAnsi="Arial" w:cs="Arial"/>
          <w:sz w:val="24"/>
          <w:szCs w:val="24"/>
        </w:rPr>
        <w:t xml:space="preserve">this </w:t>
      </w:r>
      <w:r w:rsidR="00CE05E0" w:rsidRPr="00867948">
        <w:rPr>
          <w:rFonts w:ascii="Arial" w:hAnsi="Arial" w:cs="Arial"/>
          <w:sz w:val="24"/>
          <w:szCs w:val="24"/>
        </w:rPr>
        <w:t>principle does not apply to claims of a</w:t>
      </w:r>
      <w:r w:rsidR="00540016" w:rsidRPr="00867948">
        <w:rPr>
          <w:rFonts w:ascii="Arial" w:hAnsi="Arial" w:cs="Arial"/>
          <w:sz w:val="24"/>
          <w:szCs w:val="24"/>
        </w:rPr>
        <w:t>ssault and battery</w:t>
      </w:r>
      <w:r w:rsidR="00987C44" w:rsidRPr="00867948">
        <w:rPr>
          <w:rFonts w:ascii="Arial" w:hAnsi="Arial" w:cs="Arial"/>
          <w:sz w:val="24"/>
          <w:szCs w:val="24"/>
        </w:rPr>
        <w:t xml:space="preserve">: </w:t>
      </w:r>
      <w:r w:rsidR="00914828">
        <w:rPr>
          <w:rFonts w:ascii="Arial" w:hAnsi="Arial" w:cs="Arial"/>
          <w:sz w:val="24"/>
          <w:szCs w:val="24"/>
        </w:rPr>
        <w:t xml:space="preserve">damage is not a required element of </w:t>
      </w:r>
      <w:r w:rsidR="00987C44" w:rsidRPr="00867948">
        <w:rPr>
          <w:rFonts w:ascii="Arial" w:hAnsi="Arial" w:cs="Arial"/>
          <w:sz w:val="24"/>
          <w:szCs w:val="24"/>
        </w:rPr>
        <w:t>that tort</w:t>
      </w:r>
      <w:r w:rsidR="00540016" w:rsidRPr="00867948">
        <w:rPr>
          <w:rFonts w:ascii="Arial" w:hAnsi="Arial" w:cs="Arial"/>
          <w:sz w:val="24"/>
          <w:szCs w:val="24"/>
        </w:rPr>
        <w:t xml:space="preserve">, </w:t>
      </w:r>
      <w:r w:rsidR="00987C44" w:rsidRPr="00867948">
        <w:rPr>
          <w:rFonts w:ascii="Arial" w:hAnsi="Arial" w:cs="Arial"/>
          <w:sz w:val="24"/>
          <w:szCs w:val="24"/>
        </w:rPr>
        <w:t xml:space="preserve">and </w:t>
      </w:r>
      <w:r w:rsidR="00540016" w:rsidRPr="00867948">
        <w:rPr>
          <w:rFonts w:ascii="Arial" w:hAnsi="Arial" w:cs="Arial"/>
          <w:sz w:val="24"/>
          <w:szCs w:val="24"/>
        </w:rPr>
        <w:t xml:space="preserve">so </w:t>
      </w:r>
      <w:r w:rsidR="00914828">
        <w:rPr>
          <w:rFonts w:ascii="Arial" w:hAnsi="Arial" w:cs="Arial"/>
          <w:sz w:val="24"/>
          <w:szCs w:val="24"/>
        </w:rPr>
        <w:t xml:space="preserve">the action </w:t>
      </w:r>
      <w:r w:rsidR="00540016" w:rsidRPr="00867948">
        <w:rPr>
          <w:rFonts w:ascii="Arial" w:hAnsi="Arial" w:cs="Arial"/>
          <w:sz w:val="24"/>
          <w:szCs w:val="24"/>
        </w:rPr>
        <w:t>accrues</w:t>
      </w:r>
      <w:r w:rsidR="000A6704">
        <w:rPr>
          <w:rFonts w:ascii="Arial" w:hAnsi="Arial" w:cs="Arial"/>
          <w:sz w:val="24"/>
          <w:szCs w:val="24"/>
        </w:rPr>
        <w:t xml:space="preserve"> not when any link is made to the damage, but</w:t>
      </w:r>
      <w:r w:rsidR="00540016" w:rsidRPr="00867948">
        <w:rPr>
          <w:rFonts w:ascii="Arial" w:hAnsi="Arial" w:cs="Arial"/>
          <w:sz w:val="24"/>
          <w:szCs w:val="24"/>
        </w:rPr>
        <w:t xml:space="preserve"> when </w:t>
      </w:r>
      <w:r w:rsidR="00724304" w:rsidRPr="00867948">
        <w:rPr>
          <w:rFonts w:ascii="Arial" w:hAnsi="Arial" w:cs="Arial"/>
          <w:sz w:val="24"/>
          <w:szCs w:val="24"/>
        </w:rPr>
        <w:t xml:space="preserve">the </w:t>
      </w:r>
      <w:r w:rsidR="00540016" w:rsidRPr="00867948">
        <w:rPr>
          <w:rFonts w:ascii="Arial" w:hAnsi="Arial" w:cs="Arial"/>
          <w:sz w:val="24"/>
          <w:szCs w:val="24"/>
        </w:rPr>
        <w:t xml:space="preserve">plaintiff reasonably understands </w:t>
      </w:r>
      <w:r w:rsidR="00FA4B48" w:rsidRPr="00867948">
        <w:rPr>
          <w:rFonts w:ascii="Arial" w:hAnsi="Arial" w:cs="Arial"/>
          <w:sz w:val="24"/>
          <w:szCs w:val="24"/>
        </w:rPr>
        <w:t xml:space="preserve">that </w:t>
      </w:r>
      <w:r w:rsidR="00540016" w:rsidRPr="00867948">
        <w:rPr>
          <w:rFonts w:ascii="Arial" w:hAnsi="Arial" w:cs="Arial"/>
          <w:sz w:val="24"/>
          <w:szCs w:val="24"/>
        </w:rPr>
        <w:t xml:space="preserve">he </w:t>
      </w:r>
      <w:r w:rsidR="00EB0310" w:rsidRPr="00867948">
        <w:rPr>
          <w:rFonts w:ascii="Arial" w:hAnsi="Arial" w:cs="Arial"/>
          <w:sz w:val="24"/>
          <w:szCs w:val="24"/>
        </w:rPr>
        <w:t xml:space="preserve">or she </w:t>
      </w:r>
      <w:r w:rsidR="00540016" w:rsidRPr="00867948">
        <w:rPr>
          <w:rFonts w:ascii="Arial" w:hAnsi="Arial" w:cs="Arial"/>
          <w:sz w:val="24"/>
          <w:szCs w:val="24"/>
        </w:rPr>
        <w:t xml:space="preserve">has not given free and considered consent. </w:t>
      </w:r>
    </w:p>
    <w:p w14:paraId="085C59C8" w14:textId="77777777" w:rsidR="00867948" w:rsidRDefault="00867948" w:rsidP="00867948">
      <w:pPr>
        <w:pStyle w:val="ListParagraph"/>
        <w:ind w:left="1134"/>
        <w:rPr>
          <w:rFonts w:ascii="Arial" w:hAnsi="Arial" w:cs="Arial"/>
          <w:sz w:val="24"/>
          <w:szCs w:val="24"/>
        </w:rPr>
      </w:pPr>
    </w:p>
    <w:p w14:paraId="237011A0" w14:textId="0DE2960E" w:rsidR="004A1EA9" w:rsidRPr="00867948" w:rsidRDefault="008E18B2" w:rsidP="00C244C9">
      <w:pPr>
        <w:pStyle w:val="ListParagraph"/>
        <w:numPr>
          <w:ilvl w:val="0"/>
          <w:numId w:val="35"/>
        </w:numPr>
        <w:ind w:left="1701" w:hanging="567"/>
        <w:rPr>
          <w:rFonts w:ascii="Arial" w:hAnsi="Arial" w:cs="Arial"/>
          <w:sz w:val="24"/>
          <w:szCs w:val="24"/>
        </w:rPr>
      </w:pPr>
      <w:r w:rsidRPr="00867948">
        <w:rPr>
          <w:rFonts w:ascii="Arial" w:hAnsi="Arial" w:cs="Arial"/>
          <w:sz w:val="24"/>
          <w:szCs w:val="24"/>
        </w:rPr>
        <w:t xml:space="preserve">In </w:t>
      </w:r>
      <w:r w:rsidR="004A1EA9" w:rsidRPr="00867948">
        <w:rPr>
          <w:rFonts w:ascii="Arial" w:hAnsi="Arial" w:cs="Arial"/>
          <w:i/>
          <w:iCs/>
          <w:sz w:val="24"/>
          <w:szCs w:val="24"/>
        </w:rPr>
        <w:t>White v Attorney-General</w:t>
      </w:r>
      <w:r w:rsidR="00386FEA" w:rsidRPr="00867948">
        <w:rPr>
          <w:rFonts w:ascii="Arial" w:hAnsi="Arial" w:cs="Arial"/>
          <w:sz w:val="24"/>
          <w:szCs w:val="24"/>
        </w:rPr>
        <w:t xml:space="preserve"> </w:t>
      </w:r>
      <w:r w:rsidR="00991248" w:rsidRPr="00867948">
        <w:rPr>
          <w:rFonts w:ascii="Arial" w:hAnsi="Arial" w:cs="Arial"/>
          <w:sz w:val="24"/>
          <w:szCs w:val="24"/>
        </w:rPr>
        <w:t xml:space="preserve">[2010] </w:t>
      </w:r>
      <w:r w:rsidR="00FA485A" w:rsidRPr="00867948">
        <w:rPr>
          <w:rFonts w:ascii="Arial" w:hAnsi="Arial" w:cs="Arial"/>
          <w:sz w:val="24"/>
          <w:szCs w:val="24"/>
        </w:rPr>
        <w:t xml:space="preserve">NZCA 139 </w:t>
      </w:r>
      <w:r w:rsidR="0026626B" w:rsidRPr="00867948">
        <w:rPr>
          <w:rFonts w:ascii="Arial" w:hAnsi="Arial" w:cs="Arial"/>
          <w:sz w:val="24"/>
          <w:szCs w:val="24"/>
        </w:rPr>
        <w:t xml:space="preserve">the </w:t>
      </w:r>
      <w:r w:rsidR="00DC2063" w:rsidRPr="00867948">
        <w:rPr>
          <w:rFonts w:ascii="Arial" w:hAnsi="Arial" w:cs="Arial"/>
          <w:sz w:val="24"/>
          <w:szCs w:val="24"/>
        </w:rPr>
        <w:t>doctrine was expressly limited to sexual abuse cases</w:t>
      </w:r>
      <w:r w:rsidR="00187E51" w:rsidRPr="00867948">
        <w:rPr>
          <w:rFonts w:ascii="Arial" w:hAnsi="Arial" w:cs="Arial"/>
          <w:sz w:val="24"/>
          <w:szCs w:val="24"/>
        </w:rPr>
        <w:t xml:space="preserve">, partly on the basis that there was no </w:t>
      </w:r>
      <w:r w:rsidR="009D694B" w:rsidRPr="00867948">
        <w:rPr>
          <w:rFonts w:ascii="Arial" w:hAnsi="Arial" w:cs="Arial"/>
          <w:sz w:val="24"/>
          <w:szCs w:val="24"/>
        </w:rPr>
        <w:t xml:space="preserve">evidence that those who suffered other forms of abuse might be unable to make </w:t>
      </w:r>
      <w:r w:rsidR="00B27849" w:rsidRPr="00867948">
        <w:rPr>
          <w:rFonts w:ascii="Arial" w:hAnsi="Arial" w:cs="Arial"/>
          <w:sz w:val="24"/>
          <w:szCs w:val="24"/>
        </w:rPr>
        <w:t xml:space="preserve">the </w:t>
      </w:r>
      <w:r w:rsidR="009D694B" w:rsidRPr="00867948">
        <w:rPr>
          <w:rFonts w:ascii="Arial" w:hAnsi="Arial" w:cs="Arial"/>
          <w:sz w:val="24"/>
          <w:szCs w:val="24"/>
        </w:rPr>
        <w:t xml:space="preserve">connection </w:t>
      </w:r>
      <w:r w:rsidR="003440D9" w:rsidRPr="00867948">
        <w:rPr>
          <w:rFonts w:ascii="Arial" w:hAnsi="Arial" w:cs="Arial"/>
          <w:sz w:val="24"/>
          <w:szCs w:val="24"/>
        </w:rPr>
        <w:t xml:space="preserve">between the abuse and damage </w:t>
      </w:r>
      <w:r w:rsidR="009D694B" w:rsidRPr="00867948">
        <w:rPr>
          <w:rFonts w:ascii="Arial" w:hAnsi="Arial" w:cs="Arial"/>
          <w:sz w:val="24"/>
          <w:szCs w:val="24"/>
        </w:rPr>
        <w:t xml:space="preserve">in </w:t>
      </w:r>
      <w:r w:rsidR="0030665B" w:rsidRPr="00867948">
        <w:rPr>
          <w:rFonts w:ascii="Arial" w:hAnsi="Arial" w:cs="Arial"/>
          <w:sz w:val="24"/>
          <w:szCs w:val="24"/>
        </w:rPr>
        <w:t xml:space="preserve">the </w:t>
      </w:r>
      <w:r w:rsidR="009D694B" w:rsidRPr="00867948">
        <w:rPr>
          <w:rFonts w:ascii="Arial" w:hAnsi="Arial" w:cs="Arial"/>
          <w:sz w:val="24"/>
          <w:szCs w:val="24"/>
        </w:rPr>
        <w:t>same way</w:t>
      </w:r>
      <w:r w:rsidR="0030665B" w:rsidRPr="00867948">
        <w:rPr>
          <w:rFonts w:ascii="Arial" w:hAnsi="Arial" w:cs="Arial"/>
          <w:sz w:val="24"/>
          <w:szCs w:val="24"/>
        </w:rPr>
        <w:t xml:space="preserve"> as with sexual abuse</w:t>
      </w:r>
      <w:r w:rsidR="009D694B" w:rsidRPr="00867948">
        <w:rPr>
          <w:rFonts w:ascii="Arial" w:hAnsi="Arial" w:cs="Arial"/>
          <w:sz w:val="24"/>
          <w:szCs w:val="24"/>
        </w:rPr>
        <w:t>.</w:t>
      </w:r>
      <w:r w:rsidR="00BB1152" w:rsidRPr="00867948">
        <w:rPr>
          <w:rFonts w:ascii="Arial" w:hAnsi="Arial" w:cs="Arial"/>
          <w:sz w:val="24"/>
          <w:szCs w:val="24"/>
        </w:rPr>
        <w:t xml:space="preserve"> </w:t>
      </w:r>
      <w:r w:rsidR="00C81D7D" w:rsidRPr="00867948">
        <w:rPr>
          <w:rFonts w:ascii="Arial" w:hAnsi="Arial" w:cs="Arial"/>
          <w:sz w:val="24"/>
          <w:szCs w:val="24"/>
        </w:rPr>
        <w:t xml:space="preserve">Both the High Court and the Court of Appeal </w:t>
      </w:r>
      <w:r w:rsidR="00BB1152" w:rsidRPr="00867948">
        <w:rPr>
          <w:rFonts w:ascii="Arial" w:hAnsi="Arial" w:cs="Arial"/>
          <w:sz w:val="24"/>
          <w:szCs w:val="24"/>
        </w:rPr>
        <w:t xml:space="preserve">also </w:t>
      </w:r>
      <w:r w:rsidR="0033454B" w:rsidRPr="00867948">
        <w:rPr>
          <w:rFonts w:ascii="Arial" w:hAnsi="Arial" w:cs="Arial"/>
          <w:sz w:val="24"/>
          <w:szCs w:val="24"/>
        </w:rPr>
        <w:t xml:space="preserve">rejected the argument of reasonable discoverability </w:t>
      </w:r>
      <w:r w:rsidR="007A4275" w:rsidRPr="00867948">
        <w:rPr>
          <w:rFonts w:ascii="Arial" w:hAnsi="Arial" w:cs="Arial"/>
          <w:sz w:val="24"/>
          <w:szCs w:val="24"/>
        </w:rPr>
        <w:t xml:space="preserve">on the evidence – the court </w:t>
      </w:r>
      <w:r w:rsidR="0033454B" w:rsidRPr="00867948">
        <w:rPr>
          <w:rFonts w:ascii="Arial" w:hAnsi="Arial" w:cs="Arial"/>
          <w:sz w:val="24"/>
          <w:szCs w:val="24"/>
        </w:rPr>
        <w:t>d</w:t>
      </w:r>
      <w:r w:rsidR="00CC4D91" w:rsidRPr="00867948">
        <w:rPr>
          <w:rFonts w:ascii="Arial" w:hAnsi="Arial" w:cs="Arial"/>
          <w:sz w:val="24"/>
          <w:szCs w:val="24"/>
        </w:rPr>
        <w:t xml:space="preserve">id not accept that </w:t>
      </w:r>
      <w:r w:rsidR="007A4275" w:rsidRPr="00867948">
        <w:rPr>
          <w:rFonts w:ascii="Arial" w:hAnsi="Arial" w:cs="Arial"/>
          <w:sz w:val="24"/>
          <w:szCs w:val="24"/>
        </w:rPr>
        <w:t xml:space="preserve">the plaintiffs </w:t>
      </w:r>
      <w:r w:rsidR="00CC4D91" w:rsidRPr="00867948">
        <w:rPr>
          <w:rFonts w:ascii="Arial" w:hAnsi="Arial" w:cs="Arial"/>
          <w:sz w:val="24"/>
          <w:szCs w:val="24"/>
        </w:rPr>
        <w:t>had</w:t>
      </w:r>
      <w:r w:rsidR="007A4275" w:rsidRPr="00867948">
        <w:rPr>
          <w:rFonts w:ascii="Arial" w:hAnsi="Arial" w:cs="Arial"/>
          <w:sz w:val="24"/>
          <w:szCs w:val="24"/>
        </w:rPr>
        <w:t xml:space="preserve"> not </w:t>
      </w:r>
      <w:r w:rsidR="00CC4D91" w:rsidRPr="00867948">
        <w:rPr>
          <w:rFonts w:ascii="Arial" w:hAnsi="Arial" w:cs="Arial"/>
          <w:sz w:val="24"/>
          <w:szCs w:val="24"/>
        </w:rPr>
        <w:t xml:space="preserve">made </w:t>
      </w:r>
      <w:r w:rsidR="002A6332">
        <w:rPr>
          <w:rFonts w:ascii="Arial" w:hAnsi="Arial" w:cs="Arial"/>
          <w:sz w:val="24"/>
          <w:szCs w:val="24"/>
        </w:rPr>
        <w:t xml:space="preserve">the </w:t>
      </w:r>
      <w:r w:rsidR="00CC4D91" w:rsidRPr="00867948">
        <w:rPr>
          <w:rFonts w:ascii="Arial" w:hAnsi="Arial" w:cs="Arial"/>
          <w:sz w:val="24"/>
          <w:szCs w:val="24"/>
        </w:rPr>
        <w:t xml:space="preserve">connection </w:t>
      </w:r>
      <w:r w:rsidR="002A6332">
        <w:rPr>
          <w:rFonts w:ascii="Arial" w:hAnsi="Arial" w:cs="Arial"/>
          <w:sz w:val="24"/>
          <w:szCs w:val="24"/>
        </w:rPr>
        <w:t xml:space="preserve">earlier </w:t>
      </w:r>
      <w:r w:rsidR="00F75C4A" w:rsidRPr="00867948">
        <w:rPr>
          <w:rFonts w:ascii="Arial" w:hAnsi="Arial" w:cs="Arial"/>
          <w:sz w:val="24"/>
          <w:szCs w:val="24"/>
        </w:rPr>
        <w:t xml:space="preserve">(partly as </w:t>
      </w:r>
      <w:r w:rsidR="007A4275" w:rsidRPr="00867948">
        <w:rPr>
          <w:rFonts w:ascii="Arial" w:hAnsi="Arial" w:cs="Arial"/>
          <w:sz w:val="24"/>
          <w:szCs w:val="24"/>
        </w:rPr>
        <w:t xml:space="preserve">the court did not </w:t>
      </w:r>
      <w:r w:rsidR="00F75C4A" w:rsidRPr="00867948">
        <w:rPr>
          <w:rFonts w:ascii="Arial" w:hAnsi="Arial" w:cs="Arial"/>
          <w:sz w:val="24"/>
          <w:szCs w:val="24"/>
        </w:rPr>
        <w:t xml:space="preserve">accept that </w:t>
      </w:r>
      <w:r w:rsidR="007A4275" w:rsidRPr="00867948">
        <w:rPr>
          <w:rFonts w:ascii="Arial" w:hAnsi="Arial" w:cs="Arial"/>
          <w:sz w:val="24"/>
          <w:szCs w:val="24"/>
        </w:rPr>
        <w:t>the abuse had in fact caused the damage</w:t>
      </w:r>
      <w:r w:rsidR="00F75C4A" w:rsidRPr="00867948">
        <w:rPr>
          <w:rFonts w:ascii="Arial" w:hAnsi="Arial" w:cs="Arial"/>
          <w:sz w:val="24"/>
          <w:szCs w:val="24"/>
        </w:rPr>
        <w:t>)</w:t>
      </w:r>
      <w:r w:rsidR="00CC4D91" w:rsidRPr="00867948">
        <w:rPr>
          <w:rFonts w:ascii="Arial" w:hAnsi="Arial" w:cs="Arial"/>
          <w:sz w:val="24"/>
          <w:szCs w:val="24"/>
        </w:rPr>
        <w:t xml:space="preserve">, </w:t>
      </w:r>
      <w:r w:rsidR="007A4275" w:rsidRPr="00867948">
        <w:rPr>
          <w:rFonts w:ascii="Arial" w:hAnsi="Arial" w:cs="Arial"/>
          <w:sz w:val="24"/>
          <w:szCs w:val="24"/>
        </w:rPr>
        <w:t xml:space="preserve">and rejected an argument that </w:t>
      </w:r>
      <w:r w:rsidR="00C57372" w:rsidRPr="00867948">
        <w:rPr>
          <w:rFonts w:ascii="Arial" w:hAnsi="Arial" w:cs="Arial"/>
          <w:sz w:val="24"/>
          <w:szCs w:val="24"/>
        </w:rPr>
        <w:t xml:space="preserve">recent </w:t>
      </w:r>
      <w:r w:rsidR="007A4275" w:rsidRPr="00867948">
        <w:rPr>
          <w:rFonts w:ascii="Arial" w:hAnsi="Arial" w:cs="Arial"/>
          <w:sz w:val="24"/>
          <w:szCs w:val="24"/>
        </w:rPr>
        <w:t>access</w:t>
      </w:r>
      <w:r w:rsidR="00C57372" w:rsidRPr="00867948">
        <w:rPr>
          <w:rFonts w:ascii="Arial" w:hAnsi="Arial" w:cs="Arial"/>
          <w:sz w:val="24"/>
          <w:szCs w:val="24"/>
        </w:rPr>
        <w:t xml:space="preserve"> to</w:t>
      </w:r>
      <w:r w:rsidR="007A4275" w:rsidRPr="00867948">
        <w:rPr>
          <w:rFonts w:ascii="Arial" w:hAnsi="Arial" w:cs="Arial"/>
          <w:sz w:val="24"/>
          <w:szCs w:val="24"/>
        </w:rPr>
        <w:t xml:space="preserve"> their files had </w:t>
      </w:r>
      <w:r w:rsidR="00CC4D91" w:rsidRPr="00867948">
        <w:rPr>
          <w:rFonts w:ascii="Arial" w:hAnsi="Arial" w:cs="Arial"/>
          <w:sz w:val="24"/>
          <w:szCs w:val="24"/>
        </w:rPr>
        <w:t xml:space="preserve">allowed </w:t>
      </w:r>
      <w:r w:rsidR="007A4275" w:rsidRPr="00867948">
        <w:rPr>
          <w:rFonts w:ascii="Arial" w:hAnsi="Arial" w:cs="Arial"/>
          <w:sz w:val="24"/>
          <w:szCs w:val="24"/>
        </w:rPr>
        <w:t xml:space="preserve">the plaintiff’s to understand the </w:t>
      </w:r>
      <w:r w:rsidR="00CC4D91" w:rsidRPr="00867948">
        <w:rPr>
          <w:rFonts w:ascii="Arial" w:hAnsi="Arial" w:cs="Arial"/>
          <w:sz w:val="24"/>
          <w:szCs w:val="24"/>
        </w:rPr>
        <w:t>connection</w:t>
      </w:r>
      <w:r w:rsidR="007A4275" w:rsidRPr="00867948">
        <w:rPr>
          <w:rFonts w:ascii="Arial" w:hAnsi="Arial" w:cs="Arial"/>
          <w:sz w:val="24"/>
          <w:szCs w:val="24"/>
        </w:rPr>
        <w:t xml:space="preserve"> be</w:t>
      </w:r>
      <w:r w:rsidR="00C57372" w:rsidRPr="00867948">
        <w:rPr>
          <w:rFonts w:ascii="Arial" w:hAnsi="Arial" w:cs="Arial"/>
          <w:sz w:val="24"/>
          <w:szCs w:val="24"/>
        </w:rPr>
        <w:t xml:space="preserve">tween the actions of </w:t>
      </w:r>
      <w:r w:rsidR="00400138" w:rsidRPr="00867948">
        <w:rPr>
          <w:rFonts w:ascii="Arial" w:hAnsi="Arial" w:cs="Arial"/>
          <w:sz w:val="24"/>
          <w:szCs w:val="24"/>
        </w:rPr>
        <w:t>S</w:t>
      </w:r>
      <w:r w:rsidR="00C57372" w:rsidRPr="00867948">
        <w:rPr>
          <w:rFonts w:ascii="Arial" w:hAnsi="Arial" w:cs="Arial"/>
          <w:sz w:val="24"/>
          <w:szCs w:val="24"/>
        </w:rPr>
        <w:t xml:space="preserve">ocial </w:t>
      </w:r>
      <w:r w:rsidR="00400138" w:rsidRPr="00867948">
        <w:rPr>
          <w:rFonts w:ascii="Arial" w:hAnsi="Arial" w:cs="Arial"/>
          <w:sz w:val="24"/>
          <w:szCs w:val="24"/>
        </w:rPr>
        <w:t>W</w:t>
      </w:r>
      <w:r w:rsidR="00C57372" w:rsidRPr="00867948">
        <w:rPr>
          <w:rFonts w:ascii="Arial" w:hAnsi="Arial" w:cs="Arial"/>
          <w:sz w:val="24"/>
          <w:szCs w:val="24"/>
        </w:rPr>
        <w:t xml:space="preserve">elfare and their damage, </w:t>
      </w:r>
      <w:r w:rsidR="00400138" w:rsidRPr="00867948">
        <w:rPr>
          <w:rFonts w:ascii="Arial" w:hAnsi="Arial" w:cs="Arial"/>
          <w:sz w:val="24"/>
          <w:szCs w:val="24"/>
        </w:rPr>
        <w:t>on the basis that the plaintiffs had always known of Social Welfare’s involvement in their lives</w:t>
      </w:r>
      <w:r w:rsidR="00CC4D91" w:rsidRPr="00867948">
        <w:rPr>
          <w:rFonts w:ascii="Arial" w:hAnsi="Arial" w:cs="Arial"/>
          <w:sz w:val="24"/>
          <w:szCs w:val="24"/>
        </w:rPr>
        <w:t xml:space="preserve">. </w:t>
      </w:r>
      <w:r w:rsidR="00DC2063" w:rsidRPr="00867948">
        <w:rPr>
          <w:rFonts w:ascii="Arial" w:hAnsi="Arial" w:cs="Arial"/>
          <w:sz w:val="24"/>
          <w:szCs w:val="24"/>
        </w:rPr>
        <w:t xml:space="preserve"> </w:t>
      </w:r>
    </w:p>
    <w:p w14:paraId="73B41412" w14:textId="77777777" w:rsidR="00994B37" w:rsidRPr="00867948" w:rsidRDefault="00994B37" w:rsidP="00867948">
      <w:pPr>
        <w:spacing w:after="0" w:line="240" w:lineRule="auto"/>
        <w:ind w:left="1134" w:hanging="567"/>
        <w:rPr>
          <w:rFonts w:ascii="Arial" w:eastAsia="Times New Roman" w:hAnsi="Arial" w:cs="Arial"/>
          <w:color w:val="000000"/>
          <w:sz w:val="24"/>
          <w:szCs w:val="24"/>
          <w:lang w:eastAsia="en-NZ"/>
        </w:rPr>
      </w:pPr>
    </w:p>
    <w:p w14:paraId="093067D1" w14:textId="2CB77138" w:rsidR="00BE78D3" w:rsidRPr="00867948" w:rsidRDefault="00DE184E" w:rsidP="00867948">
      <w:pPr>
        <w:ind w:left="1134" w:hanging="567"/>
        <w:rPr>
          <w:rFonts w:ascii="Arial" w:hAnsi="Arial" w:cs="Arial"/>
          <w:b/>
          <w:bCs/>
          <w:sz w:val="24"/>
          <w:szCs w:val="24"/>
        </w:rPr>
      </w:pPr>
      <w:r w:rsidRPr="00867948">
        <w:rPr>
          <w:rFonts w:ascii="Arial" w:hAnsi="Arial" w:cs="Arial"/>
          <w:b/>
          <w:bCs/>
          <w:sz w:val="24"/>
          <w:szCs w:val="24"/>
        </w:rPr>
        <w:t>Disability</w:t>
      </w:r>
      <w:r w:rsidR="000F4739" w:rsidRPr="00867948">
        <w:rPr>
          <w:rFonts w:ascii="Arial" w:hAnsi="Arial" w:cs="Arial"/>
          <w:b/>
          <w:bCs/>
          <w:sz w:val="24"/>
          <w:szCs w:val="24"/>
        </w:rPr>
        <w:t xml:space="preserve"> or fraud</w:t>
      </w:r>
    </w:p>
    <w:p w14:paraId="38C9DB23" w14:textId="28183B8F" w:rsidR="003730F2" w:rsidRPr="00867948" w:rsidRDefault="003730F2" w:rsidP="00867948">
      <w:pPr>
        <w:spacing w:after="0" w:line="240" w:lineRule="auto"/>
        <w:ind w:left="1134" w:hanging="567"/>
        <w:rPr>
          <w:rFonts w:ascii="Arial" w:eastAsia="Times New Roman" w:hAnsi="Arial" w:cs="Arial"/>
          <w:i/>
          <w:iCs/>
          <w:color w:val="000000"/>
          <w:sz w:val="24"/>
          <w:szCs w:val="24"/>
          <w:lang w:eastAsia="en-NZ"/>
        </w:rPr>
      </w:pPr>
    </w:p>
    <w:p w14:paraId="44B1A3E8" w14:textId="78448A60" w:rsidR="00CE043C" w:rsidRPr="00867948" w:rsidRDefault="00CE043C"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The Act explicitly provides for two situations in which the limitation period may not start immediately upon the accrual of the action: where the claimant is under a disability,</w:t>
      </w:r>
      <w:r w:rsidRPr="00867948">
        <w:rPr>
          <w:rFonts w:ascii="Arial" w:hAnsi="Arial" w:cs="Arial"/>
          <w:sz w:val="24"/>
          <w:szCs w:val="24"/>
          <w:vertAlign w:val="superscript"/>
        </w:rPr>
        <w:footnoteReference w:id="11"/>
      </w:r>
      <w:r w:rsidRPr="00867948">
        <w:rPr>
          <w:rFonts w:ascii="Arial" w:hAnsi="Arial" w:cs="Arial"/>
          <w:sz w:val="24"/>
          <w:szCs w:val="24"/>
        </w:rPr>
        <w:t xml:space="preserve"> or where there is fraud or mistake, including fraud that conceals the right of action.</w:t>
      </w:r>
      <w:r w:rsidRPr="00867948">
        <w:rPr>
          <w:rFonts w:ascii="Arial" w:hAnsi="Arial" w:cs="Arial"/>
          <w:sz w:val="24"/>
          <w:szCs w:val="24"/>
          <w:vertAlign w:val="superscript"/>
        </w:rPr>
        <w:footnoteReference w:id="12"/>
      </w:r>
    </w:p>
    <w:p w14:paraId="787D7B42" w14:textId="77777777" w:rsidR="00D41D9B" w:rsidRPr="00867948" w:rsidRDefault="00D41D9B" w:rsidP="00867948">
      <w:pPr>
        <w:pStyle w:val="ListParagraph"/>
        <w:ind w:left="1134" w:hanging="567"/>
        <w:rPr>
          <w:rFonts w:ascii="Arial" w:hAnsi="Arial" w:cs="Arial"/>
          <w:sz w:val="24"/>
          <w:szCs w:val="24"/>
        </w:rPr>
      </w:pPr>
    </w:p>
    <w:p w14:paraId="7EC7A8A8" w14:textId="58C8E235" w:rsidR="001F53EE" w:rsidRPr="00867948" w:rsidRDefault="003235D7"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Under s 28 of the Act, t</w:t>
      </w:r>
      <w:r w:rsidR="000960EB" w:rsidRPr="00867948">
        <w:rPr>
          <w:rFonts w:ascii="Arial" w:hAnsi="Arial" w:cs="Arial"/>
          <w:sz w:val="24"/>
          <w:szCs w:val="24"/>
        </w:rPr>
        <w:t xml:space="preserve">ime </w:t>
      </w:r>
      <w:r w:rsidR="00912B7E" w:rsidRPr="00867948">
        <w:rPr>
          <w:rFonts w:ascii="Arial" w:hAnsi="Arial" w:cs="Arial"/>
          <w:sz w:val="24"/>
          <w:szCs w:val="24"/>
        </w:rPr>
        <w:t xml:space="preserve">may extend if the defendant </w:t>
      </w:r>
      <w:r w:rsidR="000960EB" w:rsidRPr="00867948">
        <w:rPr>
          <w:rFonts w:ascii="Arial" w:hAnsi="Arial" w:cs="Arial"/>
          <w:sz w:val="24"/>
          <w:szCs w:val="24"/>
        </w:rPr>
        <w:t xml:space="preserve">fraudulently concealed information which prevented </w:t>
      </w:r>
      <w:r w:rsidR="00912B7E" w:rsidRPr="00867948">
        <w:rPr>
          <w:rFonts w:ascii="Arial" w:hAnsi="Arial" w:cs="Arial"/>
          <w:sz w:val="24"/>
          <w:szCs w:val="24"/>
        </w:rPr>
        <w:t xml:space="preserve">the </w:t>
      </w:r>
      <w:r w:rsidR="000960EB" w:rsidRPr="00867948">
        <w:rPr>
          <w:rFonts w:ascii="Arial" w:hAnsi="Arial" w:cs="Arial"/>
          <w:sz w:val="24"/>
          <w:szCs w:val="24"/>
        </w:rPr>
        <w:t xml:space="preserve">claimant from discovering cause of action. </w:t>
      </w:r>
      <w:r w:rsidR="00CD0EA2" w:rsidRPr="00867948">
        <w:rPr>
          <w:rFonts w:ascii="Arial" w:hAnsi="Arial" w:cs="Arial"/>
          <w:sz w:val="24"/>
          <w:szCs w:val="24"/>
        </w:rPr>
        <w:t xml:space="preserve">The limitation period does </w:t>
      </w:r>
      <w:r w:rsidR="000960EB" w:rsidRPr="00867948">
        <w:rPr>
          <w:rFonts w:ascii="Arial" w:hAnsi="Arial" w:cs="Arial"/>
          <w:sz w:val="24"/>
          <w:szCs w:val="24"/>
        </w:rPr>
        <w:t xml:space="preserve">not begin to run until after plaintiff discovered fraud, concealment or mistake, or could reasonably have discovered it. </w:t>
      </w:r>
      <w:r w:rsidR="00D41D9B" w:rsidRPr="00867948">
        <w:rPr>
          <w:rFonts w:ascii="Arial" w:hAnsi="Arial" w:cs="Arial"/>
          <w:sz w:val="24"/>
          <w:szCs w:val="24"/>
        </w:rPr>
        <w:t xml:space="preserve">The case of </w:t>
      </w:r>
      <w:r w:rsidR="00D41D9B" w:rsidRPr="00867948">
        <w:rPr>
          <w:rFonts w:ascii="Arial" w:hAnsi="Arial" w:cs="Arial"/>
          <w:i/>
          <w:iCs/>
          <w:sz w:val="24"/>
          <w:szCs w:val="24"/>
        </w:rPr>
        <w:t xml:space="preserve">S v G </w:t>
      </w:r>
      <w:r w:rsidR="00D41D9B" w:rsidRPr="00867948">
        <w:rPr>
          <w:rFonts w:ascii="Arial" w:hAnsi="Arial" w:cs="Arial"/>
          <w:sz w:val="24"/>
          <w:szCs w:val="24"/>
        </w:rPr>
        <w:t xml:space="preserve">[1995] 3 NZLR 681 (CA) recognised that this might be applicable in cases of sexual abuse of a child, where concealing the abusive nature of the conduct. However, this </w:t>
      </w:r>
      <w:r w:rsidR="00955ED0" w:rsidRPr="00867948">
        <w:rPr>
          <w:rFonts w:ascii="Arial" w:hAnsi="Arial" w:cs="Arial"/>
          <w:sz w:val="24"/>
          <w:szCs w:val="24"/>
        </w:rPr>
        <w:t xml:space="preserve">has not been applied to any action against the state as a defendant. </w:t>
      </w:r>
    </w:p>
    <w:p w14:paraId="4CC175FD" w14:textId="556134A1" w:rsidR="000960EB" w:rsidRPr="00867948" w:rsidRDefault="000960EB" w:rsidP="00867948">
      <w:pPr>
        <w:pStyle w:val="ListParagraph"/>
        <w:ind w:left="1134" w:hanging="567"/>
        <w:rPr>
          <w:rFonts w:ascii="Arial" w:hAnsi="Arial" w:cs="Arial"/>
          <w:sz w:val="24"/>
          <w:szCs w:val="24"/>
        </w:rPr>
      </w:pPr>
    </w:p>
    <w:p w14:paraId="4C75F6BF" w14:textId="05BCCCF8" w:rsidR="00901DE7" w:rsidRPr="00867948" w:rsidRDefault="00F2317C"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lastRenderedPageBreak/>
        <w:t>Under s 24</w:t>
      </w:r>
      <w:r w:rsidR="002B50EB" w:rsidRPr="00867948">
        <w:rPr>
          <w:rFonts w:ascii="Arial" w:hAnsi="Arial" w:cs="Arial"/>
          <w:sz w:val="24"/>
          <w:szCs w:val="24"/>
        </w:rPr>
        <w:t xml:space="preserve"> of the Act, the limitation period is extended where the person was under a disability. </w:t>
      </w:r>
      <w:r w:rsidR="00CE5B4A" w:rsidRPr="00867948">
        <w:rPr>
          <w:rFonts w:ascii="Arial" w:hAnsi="Arial" w:cs="Arial"/>
          <w:sz w:val="24"/>
          <w:szCs w:val="24"/>
        </w:rPr>
        <w:t xml:space="preserve">A person is deemed to be under a disability </w:t>
      </w:r>
      <w:r w:rsidR="002B50EB" w:rsidRPr="00867948">
        <w:rPr>
          <w:rFonts w:ascii="Arial" w:hAnsi="Arial" w:cs="Arial"/>
          <w:sz w:val="24"/>
          <w:szCs w:val="24"/>
        </w:rPr>
        <w:t>when the person is a minor under the age of 20</w:t>
      </w:r>
      <w:r w:rsidR="00CE5B4A" w:rsidRPr="00867948">
        <w:rPr>
          <w:rFonts w:ascii="Arial" w:hAnsi="Arial" w:cs="Arial"/>
          <w:sz w:val="24"/>
          <w:szCs w:val="24"/>
        </w:rPr>
        <w:t>, or is of unsound mind.</w:t>
      </w:r>
      <w:r w:rsidR="00CE5B4A" w:rsidRPr="00867948">
        <w:rPr>
          <w:rStyle w:val="FootnoteReference"/>
          <w:rFonts w:ascii="Arial" w:hAnsi="Arial" w:cs="Arial"/>
          <w:sz w:val="24"/>
          <w:szCs w:val="24"/>
        </w:rPr>
        <w:footnoteReference w:id="13"/>
      </w:r>
    </w:p>
    <w:p w14:paraId="7E52E05B" w14:textId="77777777" w:rsidR="00901DE7" w:rsidRPr="00867948" w:rsidRDefault="00901DE7" w:rsidP="00867948">
      <w:pPr>
        <w:pStyle w:val="ListParagraph"/>
        <w:ind w:left="1134" w:hanging="567"/>
        <w:rPr>
          <w:rFonts w:ascii="Arial" w:hAnsi="Arial" w:cs="Arial"/>
          <w:sz w:val="24"/>
          <w:szCs w:val="24"/>
        </w:rPr>
      </w:pPr>
    </w:p>
    <w:p w14:paraId="7AFB0833" w14:textId="3113F64F" w:rsidR="00557D8D" w:rsidRPr="00867948" w:rsidRDefault="00901DE7"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Key cases discussing the applicability of the disability provision to abuse in care contexts include:</w:t>
      </w:r>
    </w:p>
    <w:p w14:paraId="63988ACD" w14:textId="77777777" w:rsidR="00557D8D" w:rsidRPr="00867948" w:rsidRDefault="00557D8D" w:rsidP="00867948">
      <w:pPr>
        <w:pStyle w:val="ListParagraph"/>
        <w:ind w:left="1134" w:hanging="567"/>
        <w:rPr>
          <w:rFonts w:ascii="Arial" w:hAnsi="Arial" w:cs="Arial"/>
          <w:sz w:val="24"/>
          <w:szCs w:val="24"/>
        </w:rPr>
      </w:pPr>
    </w:p>
    <w:p w14:paraId="5D008281" w14:textId="1C942FF6" w:rsidR="004C2910" w:rsidRDefault="00DB4E0E" w:rsidP="00867948">
      <w:pPr>
        <w:pStyle w:val="ListParagraph"/>
        <w:numPr>
          <w:ilvl w:val="0"/>
          <w:numId w:val="35"/>
        </w:numPr>
        <w:ind w:left="1701" w:hanging="567"/>
        <w:rPr>
          <w:rFonts w:ascii="Arial" w:hAnsi="Arial" w:cs="Arial"/>
          <w:sz w:val="24"/>
          <w:szCs w:val="24"/>
        </w:rPr>
      </w:pPr>
      <w:r w:rsidRPr="00867948">
        <w:rPr>
          <w:rFonts w:ascii="Arial" w:hAnsi="Arial" w:cs="Arial"/>
          <w:sz w:val="24"/>
          <w:szCs w:val="24"/>
        </w:rPr>
        <w:t xml:space="preserve">In </w:t>
      </w:r>
      <w:r w:rsidR="00557D8D" w:rsidRPr="00867948">
        <w:rPr>
          <w:rFonts w:ascii="Arial" w:hAnsi="Arial" w:cs="Arial"/>
          <w:i/>
          <w:iCs/>
          <w:sz w:val="24"/>
          <w:szCs w:val="24"/>
        </w:rPr>
        <w:t>S v A</w:t>
      </w:r>
      <w:r w:rsidR="0065075E" w:rsidRPr="00867948">
        <w:rPr>
          <w:rFonts w:ascii="Arial" w:hAnsi="Arial" w:cs="Arial"/>
          <w:i/>
          <w:iCs/>
          <w:sz w:val="24"/>
          <w:szCs w:val="24"/>
        </w:rPr>
        <w:t>ttorney-</w:t>
      </w:r>
      <w:r w:rsidR="00557D8D" w:rsidRPr="00867948">
        <w:rPr>
          <w:rFonts w:ascii="Arial" w:hAnsi="Arial" w:cs="Arial"/>
          <w:i/>
          <w:iCs/>
          <w:sz w:val="24"/>
          <w:szCs w:val="24"/>
        </w:rPr>
        <w:t>G</w:t>
      </w:r>
      <w:r w:rsidR="0065075E" w:rsidRPr="00867948">
        <w:rPr>
          <w:rFonts w:ascii="Arial" w:hAnsi="Arial" w:cs="Arial"/>
          <w:i/>
          <w:iCs/>
          <w:sz w:val="24"/>
          <w:szCs w:val="24"/>
        </w:rPr>
        <w:t>eneral</w:t>
      </w:r>
      <w:r w:rsidR="003A0F6F">
        <w:rPr>
          <w:rFonts w:ascii="Arial" w:hAnsi="Arial" w:cs="Arial"/>
          <w:i/>
          <w:iCs/>
          <w:sz w:val="24"/>
          <w:szCs w:val="24"/>
        </w:rPr>
        <w:t xml:space="preserve"> </w:t>
      </w:r>
      <w:r w:rsidR="003A0F6F" w:rsidRPr="00867948">
        <w:rPr>
          <w:rFonts w:ascii="Arial" w:hAnsi="Arial" w:cs="Arial"/>
          <w:sz w:val="24"/>
          <w:szCs w:val="24"/>
        </w:rPr>
        <w:t>[2003] 3 NZLR 450 (CA</w:t>
      </w:r>
      <w:r w:rsidR="003A0F6F">
        <w:rPr>
          <w:rFonts w:ascii="Arial" w:hAnsi="Arial" w:cs="Arial"/>
          <w:sz w:val="24"/>
          <w:szCs w:val="24"/>
        </w:rPr>
        <w:t>)</w:t>
      </w:r>
      <w:r w:rsidRPr="00867948">
        <w:rPr>
          <w:rFonts w:ascii="Arial" w:hAnsi="Arial" w:cs="Arial"/>
          <w:i/>
          <w:iCs/>
          <w:sz w:val="24"/>
          <w:szCs w:val="24"/>
        </w:rPr>
        <w:t>,</w:t>
      </w:r>
      <w:r w:rsidR="00557D8D" w:rsidRPr="00867948">
        <w:rPr>
          <w:rFonts w:ascii="Arial" w:hAnsi="Arial" w:cs="Arial"/>
          <w:sz w:val="24"/>
          <w:szCs w:val="24"/>
        </w:rPr>
        <w:t xml:space="preserve"> the Court </w:t>
      </w:r>
      <w:r w:rsidR="00C241BB">
        <w:rPr>
          <w:rFonts w:ascii="Arial" w:hAnsi="Arial" w:cs="Arial"/>
          <w:sz w:val="24"/>
          <w:szCs w:val="24"/>
        </w:rPr>
        <w:t xml:space="preserve">of Appeal </w:t>
      </w:r>
      <w:r w:rsidR="00557D8D" w:rsidRPr="00867948">
        <w:rPr>
          <w:rFonts w:ascii="Arial" w:hAnsi="Arial" w:cs="Arial"/>
          <w:sz w:val="24"/>
          <w:szCs w:val="24"/>
        </w:rPr>
        <w:t xml:space="preserve">recognised that in some cases, survivors </w:t>
      </w:r>
      <w:r w:rsidR="00111784" w:rsidRPr="00867948">
        <w:rPr>
          <w:rFonts w:ascii="Arial" w:hAnsi="Arial" w:cs="Arial"/>
          <w:sz w:val="24"/>
          <w:szCs w:val="24"/>
        </w:rPr>
        <w:t xml:space="preserve">of abuse </w:t>
      </w:r>
      <w:r w:rsidR="00557D8D" w:rsidRPr="00867948">
        <w:rPr>
          <w:rFonts w:ascii="Arial" w:hAnsi="Arial" w:cs="Arial"/>
          <w:sz w:val="24"/>
          <w:szCs w:val="24"/>
        </w:rPr>
        <w:t xml:space="preserve">may be considered to have been under a disability. In </w:t>
      </w:r>
      <w:r w:rsidR="00CF051B" w:rsidRPr="00867948">
        <w:rPr>
          <w:rFonts w:ascii="Arial" w:hAnsi="Arial" w:cs="Arial"/>
          <w:sz w:val="24"/>
          <w:szCs w:val="24"/>
        </w:rPr>
        <w:t>that case</w:t>
      </w:r>
      <w:r w:rsidR="00557D8D" w:rsidRPr="00867948">
        <w:rPr>
          <w:rFonts w:ascii="Arial" w:hAnsi="Arial" w:cs="Arial"/>
          <w:sz w:val="24"/>
          <w:szCs w:val="24"/>
        </w:rPr>
        <w:t xml:space="preserve"> it was accepted that S was under a disability caused by PTSD until 1995, and the proceedings were therefore not barred by the Limitation Act. Significantly, the court recognised that a person could be under a disability for some functionality and not others, and in this case, the release from the disability came through counselling and the death of a relative, and that the evidence of the skill with which he pursued litigation did not detract from that disability. </w:t>
      </w:r>
    </w:p>
    <w:p w14:paraId="7403AA83" w14:textId="77777777" w:rsidR="00867948" w:rsidRPr="00867948" w:rsidRDefault="00867948" w:rsidP="00867948">
      <w:pPr>
        <w:pStyle w:val="ListParagraph"/>
        <w:ind w:left="1701"/>
        <w:rPr>
          <w:rFonts w:ascii="Arial" w:hAnsi="Arial" w:cs="Arial"/>
          <w:sz w:val="24"/>
          <w:szCs w:val="24"/>
        </w:rPr>
      </w:pPr>
    </w:p>
    <w:p w14:paraId="6F462A20" w14:textId="0515CD13" w:rsidR="004C2910" w:rsidRPr="00867948" w:rsidRDefault="003F4B19" w:rsidP="00867948">
      <w:pPr>
        <w:pStyle w:val="ListParagraph"/>
        <w:numPr>
          <w:ilvl w:val="0"/>
          <w:numId w:val="35"/>
        </w:numPr>
        <w:ind w:left="1701" w:hanging="567"/>
        <w:rPr>
          <w:rFonts w:ascii="Arial" w:hAnsi="Arial" w:cs="Arial"/>
          <w:sz w:val="24"/>
          <w:szCs w:val="24"/>
        </w:rPr>
      </w:pPr>
      <w:r w:rsidRPr="00867948">
        <w:rPr>
          <w:rFonts w:ascii="Arial" w:hAnsi="Arial" w:cs="Arial"/>
          <w:sz w:val="24"/>
          <w:szCs w:val="24"/>
        </w:rPr>
        <w:t xml:space="preserve">In </w:t>
      </w:r>
      <w:r w:rsidR="004C2910" w:rsidRPr="00867948">
        <w:rPr>
          <w:rFonts w:ascii="Arial" w:hAnsi="Arial" w:cs="Arial"/>
          <w:i/>
          <w:iCs/>
          <w:sz w:val="24"/>
          <w:szCs w:val="24"/>
        </w:rPr>
        <w:t>Knight v C</w:t>
      </w:r>
      <w:r w:rsidR="00F61AA6">
        <w:rPr>
          <w:rFonts w:ascii="Arial" w:hAnsi="Arial" w:cs="Arial"/>
          <w:i/>
          <w:iCs/>
          <w:sz w:val="24"/>
          <w:szCs w:val="24"/>
        </w:rPr>
        <w:t xml:space="preserve">rown </w:t>
      </w:r>
      <w:r w:rsidR="004C2910" w:rsidRPr="00867948">
        <w:rPr>
          <w:rFonts w:ascii="Arial" w:hAnsi="Arial" w:cs="Arial"/>
          <w:i/>
          <w:iCs/>
          <w:sz w:val="24"/>
          <w:szCs w:val="24"/>
        </w:rPr>
        <w:t>H</w:t>
      </w:r>
      <w:r w:rsidR="00F61AA6">
        <w:rPr>
          <w:rFonts w:ascii="Arial" w:hAnsi="Arial" w:cs="Arial"/>
          <w:i/>
          <w:iCs/>
          <w:sz w:val="24"/>
          <w:szCs w:val="24"/>
        </w:rPr>
        <w:t xml:space="preserve">ealth </w:t>
      </w:r>
      <w:r w:rsidR="004C2910" w:rsidRPr="00867948">
        <w:rPr>
          <w:rFonts w:ascii="Arial" w:hAnsi="Arial" w:cs="Arial"/>
          <w:i/>
          <w:iCs/>
          <w:sz w:val="24"/>
          <w:szCs w:val="24"/>
        </w:rPr>
        <w:t>F</w:t>
      </w:r>
      <w:r w:rsidR="00F61AA6">
        <w:rPr>
          <w:rFonts w:ascii="Arial" w:hAnsi="Arial" w:cs="Arial"/>
          <w:i/>
          <w:iCs/>
          <w:sz w:val="24"/>
          <w:szCs w:val="24"/>
        </w:rPr>
        <w:t xml:space="preserve">inancing </w:t>
      </w:r>
      <w:r w:rsidR="004C2910" w:rsidRPr="00867948">
        <w:rPr>
          <w:rFonts w:ascii="Arial" w:hAnsi="Arial" w:cs="Arial"/>
          <w:i/>
          <w:iCs/>
          <w:sz w:val="24"/>
          <w:szCs w:val="24"/>
        </w:rPr>
        <w:t>A</w:t>
      </w:r>
      <w:r w:rsidR="00F61AA6">
        <w:rPr>
          <w:rFonts w:ascii="Arial" w:hAnsi="Arial" w:cs="Arial"/>
          <w:i/>
          <w:iCs/>
          <w:sz w:val="24"/>
          <w:szCs w:val="24"/>
        </w:rPr>
        <w:t>gency</w:t>
      </w:r>
      <w:r w:rsidR="00C61D2B">
        <w:rPr>
          <w:rFonts w:ascii="Arial" w:hAnsi="Arial" w:cs="Arial"/>
          <w:i/>
          <w:iCs/>
          <w:sz w:val="24"/>
          <w:szCs w:val="24"/>
        </w:rPr>
        <w:t xml:space="preserve"> </w:t>
      </w:r>
      <w:r w:rsidR="00C61D2B">
        <w:rPr>
          <w:rFonts w:ascii="Arial" w:hAnsi="Arial" w:cs="Arial"/>
          <w:sz w:val="24"/>
          <w:szCs w:val="24"/>
        </w:rPr>
        <w:t>(HC Wellington, CIV-2005-485-2687, 16 November 2007)</w:t>
      </w:r>
      <w:r w:rsidRPr="00867948">
        <w:rPr>
          <w:rFonts w:ascii="Arial" w:hAnsi="Arial" w:cs="Arial"/>
          <w:sz w:val="24"/>
          <w:szCs w:val="24"/>
        </w:rPr>
        <w:t xml:space="preserve"> it was </w:t>
      </w:r>
      <w:r w:rsidR="008D715F" w:rsidRPr="00867948">
        <w:rPr>
          <w:rFonts w:ascii="Arial" w:hAnsi="Arial" w:cs="Arial"/>
          <w:sz w:val="24"/>
          <w:szCs w:val="24"/>
        </w:rPr>
        <w:t xml:space="preserve">found that the allegations had not been made out, and so it was </w:t>
      </w:r>
      <w:r w:rsidRPr="00867948">
        <w:rPr>
          <w:rFonts w:ascii="Arial" w:hAnsi="Arial" w:cs="Arial"/>
          <w:sz w:val="24"/>
          <w:szCs w:val="24"/>
        </w:rPr>
        <w:t xml:space="preserve">not </w:t>
      </w:r>
      <w:r w:rsidR="004C2910" w:rsidRPr="00867948">
        <w:rPr>
          <w:rFonts w:ascii="Arial" w:hAnsi="Arial" w:cs="Arial"/>
          <w:sz w:val="24"/>
          <w:szCs w:val="24"/>
        </w:rPr>
        <w:t xml:space="preserve">necessary to determine the Limitation Act point, </w:t>
      </w:r>
      <w:r w:rsidR="008D715F" w:rsidRPr="00867948">
        <w:rPr>
          <w:rFonts w:ascii="Arial" w:hAnsi="Arial" w:cs="Arial"/>
          <w:sz w:val="24"/>
          <w:szCs w:val="24"/>
        </w:rPr>
        <w:t xml:space="preserve">however </w:t>
      </w:r>
      <w:r w:rsidR="004C2910" w:rsidRPr="00867948">
        <w:rPr>
          <w:rFonts w:ascii="Arial" w:hAnsi="Arial" w:cs="Arial"/>
          <w:sz w:val="24"/>
          <w:szCs w:val="24"/>
        </w:rPr>
        <w:t>the judge made an obiter comment that the claimant’s learning disability and low IQ was not sufficient to inhibit his capacity to bring proceedings. The judge held that it was not necessary to be able to have a detailed understanding of the complexities of civil litigation in order to be capable of suing, but rather a person may be capable of suing if they know that a wrong has been done for which redress can be sought through the courts.  In K’s case, he had been able to engage and instruct lawyers for other criminal and civil proceedings, and he could not point to anything that had been overcome to enable him to bring the proceedings in 2005, and so it was not established that he was under a disability for the purposes of the Limitation Act.</w:t>
      </w:r>
    </w:p>
    <w:p w14:paraId="6EAA5BF0" w14:textId="77777777" w:rsidR="00867948" w:rsidRPr="00867948" w:rsidRDefault="00867948" w:rsidP="00867948">
      <w:pPr>
        <w:pStyle w:val="ListParagraph"/>
        <w:ind w:left="1134"/>
        <w:rPr>
          <w:rFonts w:ascii="Arial" w:hAnsi="Arial" w:cs="Arial"/>
          <w:i/>
          <w:iCs/>
          <w:sz w:val="24"/>
          <w:szCs w:val="24"/>
        </w:rPr>
      </w:pPr>
    </w:p>
    <w:p w14:paraId="5AC8E413" w14:textId="57DADC24" w:rsidR="004C2910" w:rsidRPr="00867948" w:rsidRDefault="00E758C8" w:rsidP="00867948">
      <w:pPr>
        <w:pStyle w:val="ListParagraph"/>
        <w:numPr>
          <w:ilvl w:val="0"/>
          <w:numId w:val="35"/>
        </w:numPr>
        <w:ind w:left="1701" w:hanging="567"/>
        <w:rPr>
          <w:rFonts w:ascii="Arial" w:hAnsi="Arial" w:cs="Arial"/>
          <w:i/>
          <w:iCs/>
          <w:sz w:val="24"/>
          <w:szCs w:val="24"/>
        </w:rPr>
      </w:pPr>
      <w:r w:rsidRPr="00867948">
        <w:rPr>
          <w:rFonts w:ascii="Arial" w:hAnsi="Arial" w:cs="Arial"/>
          <w:sz w:val="24"/>
          <w:szCs w:val="24"/>
        </w:rPr>
        <w:t xml:space="preserve">In </w:t>
      </w:r>
      <w:r w:rsidR="00E5474B" w:rsidRPr="00867948">
        <w:rPr>
          <w:rFonts w:ascii="Arial" w:hAnsi="Arial" w:cs="Arial"/>
          <w:i/>
          <w:iCs/>
          <w:sz w:val="24"/>
          <w:szCs w:val="24"/>
        </w:rPr>
        <w:t>White</w:t>
      </w:r>
      <w:r w:rsidR="0097160A" w:rsidRPr="00867948">
        <w:rPr>
          <w:rFonts w:ascii="Arial" w:hAnsi="Arial" w:cs="Arial"/>
          <w:i/>
          <w:iCs/>
          <w:sz w:val="24"/>
          <w:szCs w:val="24"/>
        </w:rPr>
        <w:t xml:space="preserve"> </w:t>
      </w:r>
      <w:r w:rsidR="00730D3F" w:rsidRPr="00867948">
        <w:rPr>
          <w:rFonts w:ascii="Arial" w:hAnsi="Arial" w:cs="Arial"/>
          <w:sz w:val="24"/>
          <w:szCs w:val="24"/>
        </w:rPr>
        <w:t>(HC Wellington CIV 1999-485-85, 28 November 2007)</w:t>
      </w:r>
      <w:r w:rsidR="00730D3F">
        <w:rPr>
          <w:rFonts w:ascii="Arial" w:hAnsi="Arial" w:cs="Arial"/>
          <w:sz w:val="24"/>
          <w:szCs w:val="24"/>
        </w:rPr>
        <w:t xml:space="preserve"> and </w:t>
      </w:r>
      <w:r w:rsidR="00730D3F" w:rsidRPr="00867948">
        <w:rPr>
          <w:rFonts w:ascii="Arial" w:hAnsi="Arial" w:cs="Arial"/>
          <w:sz w:val="24"/>
          <w:szCs w:val="24"/>
        </w:rPr>
        <w:t>[2010] NZCA 139</w:t>
      </w:r>
      <w:r w:rsidR="00730D3F">
        <w:rPr>
          <w:rFonts w:ascii="Arial" w:hAnsi="Arial" w:cs="Arial"/>
          <w:sz w:val="24"/>
          <w:szCs w:val="24"/>
        </w:rPr>
        <w:t xml:space="preserve"> </w:t>
      </w:r>
      <w:r w:rsidRPr="00867948">
        <w:rPr>
          <w:rFonts w:ascii="Arial" w:hAnsi="Arial" w:cs="Arial"/>
          <w:sz w:val="24"/>
          <w:szCs w:val="24"/>
        </w:rPr>
        <w:t>it was accepted that the plaintiffs suffered from PTSD or chronic depression</w:t>
      </w:r>
      <w:r w:rsidR="009531BB" w:rsidRPr="00867948">
        <w:rPr>
          <w:rFonts w:ascii="Arial" w:hAnsi="Arial" w:cs="Arial"/>
          <w:sz w:val="24"/>
          <w:szCs w:val="24"/>
        </w:rPr>
        <w:t>,</w:t>
      </w:r>
      <w:r w:rsidRPr="00867948">
        <w:rPr>
          <w:rFonts w:ascii="Arial" w:hAnsi="Arial" w:cs="Arial"/>
          <w:sz w:val="24"/>
          <w:szCs w:val="24"/>
        </w:rPr>
        <w:t xml:space="preserve"> </w:t>
      </w:r>
      <w:r w:rsidR="009531BB" w:rsidRPr="00867948">
        <w:rPr>
          <w:rFonts w:ascii="Arial" w:hAnsi="Arial" w:cs="Arial"/>
          <w:sz w:val="24"/>
          <w:szCs w:val="24"/>
        </w:rPr>
        <w:t xml:space="preserve"> </w:t>
      </w:r>
      <w:r w:rsidRPr="00867948">
        <w:rPr>
          <w:rFonts w:ascii="Arial" w:hAnsi="Arial" w:cs="Arial"/>
          <w:sz w:val="24"/>
          <w:szCs w:val="24"/>
        </w:rPr>
        <w:t xml:space="preserve">however, this was not held to be a disability for the purposes of the Limitation Act, </w:t>
      </w:r>
      <w:r w:rsidR="009531BB" w:rsidRPr="00867948">
        <w:rPr>
          <w:rFonts w:ascii="Arial" w:hAnsi="Arial" w:cs="Arial"/>
          <w:sz w:val="24"/>
          <w:szCs w:val="24"/>
        </w:rPr>
        <w:t xml:space="preserve">partly as </w:t>
      </w:r>
      <w:r w:rsidR="00C507F7" w:rsidRPr="00867948">
        <w:rPr>
          <w:rFonts w:ascii="Arial" w:hAnsi="Arial" w:cs="Arial"/>
          <w:sz w:val="24"/>
          <w:szCs w:val="24"/>
        </w:rPr>
        <w:t xml:space="preserve">they had shown themselves capable of bringing legal actions, and there was </w:t>
      </w:r>
      <w:r w:rsidR="009531BB" w:rsidRPr="00867948">
        <w:rPr>
          <w:rFonts w:ascii="Arial" w:hAnsi="Arial" w:cs="Arial"/>
          <w:sz w:val="24"/>
          <w:szCs w:val="24"/>
        </w:rPr>
        <w:t xml:space="preserve">no </w:t>
      </w:r>
      <w:r w:rsidR="00C507F7" w:rsidRPr="00867948">
        <w:rPr>
          <w:rFonts w:ascii="Arial" w:hAnsi="Arial" w:cs="Arial"/>
          <w:sz w:val="24"/>
          <w:szCs w:val="24"/>
        </w:rPr>
        <w:t xml:space="preserve">event that </w:t>
      </w:r>
      <w:r w:rsidR="001F6A63" w:rsidRPr="00867948">
        <w:rPr>
          <w:rFonts w:ascii="Arial" w:hAnsi="Arial" w:cs="Arial"/>
          <w:sz w:val="24"/>
          <w:szCs w:val="24"/>
        </w:rPr>
        <w:t>trigger</w:t>
      </w:r>
      <w:r w:rsidR="00C507F7" w:rsidRPr="00867948">
        <w:rPr>
          <w:rFonts w:ascii="Arial" w:hAnsi="Arial" w:cs="Arial"/>
          <w:sz w:val="24"/>
          <w:szCs w:val="24"/>
        </w:rPr>
        <w:t>ed</w:t>
      </w:r>
      <w:r w:rsidR="001F6A63" w:rsidRPr="00867948">
        <w:rPr>
          <w:rFonts w:ascii="Arial" w:hAnsi="Arial" w:cs="Arial"/>
          <w:sz w:val="24"/>
          <w:szCs w:val="24"/>
        </w:rPr>
        <w:t xml:space="preserve"> </w:t>
      </w:r>
      <w:r w:rsidR="00C507F7" w:rsidRPr="00867948">
        <w:rPr>
          <w:rFonts w:ascii="Arial" w:hAnsi="Arial" w:cs="Arial"/>
          <w:sz w:val="24"/>
          <w:szCs w:val="24"/>
        </w:rPr>
        <w:t xml:space="preserve">a </w:t>
      </w:r>
      <w:r w:rsidR="001F6A63" w:rsidRPr="00867948">
        <w:rPr>
          <w:rFonts w:ascii="Arial" w:hAnsi="Arial" w:cs="Arial"/>
          <w:sz w:val="24"/>
          <w:szCs w:val="24"/>
        </w:rPr>
        <w:t xml:space="preserve">release </w:t>
      </w:r>
      <w:r w:rsidR="00C507F7" w:rsidRPr="00867948">
        <w:rPr>
          <w:rFonts w:ascii="Arial" w:hAnsi="Arial" w:cs="Arial"/>
          <w:sz w:val="24"/>
          <w:szCs w:val="24"/>
        </w:rPr>
        <w:t xml:space="preserve">from </w:t>
      </w:r>
      <w:r w:rsidR="001F6A63" w:rsidRPr="00867948">
        <w:rPr>
          <w:rFonts w:ascii="Arial" w:hAnsi="Arial" w:cs="Arial"/>
          <w:sz w:val="24"/>
          <w:szCs w:val="24"/>
        </w:rPr>
        <w:t xml:space="preserve">the </w:t>
      </w:r>
      <w:r w:rsidR="00C507F7" w:rsidRPr="00867948">
        <w:rPr>
          <w:rFonts w:ascii="Arial" w:hAnsi="Arial" w:cs="Arial"/>
          <w:sz w:val="24"/>
          <w:szCs w:val="24"/>
        </w:rPr>
        <w:t xml:space="preserve">purported </w:t>
      </w:r>
      <w:r w:rsidR="001F6A63" w:rsidRPr="00867948">
        <w:rPr>
          <w:rFonts w:ascii="Arial" w:hAnsi="Arial" w:cs="Arial"/>
          <w:sz w:val="24"/>
          <w:szCs w:val="24"/>
        </w:rPr>
        <w:t>disability</w:t>
      </w:r>
      <w:r w:rsidR="009531BB" w:rsidRPr="00867948">
        <w:rPr>
          <w:rFonts w:ascii="Arial" w:hAnsi="Arial" w:cs="Arial"/>
          <w:sz w:val="24"/>
          <w:szCs w:val="24"/>
        </w:rPr>
        <w:t xml:space="preserve">. </w:t>
      </w:r>
    </w:p>
    <w:p w14:paraId="32B525D0" w14:textId="77777777" w:rsidR="00C60F6A" w:rsidRPr="00867948" w:rsidRDefault="00C60F6A" w:rsidP="00867948">
      <w:pPr>
        <w:pStyle w:val="Heading3"/>
        <w:ind w:left="1134" w:hanging="567"/>
        <w:rPr>
          <w:rFonts w:ascii="Arial" w:hAnsi="Arial" w:cs="Arial"/>
          <w:bCs/>
          <w:i/>
          <w:iCs/>
          <w:color w:val="000000" w:themeColor="text1"/>
          <w:lang w:val="en-NZ"/>
        </w:rPr>
      </w:pPr>
    </w:p>
    <w:p w14:paraId="08998EE3" w14:textId="7E509CAB" w:rsidR="00475C46" w:rsidRPr="00867948" w:rsidRDefault="00475C46" w:rsidP="005E2A50">
      <w:pPr>
        <w:pStyle w:val="Heading3"/>
        <w:ind w:left="1134" w:hanging="567"/>
        <w:rPr>
          <w:rFonts w:ascii="Arial" w:hAnsi="Arial" w:cs="Arial"/>
          <w:bCs/>
          <w:i/>
          <w:iCs/>
          <w:color w:val="000000" w:themeColor="text1"/>
          <w:lang w:val="en-NZ"/>
        </w:rPr>
      </w:pPr>
      <w:r w:rsidRPr="00867948">
        <w:rPr>
          <w:rFonts w:ascii="Arial" w:hAnsi="Arial" w:cs="Arial"/>
          <w:bCs/>
          <w:i/>
          <w:iCs/>
          <w:color w:val="000000" w:themeColor="text1"/>
          <w:lang w:val="en-NZ"/>
        </w:rPr>
        <w:t>Limitation Act 2010</w:t>
      </w:r>
    </w:p>
    <w:p w14:paraId="58B5ED41" w14:textId="77777777" w:rsidR="002A29CC" w:rsidRPr="00867948" w:rsidRDefault="002A29CC" w:rsidP="009B5D66">
      <w:pPr>
        <w:keepNext/>
        <w:spacing w:after="0" w:line="240" w:lineRule="auto"/>
        <w:ind w:left="1134" w:hanging="567"/>
        <w:rPr>
          <w:rFonts w:ascii="Arial" w:eastAsia="Times New Roman" w:hAnsi="Arial" w:cs="Arial"/>
          <w:color w:val="000000"/>
          <w:sz w:val="24"/>
          <w:szCs w:val="24"/>
          <w:lang w:eastAsia="en-NZ"/>
        </w:rPr>
      </w:pPr>
    </w:p>
    <w:p w14:paraId="5676E4EB" w14:textId="02635780" w:rsidR="009441B0" w:rsidRPr="00867948" w:rsidRDefault="00670923"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The Limitation Act 2010</w:t>
      </w:r>
      <w:r w:rsidR="007352E7">
        <w:rPr>
          <w:rFonts w:ascii="Arial" w:hAnsi="Arial" w:cs="Arial"/>
          <w:sz w:val="24"/>
          <w:szCs w:val="24"/>
        </w:rPr>
        <w:t xml:space="preserve"> (</w:t>
      </w:r>
      <w:r w:rsidR="007352E7">
        <w:rPr>
          <w:rFonts w:ascii="Arial" w:hAnsi="Arial" w:cs="Arial"/>
          <w:b/>
          <w:bCs/>
          <w:sz w:val="24"/>
          <w:szCs w:val="24"/>
        </w:rPr>
        <w:t xml:space="preserve">the 2010 </w:t>
      </w:r>
      <w:r w:rsidR="007352E7" w:rsidRPr="007352E7">
        <w:rPr>
          <w:rFonts w:ascii="Arial" w:hAnsi="Arial" w:cs="Arial"/>
          <w:b/>
          <w:bCs/>
          <w:sz w:val="24"/>
          <w:szCs w:val="24"/>
        </w:rPr>
        <w:t>Act</w:t>
      </w:r>
      <w:r w:rsidR="007352E7">
        <w:rPr>
          <w:rFonts w:ascii="Arial" w:hAnsi="Arial" w:cs="Arial"/>
          <w:sz w:val="24"/>
          <w:szCs w:val="24"/>
        </w:rPr>
        <w:t xml:space="preserve">) </w:t>
      </w:r>
      <w:r w:rsidR="00743C33" w:rsidRPr="007352E7">
        <w:rPr>
          <w:rFonts w:ascii="Arial" w:hAnsi="Arial" w:cs="Arial"/>
          <w:sz w:val="24"/>
          <w:szCs w:val="24"/>
        </w:rPr>
        <w:t>refined</w:t>
      </w:r>
      <w:r w:rsidR="00743C33" w:rsidRPr="00867948">
        <w:rPr>
          <w:rFonts w:ascii="Arial" w:hAnsi="Arial" w:cs="Arial"/>
          <w:sz w:val="24"/>
          <w:szCs w:val="24"/>
        </w:rPr>
        <w:t xml:space="preserve"> the limitation laws applying to claims </w:t>
      </w:r>
      <w:r w:rsidR="00A3552B">
        <w:rPr>
          <w:rFonts w:ascii="Arial" w:hAnsi="Arial" w:cs="Arial"/>
          <w:sz w:val="24"/>
          <w:szCs w:val="24"/>
        </w:rPr>
        <w:t>made</w:t>
      </w:r>
      <w:r w:rsidR="00743C33" w:rsidRPr="00867948">
        <w:rPr>
          <w:rFonts w:ascii="Arial" w:hAnsi="Arial" w:cs="Arial"/>
          <w:sz w:val="24"/>
          <w:szCs w:val="24"/>
        </w:rPr>
        <w:t xml:space="preserve"> </w:t>
      </w:r>
      <w:r w:rsidR="00743C33" w:rsidRPr="009B5D66">
        <w:rPr>
          <w:rFonts w:ascii="Arial" w:hAnsi="Arial" w:cs="Arial"/>
          <w:sz w:val="24"/>
          <w:szCs w:val="24"/>
        </w:rPr>
        <w:t>after</w:t>
      </w:r>
      <w:r w:rsidR="00743C33" w:rsidRPr="00867948">
        <w:rPr>
          <w:rFonts w:ascii="Arial" w:hAnsi="Arial" w:cs="Arial"/>
          <w:sz w:val="24"/>
          <w:szCs w:val="24"/>
        </w:rPr>
        <w:t xml:space="preserve"> 31 December 2010</w:t>
      </w:r>
      <w:r w:rsidR="00D3399A" w:rsidRPr="00867948">
        <w:rPr>
          <w:rFonts w:ascii="Arial" w:hAnsi="Arial" w:cs="Arial"/>
          <w:sz w:val="24"/>
          <w:szCs w:val="24"/>
        </w:rPr>
        <w:t>, with the purpose of providing a clearer, more comprehensive law on general civil limitation defences</w:t>
      </w:r>
      <w:r w:rsidR="00743C33" w:rsidRPr="00867948">
        <w:rPr>
          <w:rFonts w:ascii="Arial" w:hAnsi="Arial" w:cs="Arial"/>
          <w:sz w:val="24"/>
          <w:szCs w:val="24"/>
        </w:rPr>
        <w:t xml:space="preserve">. </w:t>
      </w:r>
      <w:r w:rsidR="000A271F">
        <w:rPr>
          <w:rFonts w:ascii="Arial" w:hAnsi="Arial" w:cs="Arial"/>
          <w:sz w:val="24"/>
          <w:szCs w:val="24"/>
        </w:rPr>
        <w:t>However, t</w:t>
      </w:r>
      <w:r w:rsidR="00A625D7">
        <w:rPr>
          <w:rFonts w:ascii="Arial" w:hAnsi="Arial" w:cs="Arial"/>
          <w:sz w:val="24"/>
          <w:szCs w:val="24"/>
        </w:rPr>
        <w:t xml:space="preserve">he 1950 Act continues to apply </w:t>
      </w:r>
      <w:r w:rsidR="00C103F7">
        <w:rPr>
          <w:rFonts w:ascii="Arial" w:hAnsi="Arial" w:cs="Arial"/>
          <w:sz w:val="24"/>
          <w:szCs w:val="24"/>
        </w:rPr>
        <w:t xml:space="preserve">in relation to </w:t>
      </w:r>
      <w:r w:rsidR="00362A8C">
        <w:rPr>
          <w:rFonts w:ascii="Arial" w:hAnsi="Arial" w:cs="Arial"/>
          <w:sz w:val="24"/>
          <w:szCs w:val="24"/>
        </w:rPr>
        <w:t xml:space="preserve">any </w:t>
      </w:r>
      <w:r w:rsidR="00A2367E">
        <w:rPr>
          <w:rFonts w:ascii="Arial" w:hAnsi="Arial" w:cs="Arial"/>
          <w:sz w:val="24"/>
          <w:szCs w:val="24"/>
        </w:rPr>
        <w:t>claim</w:t>
      </w:r>
      <w:r w:rsidR="00362A8C">
        <w:rPr>
          <w:rFonts w:ascii="Arial" w:hAnsi="Arial" w:cs="Arial"/>
          <w:sz w:val="24"/>
          <w:szCs w:val="24"/>
        </w:rPr>
        <w:t xml:space="preserve"> brought that relates </w:t>
      </w:r>
      <w:r w:rsidR="00A2367E">
        <w:rPr>
          <w:rFonts w:ascii="Arial" w:hAnsi="Arial" w:cs="Arial"/>
          <w:sz w:val="24"/>
          <w:szCs w:val="24"/>
        </w:rPr>
        <w:t xml:space="preserve">to </w:t>
      </w:r>
      <w:r w:rsidR="00A625D7">
        <w:rPr>
          <w:rFonts w:ascii="Arial" w:hAnsi="Arial" w:cs="Arial"/>
          <w:sz w:val="24"/>
          <w:szCs w:val="24"/>
        </w:rPr>
        <w:t xml:space="preserve">acts or omissions </w:t>
      </w:r>
      <w:r w:rsidR="000A271F">
        <w:rPr>
          <w:rFonts w:ascii="Arial" w:hAnsi="Arial" w:cs="Arial"/>
          <w:sz w:val="24"/>
          <w:szCs w:val="24"/>
        </w:rPr>
        <w:t>before 1 January 2011</w:t>
      </w:r>
      <w:r w:rsidR="00362A8C">
        <w:rPr>
          <w:rFonts w:ascii="Arial" w:hAnsi="Arial" w:cs="Arial"/>
          <w:sz w:val="24"/>
          <w:szCs w:val="24"/>
        </w:rPr>
        <w:t xml:space="preserve"> and to which it would have applied</w:t>
      </w:r>
      <w:r w:rsidR="00032470">
        <w:rPr>
          <w:rFonts w:ascii="Arial" w:hAnsi="Arial" w:cs="Arial"/>
          <w:sz w:val="24"/>
          <w:szCs w:val="24"/>
        </w:rPr>
        <w:t xml:space="preserve"> prior to the 2010 Act coming into force</w:t>
      </w:r>
      <w:r w:rsidR="005335E8">
        <w:rPr>
          <w:rFonts w:ascii="Arial" w:hAnsi="Arial" w:cs="Arial"/>
          <w:sz w:val="24"/>
          <w:szCs w:val="24"/>
        </w:rPr>
        <w:t>,</w:t>
      </w:r>
      <w:r w:rsidR="00497651">
        <w:rPr>
          <w:rStyle w:val="FootnoteReference"/>
          <w:rFonts w:ascii="Arial" w:hAnsi="Arial" w:cs="Arial"/>
          <w:sz w:val="24"/>
          <w:szCs w:val="24"/>
        </w:rPr>
        <w:footnoteReference w:id="14"/>
      </w:r>
      <w:r w:rsidR="005335E8">
        <w:rPr>
          <w:rFonts w:ascii="Arial" w:hAnsi="Arial" w:cs="Arial"/>
          <w:sz w:val="24"/>
          <w:szCs w:val="24"/>
        </w:rPr>
        <w:t xml:space="preserve"> and thus continues to govern the majority of historic abuse cases</w:t>
      </w:r>
      <w:r w:rsidR="00032470">
        <w:rPr>
          <w:rFonts w:ascii="Arial" w:hAnsi="Arial" w:cs="Arial"/>
          <w:sz w:val="24"/>
          <w:szCs w:val="24"/>
        </w:rPr>
        <w:t>.</w:t>
      </w:r>
      <w:r w:rsidR="00497651">
        <w:rPr>
          <w:rStyle w:val="FootnoteReference"/>
          <w:rFonts w:ascii="Arial" w:hAnsi="Arial" w:cs="Arial"/>
          <w:sz w:val="24"/>
          <w:szCs w:val="24"/>
        </w:rPr>
        <w:footnoteReference w:id="15"/>
      </w:r>
      <w:r w:rsidR="00A2367E">
        <w:rPr>
          <w:rFonts w:ascii="Arial" w:hAnsi="Arial" w:cs="Arial"/>
          <w:sz w:val="24"/>
          <w:szCs w:val="24"/>
        </w:rPr>
        <w:t xml:space="preserve"> </w:t>
      </w:r>
    </w:p>
    <w:p w14:paraId="2E7D2C74" w14:textId="77777777" w:rsidR="00D55FA6" w:rsidRPr="00867948" w:rsidRDefault="00D55FA6" w:rsidP="00867948">
      <w:pPr>
        <w:pStyle w:val="ListParagraph"/>
        <w:ind w:left="1134" w:hanging="567"/>
        <w:rPr>
          <w:rFonts w:ascii="Arial" w:hAnsi="Arial" w:cs="Arial"/>
          <w:sz w:val="24"/>
          <w:szCs w:val="24"/>
        </w:rPr>
      </w:pPr>
    </w:p>
    <w:p w14:paraId="4E6F2627" w14:textId="49EF3E81" w:rsidR="00F017B2" w:rsidRPr="00867948" w:rsidRDefault="009441B0"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 xml:space="preserve">The 2010 Act also introduced a small number of </w:t>
      </w:r>
      <w:r w:rsidR="00195FB2" w:rsidRPr="00867948">
        <w:rPr>
          <w:rFonts w:ascii="Arial" w:hAnsi="Arial" w:cs="Arial"/>
          <w:sz w:val="24"/>
          <w:szCs w:val="24"/>
        </w:rPr>
        <w:t xml:space="preserve">equivalent </w:t>
      </w:r>
      <w:r w:rsidRPr="00867948">
        <w:rPr>
          <w:rFonts w:ascii="Arial" w:hAnsi="Arial" w:cs="Arial"/>
          <w:sz w:val="24"/>
          <w:szCs w:val="24"/>
        </w:rPr>
        <w:t xml:space="preserve">amendments to the 1950 Act, which apply to </w:t>
      </w:r>
      <w:r w:rsidR="00F017B2" w:rsidRPr="00867948">
        <w:rPr>
          <w:rFonts w:ascii="Arial" w:hAnsi="Arial" w:cs="Arial"/>
          <w:sz w:val="24"/>
          <w:szCs w:val="24"/>
        </w:rPr>
        <w:t xml:space="preserve">claims </w:t>
      </w:r>
      <w:r w:rsidR="00C072C6" w:rsidRPr="00867948">
        <w:rPr>
          <w:rFonts w:ascii="Arial" w:hAnsi="Arial" w:cs="Arial"/>
          <w:sz w:val="24"/>
          <w:szCs w:val="24"/>
        </w:rPr>
        <w:t xml:space="preserve">for acts or omissions occurring prior to 2011, </w:t>
      </w:r>
      <w:r w:rsidR="00246FC6" w:rsidRPr="00867948">
        <w:rPr>
          <w:rFonts w:ascii="Arial" w:hAnsi="Arial" w:cs="Arial"/>
          <w:sz w:val="24"/>
          <w:szCs w:val="24"/>
        </w:rPr>
        <w:t xml:space="preserve">where </w:t>
      </w:r>
      <w:r w:rsidR="00C072C6" w:rsidRPr="00867948">
        <w:rPr>
          <w:rFonts w:ascii="Arial" w:hAnsi="Arial" w:cs="Arial"/>
          <w:sz w:val="24"/>
          <w:szCs w:val="24"/>
        </w:rPr>
        <w:t xml:space="preserve">the actions were </w:t>
      </w:r>
      <w:r w:rsidR="00F017B2" w:rsidRPr="00867948">
        <w:rPr>
          <w:rFonts w:ascii="Arial" w:hAnsi="Arial" w:cs="Arial"/>
          <w:sz w:val="24"/>
          <w:szCs w:val="24"/>
        </w:rPr>
        <w:t xml:space="preserve">brought after </w:t>
      </w:r>
      <w:r w:rsidR="00246FC6" w:rsidRPr="00867948">
        <w:rPr>
          <w:rFonts w:ascii="Arial" w:hAnsi="Arial" w:cs="Arial"/>
          <w:sz w:val="24"/>
          <w:szCs w:val="24"/>
        </w:rPr>
        <w:t>1 January 2011</w:t>
      </w:r>
      <w:r w:rsidR="00C072C6" w:rsidRPr="00867948">
        <w:rPr>
          <w:rFonts w:ascii="Arial" w:hAnsi="Arial" w:cs="Arial"/>
          <w:sz w:val="24"/>
          <w:szCs w:val="24"/>
        </w:rPr>
        <w:t xml:space="preserve">. </w:t>
      </w:r>
      <w:r w:rsidR="002652A7" w:rsidRPr="00867948">
        <w:rPr>
          <w:rFonts w:ascii="Arial" w:hAnsi="Arial" w:cs="Arial"/>
          <w:sz w:val="24"/>
          <w:szCs w:val="24"/>
        </w:rPr>
        <w:t>The key amendments include:</w:t>
      </w:r>
    </w:p>
    <w:p w14:paraId="7B5F4ADF" w14:textId="77777777" w:rsidR="002652A7" w:rsidRPr="00867948" w:rsidRDefault="002652A7" w:rsidP="00867948">
      <w:pPr>
        <w:pStyle w:val="ListParagraph"/>
        <w:ind w:left="1134" w:hanging="567"/>
        <w:rPr>
          <w:rFonts w:ascii="Arial" w:hAnsi="Arial" w:cs="Arial"/>
          <w:sz w:val="24"/>
          <w:szCs w:val="24"/>
        </w:rPr>
      </w:pPr>
    </w:p>
    <w:p w14:paraId="584A942D" w14:textId="3ABA4E96" w:rsidR="008603B9" w:rsidRPr="00867948" w:rsidRDefault="002652A7" w:rsidP="00876F4D">
      <w:pPr>
        <w:pStyle w:val="ListParagraph"/>
        <w:numPr>
          <w:ilvl w:val="0"/>
          <w:numId w:val="38"/>
        </w:numPr>
        <w:ind w:left="1701" w:hanging="567"/>
        <w:rPr>
          <w:rFonts w:ascii="Arial" w:hAnsi="Arial" w:cs="Arial"/>
          <w:sz w:val="24"/>
          <w:szCs w:val="24"/>
        </w:rPr>
      </w:pPr>
      <w:r w:rsidRPr="00867948">
        <w:rPr>
          <w:rFonts w:ascii="Arial" w:hAnsi="Arial" w:cs="Arial"/>
          <w:sz w:val="24"/>
          <w:szCs w:val="24"/>
        </w:rPr>
        <w:t>The introd</w:t>
      </w:r>
      <w:r w:rsidR="008603B9" w:rsidRPr="00867948">
        <w:rPr>
          <w:rFonts w:ascii="Arial" w:hAnsi="Arial" w:cs="Arial"/>
          <w:sz w:val="24"/>
          <w:szCs w:val="24"/>
        </w:rPr>
        <w:t>uction of a “longstop” period of limitation</w:t>
      </w:r>
      <w:r w:rsidR="00944FD0" w:rsidRPr="00867948">
        <w:rPr>
          <w:rFonts w:ascii="Arial" w:hAnsi="Arial" w:cs="Arial"/>
          <w:sz w:val="24"/>
          <w:szCs w:val="24"/>
        </w:rPr>
        <w:t xml:space="preserve"> in </w:t>
      </w:r>
      <w:r w:rsidR="008E703F" w:rsidRPr="00867948">
        <w:rPr>
          <w:rFonts w:ascii="Arial" w:hAnsi="Arial" w:cs="Arial"/>
          <w:sz w:val="24"/>
          <w:szCs w:val="24"/>
        </w:rPr>
        <w:t>(</w:t>
      </w:r>
      <w:r w:rsidR="00944FD0" w:rsidRPr="00867948">
        <w:rPr>
          <w:rFonts w:ascii="Arial" w:hAnsi="Arial" w:cs="Arial"/>
          <w:sz w:val="24"/>
          <w:szCs w:val="24"/>
        </w:rPr>
        <w:t>s 23B</w:t>
      </w:r>
      <w:r w:rsidR="008E703F" w:rsidRPr="00867948">
        <w:rPr>
          <w:rFonts w:ascii="Arial" w:hAnsi="Arial" w:cs="Arial"/>
          <w:sz w:val="24"/>
          <w:szCs w:val="24"/>
        </w:rPr>
        <w:t>)</w:t>
      </w:r>
      <w:r w:rsidR="00386193" w:rsidRPr="00867948">
        <w:rPr>
          <w:rFonts w:ascii="Arial" w:hAnsi="Arial" w:cs="Arial"/>
          <w:sz w:val="24"/>
          <w:szCs w:val="24"/>
        </w:rPr>
        <w:t xml:space="preserve">, </w:t>
      </w:r>
      <w:r w:rsidR="00944FD0" w:rsidRPr="00867948">
        <w:rPr>
          <w:rFonts w:ascii="Arial" w:hAnsi="Arial" w:cs="Arial"/>
          <w:sz w:val="24"/>
          <w:szCs w:val="24"/>
        </w:rPr>
        <w:t xml:space="preserve">which provides </w:t>
      </w:r>
      <w:r w:rsidR="00386193" w:rsidRPr="00867948">
        <w:rPr>
          <w:rFonts w:ascii="Arial" w:hAnsi="Arial" w:cs="Arial"/>
          <w:sz w:val="24"/>
          <w:szCs w:val="24"/>
        </w:rPr>
        <w:t xml:space="preserve">that no action may be brought </w:t>
      </w:r>
      <w:r w:rsidR="002128AB" w:rsidRPr="00867948">
        <w:rPr>
          <w:rFonts w:ascii="Arial" w:hAnsi="Arial" w:cs="Arial"/>
          <w:sz w:val="24"/>
          <w:szCs w:val="24"/>
        </w:rPr>
        <w:t xml:space="preserve">for acts or omissions before 1 January 2011 </w:t>
      </w:r>
      <w:r w:rsidR="00386193" w:rsidRPr="00867948">
        <w:rPr>
          <w:rFonts w:ascii="Arial" w:hAnsi="Arial" w:cs="Arial"/>
          <w:sz w:val="24"/>
          <w:szCs w:val="24"/>
        </w:rPr>
        <w:t>after the later of 5 years ending on 31 December 2015, or 15 years after the date of the act or omission</w:t>
      </w:r>
      <w:r w:rsidR="003A5A03" w:rsidRPr="00867948">
        <w:rPr>
          <w:rFonts w:ascii="Arial" w:hAnsi="Arial" w:cs="Arial"/>
          <w:sz w:val="24"/>
          <w:szCs w:val="24"/>
        </w:rPr>
        <w:t xml:space="preserve"> </w:t>
      </w:r>
      <w:r w:rsidR="00600E63" w:rsidRPr="00867948">
        <w:rPr>
          <w:rFonts w:ascii="Arial" w:hAnsi="Arial" w:cs="Arial"/>
          <w:sz w:val="24"/>
          <w:szCs w:val="24"/>
        </w:rPr>
        <w:t>(</w:t>
      </w:r>
      <w:r w:rsidR="003A5A03" w:rsidRPr="00867948">
        <w:rPr>
          <w:rFonts w:ascii="Arial" w:hAnsi="Arial" w:cs="Arial"/>
          <w:sz w:val="24"/>
          <w:szCs w:val="24"/>
        </w:rPr>
        <w:t xml:space="preserve">subject to </w:t>
      </w:r>
      <w:r w:rsidR="00600E63" w:rsidRPr="00867948">
        <w:rPr>
          <w:rFonts w:ascii="Arial" w:hAnsi="Arial" w:cs="Arial"/>
          <w:sz w:val="24"/>
          <w:szCs w:val="24"/>
        </w:rPr>
        <w:t xml:space="preserve">provisions relating to </w:t>
      </w:r>
      <w:r w:rsidR="003A5A03" w:rsidRPr="00867948">
        <w:rPr>
          <w:rFonts w:ascii="Arial" w:hAnsi="Arial" w:cs="Arial"/>
          <w:sz w:val="24"/>
          <w:szCs w:val="24"/>
        </w:rPr>
        <w:t>disability and fraud etc</w:t>
      </w:r>
      <w:r w:rsidR="00600E63" w:rsidRPr="00867948">
        <w:rPr>
          <w:rFonts w:ascii="Arial" w:hAnsi="Arial" w:cs="Arial"/>
          <w:sz w:val="24"/>
          <w:szCs w:val="24"/>
        </w:rPr>
        <w:t>)</w:t>
      </w:r>
      <w:r w:rsidR="00A77BC3" w:rsidRPr="00867948">
        <w:rPr>
          <w:rFonts w:ascii="Arial" w:hAnsi="Arial" w:cs="Arial"/>
          <w:sz w:val="24"/>
          <w:szCs w:val="24"/>
        </w:rPr>
        <w:t>; and</w:t>
      </w:r>
    </w:p>
    <w:p w14:paraId="019BA715" w14:textId="77777777" w:rsidR="00876F4D" w:rsidRDefault="00876F4D" w:rsidP="00876F4D">
      <w:pPr>
        <w:pStyle w:val="ListParagraph"/>
        <w:ind w:left="1701"/>
        <w:rPr>
          <w:rFonts w:ascii="Arial" w:hAnsi="Arial" w:cs="Arial"/>
          <w:sz w:val="24"/>
          <w:szCs w:val="24"/>
        </w:rPr>
      </w:pPr>
    </w:p>
    <w:p w14:paraId="4461CF1C" w14:textId="50F27C69" w:rsidR="00A77BC3" w:rsidRPr="00867948" w:rsidRDefault="003D0AA8" w:rsidP="00876F4D">
      <w:pPr>
        <w:pStyle w:val="ListParagraph"/>
        <w:numPr>
          <w:ilvl w:val="0"/>
          <w:numId w:val="38"/>
        </w:numPr>
        <w:ind w:left="1701" w:hanging="567"/>
        <w:rPr>
          <w:rFonts w:ascii="Arial" w:hAnsi="Arial" w:cs="Arial"/>
          <w:sz w:val="24"/>
          <w:szCs w:val="24"/>
        </w:rPr>
      </w:pPr>
      <w:r w:rsidRPr="00867948">
        <w:rPr>
          <w:rFonts w:ascii="Arial" w:hAnsi="Arial" w:cs="Arial"/>
          <w:sz w:val="24"/>
          <w:szCs w:val="24"/>
        </w:rPr>
        <w:t>D</w:t>
      </w:r>
      <w:r w:rsidR="00767F46" w:rsidRPr="00867948">
        <w:rPr>
          <w:rFonts w:ascii="Arial" w:hAnsi="Arial" w:cs="Arial"/>
          <w:sz w:val="24"/>
          <w:szCs w:val="24"/>
        </w:rPr>
        <w:t xml:space="preserve">iscretion </w:t>
      </w:r>
      <w:r w:rsidRPr="00867948">
        <w:rPr>
          <w:rFonts w:ascii="Arial" w:hAnsi="Arial" w:cs="Arial"/>
          <w:sz w:val="24"/>
          <w:szCs w:val="24"/>
        </w:rPr>
        <w:t xml:space="preserve">of the court </w:t>
      </w:r>
      <w:r w:rsidR="00767F46" w:rsidRPr="00867948">
        <w:rPr>
          <w:rFonts w:ascii="Arial" w:hAnsi="Arial" w:cs="Arial"/>
          <w:sz w:val="24"/>
          <w:szCs w:val="24"/>
        </w:rPr>
        <w:t>to extend the limitation period</w:t>
      </w:r>
      <w:r w:rsidR="00D719CA" w:rsidRPr="00867948">
        <w:rPr>
          <w:rFonts w:ascii="Arial" w:hAnsi="Arial" w:cs="Arial"/>
          <w:sz w:val="24"/>
          <w:szCs w:val="24"/>
        </w:rPr>
        <w:t>, including beyond the longstop, in cases involving sexual abuse of a child or non-sexual abuse of a child by a parent, step-parent or</w:t>
      </w:r>
      <w:r w:rsidR="001E7FFD" w:rsidRPr="00867948">
        <w:rPr>
          <w:rFonts w:ascii="Arial" w:hAnsi="Arial" w:cs="Arial"/>
          <w:sz w:val="24"/>
          <w:szCs w:val="24"/>
        </w:rPr>
        <w:t xml:space="preserve"> legal</w:t>
      </w:r>
      <w:r w:rsidR="00D719CA" w:rsidRPr="00867948">
        <w:rPr>
          <w:rFonts w:ascii="Arial" w:hAnsi="Arial" w:cs="Arial"/>
          <w:sz w:val="24"/>
          <w:szCs w:val="24"/>
        </w:rPr>
        <w:t xml:space="preserve"> guardian, or a close relative or close associate of a parent, step-parent or gua</w:t>
      </w:r>
      <w:r w:rsidR="00AA737F" w:rsidRPr="00867948">
        <w:rPr>
          <w:rFonts w:ascii="Arial" w:hAnsi="Arial" w:cs="Arial"/>
          <w:sz w:val="24"/>
          <w:szCs w:val="24"/>
        </w:rPr>
        <w:t>r</w:t>
      </w:r>
      <w:r w:rsidR="00D719CA" w:rsidRPr="00867948">
        <w:rPr>
          <w:rFonts w:ascii="Arial" w:hAnsi="Arial" w:cs="Arial"/>
          <w:sz w:val="24"/>
          <w:szCs w:val="24"/>
        </w:rPr>
        <w:t>dian</w:t>
      </w:r>
      <w:r w:rsidR="00AA737F" w:rsidRPr="00867948">
        <w:rPr>
          <w:rFonts w:ascii="Arial" w:hAnsi="Arial" w:cs="Arial"/>
          <w:sz w:val="24"/>
          <w:szCs w:val="24"/>
        </w:rPr>
        <w:t xml:space="preserve"> (s 23C)</w:t>
      </w:r>
      <w:r w:rsidR="00D719CA" w:rsidRPr="00867948">
        <w:rPr>
          <w:rFonts w:ascii="Arial" w:hAnsi="Arial" w:cs="Arial"/>
          <w:sz w:val="24"/>
          <w:szCs w:val="24"/>
        </w:rPr>
        <w:t>.</w:t>
      </w:r>
      <w:r w:rsidR="00C22362" w:rsidRPr="00867948">
        <w:rPr>
          <w:rFonts w:ascii="Arial" w:hAnsi="Arial" w:cs="Arial"/>
          <w:sz w:val="24"/>
          <w:szCs w:val="24"/>
        </w:rPr>
        <w:t xml:space="preserve"> Close associate is not defined. </w:t>
      </w:r>
    </w:p>
    <w:p w14:paraId="2B11BF9E" w14:textId="77777777" w:rsidR="0093657C" w:rsidRPr="00867948" w:rsidRDefault="0093657C" w:rsidP="00867948">
      <w:pPr>
        <w:pStyle w:val="ListParagraph"/>
        <w:ind w:left="1134" w:hanging="567"/>
        <w:rPr>
          <w:rFonts w:ascii="Arial" w:hAnsi="Arial" w:cs="Arial"/>
          <w:sz w:val="24"/>
          <w:szCs w:val="24"/>
        </w:rPr>
      </w:pPr>
    </w:p>
    <w:p w14:paraId="6E11F6A7" w14:textId="195B0CE6" w:rsidR="00CD2505" w:rsidRPr="00867948" w:rsidRDefault="001A5F64"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I</w:t>
      </w:r>
      <w:r w:rsidR="00CD2505" w:rsidRPr="00867948">
        <w:rPr>
          <w:rFonts w:ascii="Arial" w:hAnsi="Arial" w:cs="Arial"/>
          <w:sz w:val="24"/>
          <w:szCs w:val="24"/>
        </w:rPr>
        <w:t xml:space="preserve">n </w:t>
      </w:r>
      <w:r w:rsidR="00A77BC3" w:rsidRPr="00867948">
        <w:rPr>
          <w:rFonts w:ascii="Arial" w:hAnsi="Arial" w:cs="Arial"/>
          <w:sz w:val="24"/>
          <w:szCs w:val="24"/>
        </w:rPr>
        <w:t>determining whether</w:t>
      </w:r>
      <w:r w:rsidR="003C452E" w:rsidRPr="00867948">
        <w:rPr>
          <w:rFonts w:ascii="Arial" w:hAnsi="Arial" w:cs="Arial"/>
          <w:sz w:val="24"/>
          <w:szCs w:val="24"/>
        </w:rPr>
        <w:t xml:space="preserve"> to extend the limitation period, the court must take into account a number of </w:t>
      </w:r>
      <w:r w:rsidRPr="00867948">
        <w:rPr>
          <w:rFonts w:ascii="Arial" w:hAnsi="Arial" w:cs="Arial"/>
          <w:sz w:val="24"/>
          <w:szCs w:val="24"/>
        </w:rPr>
        <w:t>matters, including</w:t>
      </w:r>
      <w:r w:rsidR="005E4116" w:rsidRPr="00867948">
        <w:rPr>
          <w:rFonts w:ascii="Arial" w:hAnsi="Arial" w:cs="Arial"/>
          <w:sz w:val="24"/>
          <w:szCs w:val="24"/>
        </w:rPr>
        <w:t>:</w:t>
      </w:r>
      <w:r w:rsidRPr="00867948">
        <w:rPr>
          <w:rFonts w:ascii="Arial" w:hAnsi="Arial" w:cs="Arial"/>
          <w:sz w:val="24"/>
          <w:szCs w:val="24"/>
        </w:rPr>
        <w:t xml:space="preserve"> hardship to the defendant or the plaintiff</w:t>
      </w:r>
      <w:r w:rsidR="005E4116" w:rsidRPr="00867948">
        <w:rPr>
          <w:rFonts w:ascii="Arial" w:hAnsi="Arial" w:cs="Arial"/>
          <w:sz w:val="24"/>
          <w:szCs w:val="24"/>
        </w:rPr>
        <w:t>;</w:t>
      </w:r>
      <w:r w:rsidRPr="00867948">
        <w:rPr>
          <w:rFonts w:ascii="Arial" w:hAnsi="Arial" w:cs="Arial"/>
          <w:sz w:val="24"/>
          <w:szCs w:val="24"/>
        </w:rPr>
        <w:t xml:space="preserve"> </w:t>
      </w:r>
      <w:r w:rsidR="005E4116" w:rsidRPr="00867948">
        <w:rPr>
          <w:rFonts w:ascii="Arial" w:hAnsi="Arial" w:cs="Arial"/>
          <w:sz w:val="24"/>
          <w:szCs w:val="24"/>
        </w:rPr>
        <w:t xml:space="preserve">length of and reasons for delay; likely effects of delay on the ability to defend the action and on the evidence; </w:t>
      </w:r>
      <w:r w:rsidR="00F35646" w:rsidRPr="00867948">
        <w:rPr>
          <w:rFonts w:ascii="Arial" w:hAnsi="Arial" w:cs="Arial"/>
          <w:sz w:val="24"/>
          <w:szCs w:val="24"/>
        </w:rPr>
        <w:t xml:space="preserve">the defendant’s conduct, including responses to requests for information or inspection; </w:t>
      </w:r>
      <w:r w:rsidR="00314A30" w:rsidRPr="00867948">
        <w:rPr>
          <w:rFonts w:ascii="Arial" w:hAnsi="Arial" w:cs="Arial"/>
          <w:sz w:val="24"/>
          <w:szCs w:val="24"/>
        </w:rPr>
        <w:t>steps taken by the plaintiff to bring the action and to obtain relevant medical, legal, or other expert advice (s 23D).</w:t>
      </w:r>
      <w:r w:rsidR="00CD2505" w:rsidRPr="00867948">
        <w:rPr>
          <w:rFonts w:ascii="Arial" w:hAnsi="Arial" w:cs="Arial"/>
          <w:sz w:val="24"/>
          <w:szCs w:val="24"/>
        </w:rPr>
        <w:t xml:space="preserve"> </w:t>
      </w:r>
    </w:p>
    <w:p w14:paraId="0BD9061E" w14:textId="77777777" w:rsidR="00D55FA6" w:rsidRPr="00867948" w:rsidRDefault="00D55FA6" w:rsidP="00867948">
      <w:pPr>
        <w:pStyle w:val="ListParagraph"/>
        <w:ind w:left="1134" w:hanging="567"/>
        <w:rPr>
          <w:rFonts w:ascii="Arial" w:hAnsi="Arial" w:cs="Arial"/>
          <w:sz w:val="24"/>
          <w:szCs w:val="24"/>
        </w:rPr>
      </w:pPr>
    </w:p>
    <w:p w14:paraId="5E84BD6E" w14:textId="1F7E78D5" w:rsidR="00D55FA6" w:rsidRPr="00867948" w:rsidRDefault="00D55FA6" w:rsidP="00867948">
      <w:pPr>
        <w:pStyle w:val="ListParagraph"/>
        <w:numPr>
          <w:ilvl w:val="0"/>
          <w:numId w:val="32"/>
        </w:numPr>
        <w:ind w:left="1134" w:hanging="567"/>
        <w:rPr>
          <w:rFonts w:ascii="Arial" w:hAnsi="Arial" w:cs="Arial"/>
          <w:sz w:val="24"/>
          <w:szCs w:val="24"/>
        </w:rPr>
      </w:pPr>
      <w:r w:rsidRPr="00867948">
        <w:rPr>
          <w:rFonts w:ascii="Arial" w:hAnsi="Arial" w:cs="Arial"/>
          <w:sz w:val="24"/>
          <w:szCs w:val="24"/>
        </w:rPr>
        <w:t>The 1950 Act continues to apply</w:t>
      </w:r>
      <w:r w:rsidR="00147A4D" w:rsidRPr="00867948">
        <w:rPr>
          <w:rFonts w:ascii="Arial" w:hAnsi="Arial" w:cs="Arial"/>
          <w:sz w:val="24"/>
          <w:szCs w:val="24"/>
        </w:rPr>
        <w:t xml:space="preserve">, without amendment, </w:t>
      </w:r>
      <w:r w:rsidRPr="00867948">
        <w:rPr>
          <w:rFonts w:ascii="Arial" w:hAnsi="Arial" w:cs="Arial"/>
          <w:sz w:val="24"/>
          <w:szCs w:val="24"/>
        </w:rPr>
        <w:t xml:space="preserve">to claims </w:t>
      </w:r>
      <w:r w:rsidR="00436072" w:rsidRPr="00867948">
        <w:rPr>
          <w:rFonts w:ascii="Arial" w:hAnsi="Arial" w:cs="Arial"/>
          <w:sz w:val="24"/>
          <w:szCs w:val="24"/>
        </w:rPr>
        <w:t xml:space="preserve">made prior to </w:t>
      </w:r>
      <w:r w:rsidR="00980D1C">
        <w:rPr>
          <w:rFonts w:ascii="Arial" w:hAnsi="Arial" w:cs="Arial"/>
          <w:sz w:val="24"/>
          <w:szCs w:val="24"/>
        </w:rPr>
        <w:t xml:space="preserve">1 January </w:t>
      </w:r>
      <w:r w:rsidR="00436072" w:rsidRPr="00867948">
        <w:rPr>
          <w:rFonts w:ascii="Arial" w:hAnsi="Arial" w:cs="Arial"/>
          <w:sz w:val="24"/>
          <w:szCs w:val="24"/>
        </w:rPr>
        <w:t>2011</w:t>
      </w:r>
      <w:r w:rsidRPr="00867948">
        <w:rPr>
          <w:rFonts w:ascii="Arial" w:hAnsi="Arial" w:cs="Arial"/>
          <w:sz w:val="24"/>
          <w:szCs w:val="24"/>
        </w:rPr>
        <w:t xml:space="preserve">, including the large number of claims for historic abuse that were commenced during the early 2000s and which have not yet been resolved. </w:t>
      </w:r>
    </w:p>
    <w:p w14:paraId="435BF3EE" w14:textId="77777777" w:rsidR="0093640E" w:rsidRPr="00867948" w:rsidRDefault="0093640E" w:rsidP="00867948">
      <w:pPr>
        <w:ind w:left="1134" w:hanging="567"/>
        <w:rPr>
          <w:rFonts w:ascii="Arial" w:eastAsia="Times New Roman" w:hAnsi="Arial" w:cs="Arial"/>
          <w:b/>
          <w:bCs/>
          <w:color w:val="000000"/>
          <w:sz w:val="24"/>
          <w:szCs w:val="24"/>
          <w:lang w:eastAsia="en-NZ"/>
        </w:rPr>
      </w:pPr>
    </w:p>
    <w:p w14:paraId="329DEE1A" w14:textId="62E03B2C" w:rsidR="003C1017" w:rsidRPr="00867948" w:rsidRDefault="003C1017" w:rsidP="00867948">
      <w:pPr>
        <w:pStyle w:val="Heading3"/>
        <w:numPr>
          <w:ilvl w:val="0"/>
          <w:numId w:val="14"/>
        </w:numPr>
        <w:ind w:left="1134" w:hanging="567"/>
        <w:rPr>
          <w:rFonts w:ascii="Arial" w:hAnsi="Arial" w:cs="Arial"/>
          <w:b/>
          <w:color w:val="000000" w:themeColor="text1"/>
          <w:lang w:val="en-NZ"/>
        </w:rPr>
      </w:pPr>
      <w:r w:rsidRPr="00867948">
        <w:rPr>
          <w:rFonts w:ascii="Arial" w:hAnsi="Arial" w:cs="Arial"/>
          <w:b/>
          <w:color w:val="000000" w:themeColor="text1"/>
          <w:lang w:val="en-NZ"/>
        </w:rPr>
        <w:t>STATUTORY BAR: MENTAL HEALTH ACTS</w:t>
      </w:r>
    </w:p>
    <w:p w14:paraId="37245BBF" w14:textId="545F8B1E" w:rsidR="00BC2F30" w:rsidRDefault="00BC2F30" w:rsidP="00867948">
      <w:pPr>
        <w:pStyle w:val="Heading3"/>
        <w:ind w:left="1134" w:hanging="567"/>
        <w:rPr>
          <w:rFonts w:ascii="Arial" w:hAnsi="Arial" w:cs="Arial"/>
          <w:bCs/>
          <w:i/>
          <w:iCs/>
          <w:color w:val="000000" w:themeColor="text1"/>
          <w:lang w:val="en-NZ"/>
        </w:rPr>
      </w:pPr>
    </w:p>
    <w:p w14:paraId="2A0392A5" w14:textId="56DE9278" w:rsidR="006B33D8" w:rsidRDefault="00E80879" w:rsidP="00221258">
      <w:pPr>
        <w:pStyle w:val="ListParagraph"/>
        <w:numPr>
          <w:ilvl w:val="0"/>
          <w:numId w:val="32"/>
        </w:numPr>
        <w:ind w:left="1134" w:hanging="567"/>
        <w:rPr>
          <w:rFonts w:ascii="Arial" w:hAnsi="Arial" w:cs="Arial"/>
          <w:sz w:val="24"/>
          <w:szCs w:val="24"/>
        </w:rPr>
      </w:pPr>
      <w:r>
        <w:rPr>
          <w:rFonts w:ascii="Arial" w:hAnsi="Arial" w:cs="Arial"/>
          <w:sz w:val="24"/>
          <w:szCs w:val="24"/>
        </w:rPr>
        <w:t xml:space="preserve">Some cases </w:t>
      </w:r>
      <w:r w:rsidR="00415270">
        <w:rPr>
          <w:rFonts w:ascii="Arial" w:hAnsi="Arial" w:cs="Arial"/>
          <w:sz w:val="24"/>
          <w:szCs w:val="24"/>
        </w:rPr>
        <w:t xml:space="preserve">involving psychiatric care settings </w:t>
      </w:r>
      <w:r>
        <w:rPr>
          <w:rFonts w:ascii="Arial" w:hAnsi="Arial" w:cs="Arial"/>
          <w:sz w:val="24"/>
          <w:szCs w:val="24"/>
        </w:rPr>
        <w:t xml:space="preserve">have </w:t>
      </w:r>
      <w:r w:rsidR="001D225C">
        <w:rPr>
          <w:rFonts w:ascii="Arial" w:hAnsi="Arial" w:cs="Arial"/>
          <w:sz w:val="24"/>
          <w:szCs w:val="24"/>
        </w:rPr>
        <w:t xml:space="preserve">involved </w:t>
      </w:r>
      <w:r w:rsidR="00B462EF" w:rsidRPr="0078067B">
        <w:rPr>
          <w:rFonts w:ascii="Arial" w:hAnsi="Arial" w:cs="Arial"/>
          <w:sz w:val="24"/>
          <w:szCs w:val="24"/>
        </w:rPr>
        <w:t xml:space="preserve">additional </w:t>
      </w:r>
      <w:r w:rsidR="00415270">
        <w:rPr>
          <w:rFonts w:ascii="Arial" w:hAnsi="Arial" w:cs="Arial"/>
          <w:sz w:val="24"/>
          <w:szCs w:val="24"/>
        </w:rPr>
        <w:t xml:space="preserve">statutory </w:t>
      </w:r>
      <w:r w:rsidR="00EA4C42">
        <w:rPr>
          <w:rFonts w:ascii="Arial" w:hAnsi="Arial" w:cs="Arial"/>
          <w:sz w:val="24"/>
          <w:szCs w:val="24"/>
        </w:rPr>
        <w:t>hurdles</w:t>
      </w:r>
      <w:r w:rsidR="00B462EF" w:rsidRPr="0078067B">
        <w:rPr>
          <w:rFonts w:ascii="Arial" w:hAnsi="Arial" w:cs="Arial"/>
          <w:sz w:val="24"/>
          <w:szCs w:val="24"/>
        </w:rPr>
        <w:t xml:space="preserve">, </w:t>
      </w:r>
      <w:r w:rsidR="00221258">
        <w:rPr>
          <w:rFonts w:ascii="Arial" w:hAnsi="Arial" w:cs="Arial"/>
          <w:sz w:val="24"/>
          <w:szCs w:val="24"/>
        </w:rPr>
        <w:t xml:space="preserve">due to </w:t>
      </w:r>
      <w:r w:rsidR="00B462EF" w:rsidRPr="0078067B">
        <w:rPr>
          <w:rFonts w:ascii="Arial" w:hAnsi="Arial" w:cs="Arial"/>
          <w:sz w:val="24"/>
          <w:szCs w:val="24"/>
        </w:rPr>
        <w:t xml:space="preserve">immunity </w:t>
      </w:r>
      <w:r w:rsidR="00221258">
        <w:rPr>
          <w:rFonts w:ascii="Arial" w:hAnsi="Arial" w:cs="Arial"/>
          <w:sz w:val="24"/>
          <w:szCs w:val="24"/>
        </w:rPr>
        <w:t xml:space="preserve">provisions </w:t>
      </w:r>
      <w:r w:rsidR="00B462EF" w:rsidRPr="0078067B">
        <w:rPr>
          <w:rFonts w:ascii="Arial" w:hAnsi="Arial" w:cs="Arial"/>
          <w:sz w:val="24"/>
          <w:szCs w:val="24"/>
        </w:rPr>
        <w:t xml:space="preserve">and leave requirements under the Mental Health Acts applicable through the </w:t>
      </w:r>
      <w:r w:rsidR="00751C72">
        <w:rPr>
          <w:rFonts w:ascii="Arial" w:hAnsi="Arial" w:cs="Arial"/>
          <w:sz w:val="24"/>
          <w:szCs w:val="24"/>
        </w:rPr>
        <w:t>19</w:t>
      </w:r>
      <w:r w:rsidR="00B462EF" w:rsidRPr="0078067B">
        <w:rPr>
          <w:rFonts w:ascii="Arial" w:hAnsi="Arial" w:cs="Arial"/>
          <w:sz w:val="24"/>
          <w:szCs w:val="24"/>
        </w:rPr>
        <w:t xml:space="preserve">60s and early </w:t>
      </w:r>
      <w:r w:rsidR="00751C72">
        <w:rPr>
          <w:rFonts w:ascii="Arial" w:hAnsi="Arial" w:cs="Arial"/>
          <w:sz w:val="24"/>
          <w:szCs w:val="24"/>
        </w:rPr>
        <w:t>19</w:t>
      </w:r>
      <w:r w:rsidR="00B462EF" w:rsidRPr="0078067B">
        <w:rPr>
          <w:rFonts w:ascii="Arial" w:hAnsi="Arial" w:cs="Arial"/>
          <w:sz w:val="24"/>
          <w:szCs w:val="24"/>
        </w:rPr>
        <w:t xml:space="preserve">70s. </w:t>
      </w:r>
    </w:p>
    <w:p w14:paraId="14FF2416" w14:textId="77777777" w:rsidR="006B33D8" w:rsidRDefault="006B33D8" w:rsidP="0078067B">
      <w:pPr>
        <w:pStyle w:val="ListParagraph"/>
        <w:ind w:left="1134"/>
        <w:rPr>
          <w:rFonts w:ascii="Arial" w:hAnsi="Arial" w:cs="Arial"/>
          <w:sz w:val="24"/>
          <w:szCs w:val="24"/>
        </w:rPr>
      </w:pPr>
    </w:p>
    <w:p w14:paraId="7068E8E5" w14:textId="3EB4B817" w:rsidR="00B462EF" w:rsidRDefault="00B462EF" w:rsidP="00221258">
      <w:pPr>
        <w:pStyle w:val="ListParagraph"/>
        <w:numPr>
          <w:ilvl w:val="0"/>
          <w:numId w:val="32"/>
        </w:numPr>
        <w:ind w:left="1134" w:hanging="567"/>
        <w:rPr>
          <w:rFonts w:ascii="Arial" w:hAnsi="Arial" w:cs="Arial"/>
          <w:sz w:val="24"/>
          <w:szCs w:val="24"/>
        </w:rPr>
      </w:pPr>
      <w:r w:rsidRPr="0078067B">
        <w:rPr>
          <w:rFonts w:ascii="Arial" w:hAnsi="Arial" w:cs="Arial"/>
          <w:sz w:val="24"/>
          <w:szCs w:val="24"/>
        </w:rPr>
        <w:t xml:space="preserve">In particular, </w:t>
      </w:r>
      <w:r w:rsidR="00206436">
        <w:rPr>
          <w:rFonts w:ascii="Arial" w:hAnsi="Arial" w:cs="Arial"/>
          <w:sz w:val="24"/>
          <w:szCs w:val="24"/>
        </w:rPr>
        <w:t xml:space="preserve">s 6 of the </w:t>
      </w:r>
      <w:r w:rsidRPr="0078067B">
        <w:rPr>
          <w:rFonts w:ascii="Arial" w:hAnsi="Arial" w:cs="Arial"/>
          <w:sz w:val="24"/>
          <w:szCs w:val="24"/>
        </w:rPr>
        <w:t xml:space="preserve">Mental Health </w:t>
      </w:r>
      <w:r w:rsidR="00206436">
        <w:rPr>
          <w:rFonts w:ascii="Arial" w:hAnsi="Arial" w:cs="Arial"/>
          <w:sz w:val="24"/>
          <w:szCs w:val="24"/>
        </w:rPr>
        <w:t xml:space="preserve">Amendment </w:t>
      </w:r>
      <w:r w:rsidRPr="0078067B">
        <w:rPr>
          <w:rFonts w:ascii="Arial" w:hAnsi="Arial" w:cs="Arial"/>
          <w:sz w:val="24"/>
          <w:szCs w:val="24"/>
        </w:rPr>
        <w:t>Act</w:t>
      </w:r>
      <w:r w:rsidR="00206436">
        <w:rPr>
          <w:rFonts w:ascii="Arial" w:hAnsi="Arial" w:cs="Arial"/>
          <w:sz w:val="24"/>
          <w:szCs w:val="24"/>
        </w:rPr>
        <w:t xml:space="preserve"> 1935, and s 124 of the Mental Health Act 1969</w:t>
      </w:r>
      <w:r w:rsidR="009264DB">
        <w:rPr>
          <w:rFonts w:ascii="Arial" w:hAnsi="Arial" w:cs="Arial"/>
          <w:sz w:val="24"/>
          <w:szCs w:val="24"/>
        </w:rPr>
        <w:t xml:space="preserve"> provided immunity for “any person who does any act in </w:t>
      </w:r>
      <w:r w:rsidR="009264DB" w:rsidRPr="0078067B">
        <w:rPr>
          <w:rFonts w:ascii="Arial" w:hAnsi="Arial" w:cs="Arial"/>
          <w:i/>
          <w:iCs/>
          <w:sz w:val="24"/>
          <w:szCs w:val="24"/>
        </w:rPr>
        <w:t>pursuance or intended</w:t>
      </w:r>
      <w:r w:rsidR="009264DB">
        <w:rPr>
          <w:rFonts w:ascii="Arial" w:hAnsi="Arial" w:cs="Arial"/>
          <w:i/>
          <w:iCs/>
          <w:sz w:val="24"/>
          <w:szCs w:val="24"/>
        </w:rPr>
        <w:t xml:space="preserve"> pursuance of any of the provisions of this Act</w:t>
      </w:r>
      <w:r w:rsidR="009F0AA0">
        <w:rPr>
          <w:rFonts w:ascii="Arial" w:hAnsi="Arial" w:cs="Arial"/>
          <w:i/>
          <w:iCs/>
          <w:sz w:val="24"/>
          <w:szCs w:val="24"/>
        </w:rPr>
        <w:t>,</w:t>
      </w:r>
      <w:r w:rsidR="009F0AA0">
        <w:rPr>
          <w:rFonts w:ascii="Arial" w:hAnsi="Arial" w:cs="Arial"/>
          <w:sz w:val="24"/>
          <w:szCs w:val="24"/>
        </w:rPr>
        <w:t>…unless the person has acted in bad faith or without reasonable care.”</w:t>
      </w:r>
      <w:r w:rsidR="00714ED3">
        <w:rPr>
          <w:rFonts w:ascii="Arial" w:hAnsi="Arial" w:cs="Arial"/>
          <w:sz w:val="24"/>
          <w:szCs w:val="24"/>
        </w:rPr>
        <w:t xml:space="preserve"> Proceedings for acts in pursuance or intended pursuance of the provisions of the Act required leave of a judge</w:t>
      </w:r>
      <w:r w:rsidR="00C932E1">
        <w:rPr>
          <w:rFonts w:ascii="Arial" w:hAnsi="Arial" w:cs="Arial"/>
          <w:sz w:val="24"/>
          <w:szCs w:val="24"/>
        </w:rPr>
        <w:t xml:space="preserve">, which could only be granted if the proceedings were brought within 6 months of the relevant act, and only if the judge is satisfied there was a substantial ground for the contention that the person acted in bad faith or without reasonable care. </w:t>
      </w:r>
    </w:p>
    <w:p w14:paraId="3638A995" w14:textId="77777777" w:rsidR="006B33D8" w:rsidRDefault="006B33D8" w:rsidP="0078067B">
      <w:pPr>
        <w:pStyle w:val="ListParagraph"/>
        <w:ind w:left="1134"/>
        <w:rPr>
          <w:rFonts w:ascii="Arial" w:hAnsi="Arial" w:cs="Arial"/>
          <w:sz w:val="24"/>
          <w:szCs w:val="24"/>
        </w:rPr>
      </w:pPr>
    </w:p>
    <w:p w14:paraId="670022C2" w14:textId="0DED12B6" w:rsidR="00FF16CB" w:rsidRPr="0078067B" w:rsidRDefault="006955DA" w:rsidP="00BB5626">
      <w:pPr>
        <w:pStyle w:val="ListParagraph"/>
        <w:numPr>
          <w:ilvl w:val="0"/>
          <w:numId w:val="32"/>
        </w:numPr>
        <w:ind w:left="1134" w:hanging="567"/>
        <w:rPr>
          <w:rFonts w:ascii="Arial" w:hAnsi="Arial" w:cs="Arial"/>
          <w:sz w:val="24"/>
          <w:szCs w:val="24"/>
        </w:rPr>
      </w:pPr>
      <w:r>
        <w:rPr>
          <w:rFonts w:ascii="Arial" w:hAnsi="Arial" w:cs="Arial"/>
          <w:sz w:val="24"/>
          <w:szCs w:val="24"/>
        </w:rPr>
        <w:t>The issue of w</w:t>
      </w:r>
      <w:r w:rsidR="00CD2A14">
        <w:rPr>
          <w:rFonts w:ascii="Arial" w:hAnsi="Arial" w:cs="Arial"/>
          <w:sz w:val="24"/>
          <w:szCs w:val="24"/>
        </w:rPr>
        <w:t>hether this immunity</w:t>
      </w:r>
      <w:r w:rsidR="0072575F">
        <w:rPr>
          <w:rFonts w:ascii="Arial" w:hAnsi="Arial" w:cs="Arial"/>
          <w:sz w:val="24"/>
          <w:szCs w:val="24"/>
        </w:rPr>
        <w:t xml:space="preserve"> and limitation could</w:t>
      </w:r>
      <w:r w:rsidR="00CD2A14">
        <w:rPr>
          <w:rFonts w:ascii="Arial" w:hAnsi="Arial" w:cs="Arial"/>
          <w:sz w:val="24"/>
          <w:szCs w:val="24"/>
        </w:rPr>
        <w:t xml:space="preserve"> apply to acts of alleged abuse </w:t>
      </w:r>
      <w:r>
        <w:rPr>
          <w:rFonts w:ascii="Arial" w:hAnsi="Arial" w:cs="Arial"/>
          <w:sz w:val="24"/>
          <w:szCs w:val="24"/>
        </w:rPr>
        <w:t xml:space="preserve">arose in </w:t>
      </w:r>
      <w:r>
        <w:rPr>
          <w:rFonts w:ascii="Arial" w:hAnsi="Arial" w:cs="Arial"/>
          <w:i/>
          <w:iCs/>
          <w:sz w:val="24"/>
          <w:szCs w:val="24"/>
        </w:rPr>
        <w:t xml:space="preserve">J v Crown Health Financing Agency </w:t>
      </w:r>
      <w:r>
        <w:rPr>
          <w:rFonts w:ascii="Arial" w:hAnsi="Arial" w:cs="Arial"/>
          <w:sz w:val="24"/>
          <w:szCs w:val="24"/>
        </w:rPr>
        <w:t xml:space="preserve">(Wellington HC, </w:t>
      </w:r>
      <w:r w:rsidRPr="00910BB3">
        <w:rPr>
          <w:rFonts w:ascii="Arial" w:hAnsi="Arial" w:cs="Arial"/>
          <w:sz w:val="24"/>
          <w:szCs w:val="24"/>
          <w:lang w:val="en-US"/>
        </w:rPr>
        <w:t>CIV-2000-485-876, 8 February 2008</w:t>
      </w:r>
      <w:r>
        <w:rPr>
          <w:rFonts w:ascii="Arial" w:hAnsi="Arial" w:cs="Arial"/>
          <w:sz w:val="24"/>
          <w:szCs w:val="24"/>
          <w:lang w:val="en-US"/>
        </w:rPr>
        <w:t xml:space="preserve">), which involved a claim that, amongst other things, the claimant had been given insulin treatment, and been subject to </w:t>
      </w:r>
      <w:r w:rsidR="00193039">
        <w:rPr>
          <w:rFonts w:ascii="Arial" w:hAnsi="Arial" w:cs="Arial"/>
          <w:sz w:val="24"/>
          <w:szCs w:val="24"/>
          <w:lang w:val="en-US"/>
        </w:rPr>
        <w:t>electroconvulsive therapy (</w:t>
      </w:r>
      <w:r w:rsidRPr="00193039">
        <w:rPr>
          <w:rFonts w:ascii="Arial" w:hAnsi="Arial" w:cs="Arial"/>
          <w:b/>
          <w:bCs/>
          <w:sz w:val="24"/>
          <w:szCs w:val="24"/>
          <w:lang w:val="en-US"/>
        </w:rPr>
        <w:t>ECT</w:t>
      </w:r>
      <w:r w:rsidR="00193039">
        <w:rPr>
          <w:rFonts w:ascii="Arial" w:hAnsi="Arial" w:cs="Arial"/>
          <w:sz w:val="24"/>
          <w:szCs w:val="24"/>
          <w:lang w:val="en-US"/>
        </w:rPr>
        <w:t>)</w:t>
      </w:r>
      <w:r>
        <w:rPr>
          <w:rFonts w:ascii="Arial" w:hAnsi="Arial" w:cs="Arial"/>
          <w:sz w:val="24"/>
          <w:szCs w:val="24"/>
          <w:lang w:val="en-US"/>
        </w:rPr>
        <w:t xml:space="preserve"> and seclusion as punishment whilst a patient in a psychiatric institution in the 1950s and 1960s. The action failed due to the Limitation Act, but the judge made obiter comments that the acts would come within the immunity if they were for the purpose of treatment, care and control done in good faith and without lack of care. However, if they were done or threatened as punishment, then it would be outside the available immunity. He accepted that immunity could not possibly exist for sexual assaults or gratuitous physical assaults, and added that it would not exist where punishment was the motive.</w:t>
      </w:r>
    </w:p>
    <w:p w14:paraId="0B425442" w14:textId="77777777" w:rsidR="00FF16CB" w:rsidRPr="0078067B" w:rsidRDefault="00FF16CB" w:rsidP="0078067B">
      <w:pPr>
        <w:pStyle w:val="ListParagraph"/>
        <w:rPr>
          <w:rFonts w:ascii="Arial" w:hAnsi="Arial" w:cs="Arial"/>
          <w:sz w:val="24"/>
          <w:szCs w:val="24"/>
        </w:rPr>
      </w:pPr>
    </w:p>
    <w:p w14:paraId="28AFFF17" w14:textId="4FE17B3D" w:rsidR="001A0D28" w:rsidRDefault="00BB5626" w:rsidP="0049636F">
      <w:pPr>
        <w:pStyle w:val="ListParagraph"/>
        <w:numPr>
          <w:ilvl w:val="0"/>
          <w:numId w:val="32"/>
        </w:numPr>
        <w:ind w:left="1134" w:hanging="567"/>
        <w:rPr>
          <w:rFonts w:ascii="Arial" w:hAnsi="Arial" w:cs="Arial"/>
          <w:sz w:val="24"/>
          <w:szCs w:val="24"/>
        </w:rPr>
      </w:pPr>
      <w:r>
        <w:rPr>
          <w:rFonts w:ascii="Arial" w:hAnsi="Arial" w:cs="Arial"/>
          <w:sz w:val="24"/>
          <w:szCs w:val="24"/>
        </w:rPr>
        <w:t xml:space="preserve">Later a test case </w:t>
      </w:r>
      <w:r w:rsidR="000356B7">
        <w:rPr>
          <w:rFonts w:ascii="Arial" w:hAnsi="Arial" w:cs="Arial"/>
          <w:sz w:val="24"/>
          <w:szCs w:val="24"/>
        </w:rPr>
        <w:t xml:space="preserve">regarding the applicability of the immunity </w:t>
      </w:r>
      <w:r>
        <w:rPr>
          <w:rFonts w:ascii="Arial" w:hAnsi="Arial" w:cs="Arial"/>
          <w:sz w:val="24"/>
          <w:szCs w:val="24"/>
        </w:rPr>
        <w:t xml:space="preserve">was brought by </w:t>
      </w:r>
      <w:r w:rsidR="00C00383">
        <w:rPr>
          <w:rFonts w:ascii="Arial" w:hAnsi="Arial" w:cs="Arial"/>
          <w:sz w:val="24"/>
          <w:szCs w:val="24"/>
        </w:rPr>
        <w:t xml:space="preserve">patients of Lake Alice and Porirua hospitals in </w:t>
      </w:r>
      <w:r w:rsidR="00C00383">
        <w:rPr>
          <w:rFonts w:ascii="Arial" w:hAnsi="Arial" w:cs="Arial"/>
          <w:i/>
          <w:iCs/>
          <w:sz w:val="24"/>
          <w:szCs w:val="24"/>
        </w:rPr>
        <w:t>C</w:t>
      </w:r>
      <w:r>
        <w:rPr>
          <w:rFonts w:ascii="Arial" w:hAnsi="Arial" w:cs="Arial"/>
          <w:i/>
          <w:iCs/>
          <w:sz w:val="24"/>
          <w:szCs w:val="24"/>
        </w:rPr>
        <w:t xml:space="preserve">rown </w:t>
      </w:r>
      <w:r w:rsidR="00C00383">
        <w:rPr>
          <w:rFonts w:ascii="Arial" w:hAnsi="Arial" w:cs="Arial"/>
          <w:i/>
          <w:iCs/>
          <w:sz w:val="24"/>
          <w:szCs w:val="24"/>
        </w:rPr>
        <w:t>H</w:t>
      </w:r>
      <w:r>
        <w:rPr>
          <w:rFonts w:ascii="Arial" w:hAnsi="Arial" w:cs="Arial"/>
          <w:i/>
          <w:iCs/>
          <w:sz w:val="24"/>
          <w:szCs w:val="24"/>
        </w:rPr>
        <w:t xml:space="preserve">ealth </w:t>
      </w:r>
      <w:r w:rsidR="00C00383">
        <w:rPr>
          <w:rFonts w:ascii="Arial" w:hAnsi="Arial" w:cs="Arial"/>
          <w:i/>
          <w:iCs/>
          <w:sz w:val="24"/>
          <w:szCs w:val="24"/>
        </w:rPr>
        <w:t>F</w:t>
      </w:r>
      <w:r>
        <w:rPr>
          <w:rFonts w:ascii="Arial" w:hAnsi="Arial" w:cs="Arial"/>
          <w:i/>
          <w:iCs/>
          <w:sz w:val="24"/>
          <w:szCs w:val="24"/>
        </w:rPr>
        <w:t xml:space="preserve">inancing </w:t>
      </w:r>
      <w:r w:rsidR="00C00383">
        <w:rPr>
          <w:rFonts w:ascii="Arial" w:hAnsi="Arial" w:cs="Arial"/>
          <w:i/>
          <w:iCs/>
          <w:sz w:val="24"/>
          <w:szCs w:val="24"/>
        </w:rPr>
        <w:t>A</w:t>
      </w:r>
      <w:r>
        <w:rPr>
          <w:rFonts w:ascii="Arial" w:hAnsi="Arial" w:cs="Arial"/>
          <w:i/>
          <w:iCs/>
          <w:sz w:val="24"/>
          <w:szCs w:val="24"/>
        </w:rPr>
        <w:t>gency</w:t>
      </w:r>
      <w:r w:rsidR="00C00383">
        <w:rPr>
          <w:rFonts w:ascii="Arial" w:hAnsi="Arial" w:cs="Arial"/>
          <w:i/>
          <w:iCs/>
          <w:sz w:val="24"/>
          <w:szCs w:val="24"/>
        </w:rPr>
        <w:t xml:space="preserve"> v P</w:t>
      </w:r>
      <w:r w:rsidR="00232B72">
        <w:rPr>
          <w:rFonts w:ascii="Arial" w:hAnsi="Arial" w:cs="Arial"/>
          <w:i/>
          <w:iCs/>
          <w:sz w:val="24"/>
          <w:szCs w:val="24"/>
        </w:rPr>
        <w:t xml:space="preserve"> </w:t>
      </w:r>
      <w:r w:rsidR="00232B72">
        <w:rPr>
          <w:rFonts w:ascii="Arial" w:hAnsi="Arial" w:cs="Arial"/>
          <w:sz w:val="24"/>
          <w:szCs w:val="24"/>
        </w:rPr>
        <w:t xml:space="preserve">[2009] 2 NZLR 149 (CA); and </w:t>
      </w:r>
      <w:r w:rsidR="00232B72">
        <w:rPr>
          <w:rFonts w:ascii="Arial" w:hAnsi="Arial" w:cs="Arial"/>
          <w:i/>
          <w:iCs/>
          <w:sz w:val="24"/>
          <w:szCs w:val="24"/>
        </w:rPr>
        <w:t>B v C</w:t>
      </w:r>
      <w:r>
        <w:rPr>
          <w:rFonts w:ascii="Arial" w:hAnsi="Arial" w:cs="Arial"/>
          <w:i/>
          <w:iCs/>
          <w:sz w:val="24"/>
          <w:szCs w:val="24"/>
        </w:rPr>
        <w:t xml:space="preserve">rown </w:t>
      </w:r>
      <w:r w:rsidR="00232B72">
        <w:rPr>
          <w:rFonts w:ascii="Arial" w:hAnsi="Arial" w:cs="Arial"/>
          <w:i/>
          <w:iCs/>
          <w:sz w:val="24"/>
          <w:szCs w:val="24"/>
        </w:rPr>
        <w:t>H</w:t>
      </w:r>
      <w:r>
        <w:rPr>
          <w:rFonts w:ascii="Arial" w:hAnsi="Arial" w:cs="Arial"/>
          <w:i/>
          <w:iCs/>
          <w:sz w:val="24"/>
          <w:szCs w:val="24"/>
        </w:rPr>
        <w:t xml:space="preserve">ealth </w:t>
      </w:r>
      <w:r w:rsidR="00232B72">
        <w:rPr>
          <w:rFonts w:ascii="Arial" w:hAnsi="Arial" w:cs="Arial"/>
          <w:i/>
          <w:iCs/>
          <w:sz w:val="24"/>
          <w:szCs w:val="24"/>
        </w:rPr>
        <w:t>F</w:t>
      </w:r>
      <w:r>
        <w:rPr>
          <w:rFonts w:ascii="Arial" w:hAnsi="Arial" w:cs="Arial"/>
          <w:i/>
          <w:iCs/>
          <w:sz w:val="24"/>
          <w:szCs w:val="24"/>
        </w:rPr>
        <w:t xml:space="preserve">inancing </w:t>
      </w:r>
      <w:r w:rsidR="00232B72">
        <w:rPr>
          <w:rFonts w:ascii="Arial" w:hAnsi="Arial" w:cs="Arial"/>
          <w:i/>
          <w:iCs/>
          <w:sz w:val="24"/>
          <w:szCs w:val="24"/>
        </w:rPr>
        <w:t>A</w:t>
      </w:r>
      <w:r>
        <w:rPr>
          <w:rFonts w:ascii="Arial" w:hAnsi="Arial" w:cs="Arial"/>
          <w:i/>
          <w:iCs/>
          <w:sz w:val="24"/>
          <w:szCs w:val="24"/>
        </w:rPr>
        <w:t>gency</w:t>
      </w:r>
      <w:r w:rsidR="00232B72">
        <w:rPr>
          <w:rFonts w:ascii="Arial" w:hAnsi="Arial" w:cs="Arial"/>
          <w:i/>
          <w:iCs/>
          <w:sz w:val="24"/>
          <w:szCs w:val="24"/>
        </w:rPr>
        <w:t xml:space="preserve"> </w:t>
      </w:r>
      <w:r w:rsidR="00232B72">
        <w:rPr>
          <w:rFonts w:ascii="Arial" w:hAnsi="Arial" w:cs="Arial"/>
          <w:sz w:val="24"/>
          <w:szCs w:val="24"/>
        </w:rPr>
        <w:t xml:space="preserve">[2010] 1 NZLR </w:t>
      </w:r>
      <w:r w:rsidR="00BC6DBA">
        <w:rPr>
          <w:rFonts w:ascii="Arial" w:hAnsi="Arial" w:cs="Arial"/>
          <w:sz w:val="24"/>
          <w:szCs w:val="24"/>
        </w:rPr>
        <w:t xml:space="preserve">338 (SC). </w:t>
      </w:r>
      <w:r w:rsidR="00485C5A">
        <w:rPr>
          <w:rFonts w:ascii="Arial" w:hAnsi="Arial" w:cs="Arial"/>
          <w:sz w:val="24"/>
          <w:szCs w:val="24"/>
        </w:rPr>
        <w:t xml:space="preserve">The </w:t>
      </w:r>
      <w:r w:rsidR="007909EA">
        <w:rPr>
          <w:rFonts w:ascii="Arial" w:hAnsi="Arial" w:cs="Arial"/>
          <w:sz w:val="24"/>
          <w:szCs w:val="24"/>
        </w:rPr>
        <w:t xml:space="preserve">plaintiffs claimed they had been subject to </w:t>
      </w:r>
      <w:r w:rsidR="00485C5A">
        <w:rPr>
          <w:rFonts w:ascii="Arial" w:hAnsi="Arial" w:cs="Arial"/>
          <w:sz w:val="24"/>
          <w:szCs w:val="24"/>
        </w:rPr>
        <w:t xml:space="preserve">physical assaults, sexual abuse, inappropriate use of ECT as punishment, solitary confinement and other mistreatment, while they were psychiatric patients in the 1970s. </w:t>
      </w:r>
      <w:r w:rsidR="000F71E1">
        <w:rPr>
          <w:rFonts w:ascii="Arial" w:hAnsi="Arial" w:cs="Arial"/>
          <w:sz w:val="24"/>
          <w:szCs w:val="24"/>
        </w:rPr>
        <w:t>The case was understood to be a test case</w:t>
      </w:r>
      <w:r w:rsidR="000F7920">
        <w:rPr>
          <w:rFonts w:ascii="Arial" w:hAnsi="Arial" w:cs="Arial"/>
          <w:sz w:val="24"/>
          <w:szCs w:val="24"/>
        </w:rPr>
        <w:t xml:space="preserve"> for the approximately 280 other </w:t>
      </w:r>
      <w:r w:rsidR="008A4494">
        <w:rPr>
          <w:rFonts w:ascii="Arial" w:hAnsi="Arial" w:cs="Arial"/>
          <w:sz w:val="24"/>
          <w:szCs w:val="24"/>
        </w:rPr>
        <w:t xml:space="preserve">claimants in a similar category. </w:t>
      </w:r>
    </w:p>
    <w:p w14:paraId="06848E58" w14:textId="77777777" w:rsidR="0049636F" w:rsidRPr="0078067B" w:rsidRDefault="0049636F" w:rsidP="0078067B">
      <w:pPr>
        <w:pStyle w:val="ListParagraph"/>
        <w:rPr>
          <w:rFonts w:ascii="Arial" w:hAnsi="Arial" w:cs="Arial"/>
          <w:sz w:val="24"/>
          <w:szCs w:val="24"/>
        </w:rPr>
      </w:pPr>
    </w:p>
    <w:p w14:paraId="782D5AC2" w14:textId="3BA160B1" w:rsidR="00FA248C" w:rsidRPr="0078067B" w:rsidRDefault="00C55055" w:rsidP="0078067B">
      <w:pPr>
        <w:pStyle w:val="ListParagraph"/>
        <w:numPr>
          <w:ilvl w:val="0"/>
          <w:numId w:val="32"/>
        </w:numPr>
        <w:ind w:left="1134" w:hanging="567"/>
        <w:rPr>
          <w:rFonts w:ascii="Arial" w:hAnsi="Arial" w:cs="Arial"/>
        </w:rPr>
      </w:pPr>
      <w:r>
        <w:rPr>
          <w:rFonts w:ascii="Arial" w:hAnsi="Arial" w:cs="Arial"/>
          <w:sz w:val="24"/>
          <w:szCs w:val="24"/>
        </w:rPr>
        <w:t xml:space="preserve">The Court of Appeal held that acts </w:t>
      </w:r>
      <w:r w:rsidR="00714F6C">
        <w:rPr>
          <w:rFonts w:ascii="Arial" w:hAnsi="Arial" w:cs="Arial"/>
          <w:sz w:val="24"/>
          <w:szCs w:val="24"/>
        </w:rPr>
        <w:t>“</w:t>
      </w:r>
      <w:r>
        <w:rPr>
          <w:rFonts w:ascii="Arial" w:hAnsi="Arial" w:cs="Arial"/>
          <w:sz w:val="24"/>
          <w:szCs w:val="24"/>
        </w:rPr>
        <w:t>in pursuance</w:t>
      </w:r>
      <w:r w:rsidR="00714F6C">
        <w:rPr>
          <w:rFonts w:ascii="Arial" w:hAnsi="Arial" w:cs="Arial"/>
          <w:sz w:val="24"/>
          <w:szCs w:val="24"/>
        </w:rPr>
        <w:t>”</w:t>
      </w:r>
      <w:r>
        <w:rPr>
          <w:rFonts w:ascii="Arial" w:hAnsi="Arial" w:cs="Arial"/>
          <w:sz w:val="24"/>
          <w:szCs w:val="24"/>
        </w:rPr>
        <w:t xml:space="preserve"> of the </w:t>
      </w:r>
      <w:r w:rsidR="00193039">
        <w:rPr>
          <w:rFonts w:ascii="Arial" w:hAnsi="Arial" w:cs="Arial"/>
          <w:sz w:val="24"/>
          <w:szCs w:val="24"/>
        </w:rPr>
        <w:t xml:space="preserve">Mental Health </w:t>
      </w:r>
      <w:r>
        <w:rPr>
          <w:rFonts w:ascii="Arial" w:hAnsi="Arial" w:cs="Arial"/>
          <w:sz w:val="24"/>
          <w:szCs w:val="24"/>
        </w:rPr>
        <w:t>Act included acts incidental to the care and treatment of patients, including issues of control of patients or protection of others</w:t>
      </w:r>
      <w:r w:rsidR="00496F7E">
        <w:rPr>
          <w:rFonts w:ascii="Arial" w:hAnsi="Arial" w:cs="Arial"/>
          <w:sz w:val="24"/>
          <w:szCs w:val="24"/>
        </w:rPr>
        <w:t>, while</w:t>
      </w:r>
      <w:r w:rsidR="003A61ED">
        <w:rPr>
          <w:rFonts w:ascii="Arial" w:hAnsi="Arial" w:cs="Arial"/>
          <w:sz w:val="24"/>
          <w:szCs w:val="24"/>
        </w:rPr>
        <w:t xml:space="preserve"> </w:t>
      </w:r>
      <w:r w:rsidR="0062354E">
        <w:rPr>
          <w:rFonts w:ascii="Arial" w:hAnsi="Arial" w:cs="Arial"/>
          <w:sz w:val="24"/>
          <w:szCs w:val="24"/>
        </w:rPr>
        <w:t>“</w:t>
      </w:r>
      <w:r w:rsidR="00496F7E">
        <w:rPr>
          <w:rFonts w:ascii="Arial" w:hAnsi="Arial" w:cs="Arial"/>
          <w:sz w:val="24"/>
          <w:szCs w:val="24"/>
        </w:rPr>
        <w:t>i</w:t>
      </w:r>
      <w:r w:rsidR="003A61ED">
        <w:rPr>
          <w:rFonts w:ascii="Arial" w:hAnsi="Arial" w:cs="Arial"/>
          <w:sz w:val="24"/>
          <w:szCs w:val="24"/>
        </w:rPr>
        <w:t>ntended pursuance</w:t>
      </w:r>
      <w:r w:rsidR="0062354E">
        <w:rPr>
          <w:rFonts w:ascii="Arial" w:hAnsi="Arial" w:cs="Arial"/>
          <w:sz w:val="24"/>
          <w:szCs w:val="24"/>
        </w:rPr>
        <w:t>”</w:t>
      </w:r>
      <w:r w:rsidR="003A61ED">
        <w:rPr>
          <w:rFonts w:ascii="Arial" w:hAnsi="Arial" w:cs="Arial"/>
          <w:sz w:val="24"/>
          <w:szCs w:val="24"/>
        </w:rPr>
        <w:t xml:space="preserve"> </w:t>
      </w:r>
      <w:r w:rsidR="008115AC">
        <w:rPr>
          <w:rFonts w:ascii="Arial" w:hAnsi="Arial" w:cs="Arial"/>
          <w:sz w:val="24"/>
          <w:szCs w:val="24"/>
        </w:rPr>
        <w:t>include</w:t>
      </w:r>
      <w:r w:rsidR="00496F7E">
        <w:rPr>
          <w:rFonts w:ascii="Arial" w:hAnsi="Arial" w:cs="Arial"/>
          <w:sz w:val="24"/>
          <w:szCs w:val="24"/>
        </w:rPr>
        <w:t>d</w:t>
      </w:r>
      <w:r w:rsidR="008115AC">
        <w:rPr>
          <w:rFonts w:ascii="Arial" w:hAnsi="Arial" w:cs="Arial"/>
          <w:sz w:val="24"/>
          <w:szCs w:val="24"/>
        </w:rPr>
        <w:t xml:space="preserve"> acts that are honestly, even if mistakenly, done </w:t>
      </w:r>
      <w:r w:rsidR="00575139">
        <w:rPr>
          <w:rFonts w:ascii="Arial" w:hAnsi="Arial" w:cs="Arial"/>
          <w:sz w:val="24"/>
          <w:szCs w:val="24"/>
        </w:rPr>
        <w:t xml:space="preserve">in </w:t>
      </w:r>
      <w:r w:rsidR="00575139">
        <w:rPr>
          <w:rFonts w:ascii="Arial" w:hAnsi="Arial" w:cs="Arial"/>
          <w:sz w:val="24"/>
          <w:szCs w:val="24"/>
        </w:rPr>
        <w:lastRenderedPageBreak/>
        <w:t>pursuance of the legislation</w:t>
      </w:r>
      <w:r w:rsidR="008115AC">
        <w:rPr>
          <w:rFonts w:ascii="Arial" w:hAnsi="Arial" w:cs="Arial"/>
          <w:sz w:val="24"/>
          <w:szCs w:val="24"/>
        </w:rPr>
        <w:t>.</w:t>
      </w:r>
      <w:r w:rsidR="00496F7E">
        <w:rPr>
          <w:rFonts w:ascii="Arial" w:hAnsi="Arial" w:cs="Arial"/>
          <w:sz w:val="24"/>
          <w:szCs w:val="24"/>
        </w:rPr>
        <w:t xml:space="preserve"> The Supreme Court upheld this, </w:t>
      </w:r>
      <w:r w:rsidR="00944BA2">
        <w:rPr>
          <w:rFonts w:ascii="Arial" w:hAnsi="Arial" w:cs="Arial"/>
          <w:sz w:val="24"/>
          <w:szCs w:val="24"/>
        </w:rPr>
        <w:t xml:space="preserve">and noted that the protection </w:t>
      </w:r>
      <w:r w:rsidR="007B5AA7">
        <w:rPr>
          <w:rFonts w:ascii="Arial" w:hAnsi="Arial" w:cs="Arial"/>
          <w:sz w:val="24"/>
          <w:szCs w:val="24"/>
        </w:rPr>
        <w:t xml:space="preserve">extended even where more force was used than reasonably necessary, provided that the </w:t>
      </w:r>
      <w:r w:rsidR="00D73EDD">
        <w:rPr>
          <w:rFonts w:ascii="Arial" w:hAnsi="Arial" w:cs="Arial"/>
          <w:sz w:val="24"/>
          <w:szCs w:val="24"/>
        </w:rPr>
        <w:t>officer was purporting to undertake an authorised act in good faith.</w:t>
      </w:r>
      <w:r w:rsidR="00E017AC">
        <w:rPr>
          <w:rFonts w:ascii="Arial" w:hAnsi="Arial" w:cs="Arial"/>
          <w:sz w:val="24"/>
          <w:szCs w:val="24"/>
        </w:rPr>
        <w:t xml:space="preserve"> The Court of Appeal noted that the court was required to </w:t>
      </w:r>
      <w:r w:rsidR="006401A1">
        <w:rPr>
          <w:rFonts w:ascii="Arial" w:hAnsi="Arial" w:cs="Arial"/>
          <w:sz w:val="24"/>
          <w:szCs w:val="24"/>
        </w:rPr>
        <w:t xml:space="preserve">ask </w:t>
      </w:r>
      <w:r w:rsidR="00E017AC">
        <w:rPr>
          <w:rFonts w:ascii="Arial" w:hAnsi="Arial" w:cs="Arial"/>
          <w:sz w:val="24"/>
          <w:szCs w:val="24"/>
        </w:rPr>
        <w:t xml:space="preserve">whether the acts </w:t>
      </w:r>
      <w:r w:rsidR="006401A1">
        <w:rPr>
          <w:rFonts w:ascii="Arial" w:hAnsi="Arial" w:cs="Arial"/>
          <w:sz w:val="24"/>
          <w:szCs w:val="24"/>
        </w:rPr>
        <w:t xml:space="preserve">in question were within the purpose of the legislation, or </w:t>
      </w:r>
      <w:r w:rsidR="00E017AC">
        <w:rPr>
          <w:rFonts w:ascii="Arial" w:hAnsi="Arial" w:cs="Arial"/>
          <w:sz w:val="24"/>
          <w:szCs w:val="24"/>
        </w:rPr>
        <w:t xml:space="preserve">hypothetically could honestly be done for the purpose – if so, the immunity would apply and leave would be required. </w:t>
      </w:r>
      <w:r w:rsidR="00FE24DD">
        <w:rPr>
          <w:rFonts w:ascii="Arial" w:hAnsi="Arial" w:cs="Arial"/>
          <w:sz w:val="24"/>
          <w:szCs w:val="24"/>
        </w:rPr>
        <w:t xml:space="preserve">Justice Glazebrook considered that sexual abuse, serious physical assaults or torture could not </w:t>
      </w:r>
      <w:r w:rsidR="00EB119A">
        <w:rPr>
          <w:rFonts w:ascii="Arial" w:hAnsi="Arial" w:cs="Arial"/>
          <w:sz w:val="24"/>
          <w:szCs w:val="24"/>
        </w:rPr>
        <w:t xml:space="preserve">be </w:t>
      </w:r>
      <w:r w:rsidR="00FE24DD">
        <w:rPr>
          <w:rFonts w:ascii="Arial" w:hAnsi="Arial" w:cs="Arial"/>
          <w:sz w:val="24"/>
          <w:szCs w:val="24"/>
        </w:rPr>
        <w:t xml:space="preserve">honestly </w:t>
      </w:r>
      <w:r w:rsidR="00EB119A">
        <w:rPr>
          <w:rFonts w:ascii="Arial" w:hAnsi="Arial" w:cs="Arial"/>
          <w:sz w:val="24"/>
          <w:szCs w:val="24"/>
        </w:rPr>
        <w:t xml:space="preserve">believed to be for the purpose of care, treatment or control of a patient. </w:t>
      </w:r>
      <w:r w:rsidR="00175BAD">
        <w:rPr>
          <w:rFonts w:ascii="Arial" w:hAnsi="Arial" w:cs="Arial"/>
          <w:sz w:val="24"/>
          <w:szCs w:val="24"/>
        </w:rPr>
        <w:t xml:space="preserve">She </w:t>
      </w:r>
      <w:r w:rsidR="007F4E2A">
        <w:rPr>
          <w:rFonts w:ascii="Arial" w:hAnsi="Arial" w:cs="Arial"/>
          <w:sz w:val="24"/>
          <w:szCs w:val="24"/>
        </w:rPr>
        <w:t xml:space="preserve">also </w:t>
      </w:r>
      <w:r w:rsidR="00175BAD">
        <w:rPr>
          <w:rFonts w:ascii="Arial" w:hAnsi="Arial" w:cs="Arial"/>
          <w:sz w:val="24"/>
          <w:szCs w:val="24"/>
        </w:rPr>
        <w:t>did</w:t>
      </w:r>
      <w:r w:rsidR="007F4E2A">
        <w:rPr>
          <w:rFonts w:ascii="Arial" w:hAnsi="Arial" w:cs="Arial"/>
          <w:sz w:val="24"/>
          <w:szCs w:val="24"/>
        </w:rPr>
        <w:t xml:space="preserve"> not consider that a person could ho</w:t>
      </w:r>
      <w:r w:rsidR="001340C9">
        <w:rPr>
          <w:rFonts w:ascii="Arial" w:hAnsi="Arial" w:cs="Arial"/>
          <w:sz w:val="24"/>
          <w:szCs w:val="24"/>
        </w:rPr>
        <w:t xml:space="preserve">nestly </w:t>
      </w:r>
      <w:r w:rsidR="007F4E2A">
        <w:rPr>
          <w:rFonts w:ascii="Arial" w:hAnsi="Arial" w:cs="Arial"/>
          <w:sz w:val="24"/>
          <w:szCs w:val="24"/>
        </w:rPr>
        <w:t xml:space="preserve">think that it was legitimate to administer ECT for punishment or control and not for treatment. </w:t>
      </w:r>
      <w:r w:rsidR="00EB119A">
        <w:rPr>
          <w:rFonts w:ascii="Arial" w:hAnsi="Arial" w:cs="Arial"/>
          <w:sz w:val="24"/>
          <w:szCs w:val="24"/>
        </w:rPr>
        <w:t xml:space="preserve">However, she did </w:t>
      </w:r>
      <w:r w:rsidR="00175BAD">
        <w:rPr>
          <w:rFonts w:ascii="Arial" w:hAnsi="Arial" w:cs="Arial"/>
          <w:sz w:val="24"/>
          <w:szCs w:val="24"/>
        </w:rPr>
        <w:t>not accept that the motivation to punish will always take the action outside the legislation.</w:t>
      </w:r>
      <w:r w:rsidR="00346519">
        <w:rPr>
          <w:rFonts w:ascii="Arial" w:hAnsi="Arial" w:cs="Arial"/>
          <w:sz w:val="24"/>
          <w:szCs w:val="24"/>
        </w:rPr>
        <w:t xml:space="preserve"> </w:t>
      </w:r>
    </w:p>
    <w:p w14:paraId="0C0A8E9B" w14:textId="39074B88" w:rsidR="00AB77C1" w:rsidRDefault="00AB77C1" w:rsidP="001340C9">
      <w:pPr>
        <w:pStyle w:val="ListParagraph"/>
        <w:spacing w:after="0" w:line="240" w:lineRule="auto"/>
        <w:ind w:left="1593"/>
        <w:rPr>
          <w:rFonts w:ascii="Arial" w:eastAsia="Times New Roman" w:hAnsi="Arial" w:cs="Arial"/>
          <w:i/>
          <w:iCs/>
          <w:color w:val="000000"/>
          <w:sz w:val="24"/>
          <w:szCs w:val="24"/>
          <w:lang w:eastAsia="en-NZ"/>
        </w:rPr>
      </w:pPr>
    </w:p>
    <w:p w14:paraId="67E96317" w14:textId="77777777" w:rsidR="001340C9" w:rsidRPr="00741221" w:rsidRDefault="001340C9" w:rsidP="0078067B">
      <w:pPr>
        <w:pStyle w:val="ListParagraph"/>
        <w:spacing w:after="0" w:line="240" w:lineRule="auto"/>
        <w:ind w:left="1593"/>
        <w:rPr>
          <w:rFonts w:ascii="Arial" w:eastAsia="Times New Roman" w:hAnsi="Arial" w:cs="Arial"/>
          <w:i/>
          <w:iCs/>
          <w:color w:val="000000"/>
          <w:sz w:val="24"/>
          <w:szCs w:val="24"/>
          <w:lang w:eastAsia="en-NZ"/>
        </w:rPr>
      </w:pPr>
    </w:p>
    <w:p w14:paraId="6B7D02D5" w14:textId="7CCDCFD5" w:rsidR="009C41B6" w:rsidRPr="00867948" w:rsidRDefault="00491A4F" w:rsidP="00867948">
      <w:pPr>
        <w:pStyle w:val="Heading3"/>
        <w:numPr>
          <w:ilvl w:val="0"/>
          <w:numId w:val="14"/>
        </w:numPr>
        <w:ind w:left="1134" w:hanging="567"/>
        <w:rPr>
          <w:rFonts w:ascii="Arial" w:eastAsia="Times New Roman" w:hAnsi="Arial" w:cs="Arial"/>
          <w:b/>
          <w:bCs/>
          <w:color w:val="000000"/>
          <w:lang w:eastAsia="en-NZ"/>
        </w:rPr>
      </w:pPr>
      <w:r w:rsidRPr="00867948">
        <w:rPr>
          <w:rFonts w:ascii="Arial" w:eastAsia="Times New Roman" w:hAnsi="Arial" w:cs="Arial"/>
          <w:b/>
          <w:bCs/>
          <w:color w:val="000000"/>
          <w:lang w:eastAsia="en-NZ"/>
        </w:rPr>
        <w:t>ACCIDENT COMPENSATION LEGISLATION</w:t>
      </w:r>
    </w:p>
    <w:p w14:paraId="3B0F4938" w14:textId="77777777" w:rsidR="00317CEA" w:rsidRPr="00867948" w:rsidRDefault="00317CEA" w:rsidP="00867948">
      <w:pPr>
        <w:pStyle w:val="ListParagraph"/>
        <w:ind w:left="1134" w:hanging="567"/>
        <w:rPr>
          <w:rFonts w:ascii="Arial" w:hAnsi="Arial" w:cs="Arial"/>
          <w:sz w:val="24"/>
          <w:szCs w:val="24"/>
          <w:lang w:val="en-US" w:eastAsia="en-NZ"/>
        </w:rPr>
      </w:pPr>
    </w:p>
    <w:p w14:paraId="3E6E9B51" w14:textId="48469FBC" w:rsidR="009C41B6" w:rsidRPr="00867948" w:rsidRDefault="001D0659"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A</w:t>
      </w:r>
      <w:r w:rsidR="00317CEA" w:rsidRPr="00867948">
        <w:rPr>
          <w:rFonts w:ascii="Arial" w:hAnsi="Arial" w:cs="Arial"/>
          <w:sz w:val="24"/>
          <w:szCs w:val="24"/>
          <w:lang w:val="en-US" w:eastAsia="en-NZ"/>
        </w:rPr>
        <w:t xml:space="preserve">ccident compensation </w:t>
      </w:r>
      <w:r w:rsidR="0086589A" w:rsidRPr="00867948">
        <w:rPr>
          <w:rFonts w:ascii="Arial" w:hAnsi="Arial" w:cs="Arial"/>
          <w:sz w:val="24"/>
          <w:szCs w:val="24"/>
          <w:lang w:val="en-US" w:eastAsia="en-NZ"/>
        </w:rPr>
        <w:t xml:space="preserve">legislation </w:t>
      </w:r>
      <w:r w:rsidR="00317CEA" w:rsidRPr="00867948">
        <w:rPr>
          <w:rFonts w:ascii="Arial" w:hAnsi="Arial" w:cs="Arial"/>
          <w:sz w:val="24"/>
          <w:szCs w:val="24"/>
          <w:lang w:val="en-US" w:eastAsia="en-NZ"/>
        </w:rPr>
        <w:t xml:space="preserve">has </w:t>
      </w:r>
      <w:r w:rsidRPr="00867948">
        <w:rPr>
          <w:rFonts w:ascii="Arial" w:hAnsi="Arial" w:cs="Arial"/>
          <w:sz w:val="24"/>
          <w:szCs w:val="24"/>
          <w:lang w:val="en-US" w:eastAsia="en-NZ"/>
        </w:rPr>
        <w:t xml:space="preserve">been in force since 1974, making </w:t>
      </w:r>
      <w:r w:rsidR="00317CEA" w:rsidRPr="00867948">
        <w:rPr>
          <w:rFonts w:ascii="Arial" w:hAnsi="Arial" w:cs="Arial"/>
          <w:sz w:val="24"/>
          <w:szCs w:val="24"/>
          <w:lang w:val="en-US" w:eastAsia="en-NZ"/>
        </w:rPr>
        <w:t>statutory cover available for personal injuries caused by accident</w:t>
      </w:r>
      <w:r w:rsidR="00D50FA6" w:rsidRPr="00867948">
        <w:rPr>
          <w:rFonts w:ascii="Arial" w:hAnsi="Arial" w:cs="Arial"/>
          <w:sz w:val="24"/>
          <w:szCs w:val="24"/>
          <w:lang w:val="en-US" w:eastAsia="en-NZ"/>
        </w:rPr>
        <w:t>, regardless of liability for that accident. W</w:t>
      </w:r>
      <w:r w:rsidRPr="00867948">
        <w:rPr>
          <w:rFonts w:ascii="Arial" w:hAnsi="Arial" w:cs="Arial"/>
          <w:sz w:val="24"/>
          <w:szCs w:val="24"/>
          <w:lang w:val="en-US" w:eastAsia="en-NZ"/>
        </w:rPr>
        <w:t xml:space="preserve">here cover is available, </w:t>
      </w:r>
      <w:r w:rsidR="00D50FA6" w:rsidRPr="00867948">
        <w:rPr>
          <w:rFonts w:ascii="Arial" w:hAnsi="Arial" w:cs="Arial"/>
          <w:sz w:val="24"/>
          <w:szCs w:val="24"/>
          <w:lang w:val="en-US" w:eastAsia="en-NZ"/>
        </w:rPr>
        <w:t xml:space="preserve">the statutory scheme prohibits </w:t>
      </w:r>
      <w:r w:rsidRPr="00867948">
        <w:rPr>
          <w:rFonts w:ascii="Arial" w:hAnsi="Arial" w:cs="Arial"/>
          <w:sz w:val="24"/>
          <w:szCs w:val="24"/>
          <w:lang w:val="en-US" w:eastAsia="en-NZ"/>
        </w:rPr>
        <w:t xml:space="preserve">civil claims for </w:t>
      </w:r>
      <w:r w:rsidR="000579F4" w:rsidRPr="00867948">
        <w:rPr>
          <w:rFonts w:ascii="Arial" w:hAnsi="Arial" w:cs="Arial"/>
          <w:sz w:val="24"/>
          <w:szCs w:val="24"/>
          <w:lang w:val="en-US" w:eastAsia="en-NZ"/>
        </w:rPr>
        <w:t xml:space="preserve">compensatory </w:t>
      </w:r>
      <w:r w:rsidRPr="00867948">
        <w:rPr>
          <w:rFonts w:ascii="Arial" w:hAnsi="Arial" w:cs="Arial"/>
          <w:sz w:val="24"/>
          <w:szCs w:val="24"/>
          <w:lang w:val="en-US" w:eastAsia="en-NZ"/>
        </w:rPr>
        <w:t>damages for those injuries</w:t>
      </w:r>
      <w:r w:rsidR="009251C9" w:rsidRPr="00867948">
        <w:rPr>
          <w:rFonts w:ascii="Arial" w:hAnsi="Arial" w:cs="Arial"/>
          <w:sz w:val="24"/>
          <w:szCs w:val="24"/>
          <w:lang w:val="en-US" w:eastAsia="en-NZ"/>
        </w:rPr>
        <w:t>,</w:t>
      </w:r>
      <w:r w:rsidR="0094116A">
        <w:rPr>
          <w:rStyle w:val="FootnoteReference"/>
          <w:rFonts w:ascii="Arial" w:hAnsi="Arial" w:cs="Arial"/>
          <w:sz w:val="24"/>
          <w:szCs w:val="24"/>
          <w:lang w:val="en-US" w:eastAsia="en-NZ"/>
        </w:rPr>
        <w:footnoteReference w:id="16"/>
      </w:r>
      <w:r w:rsidR="009251C9" w:rsidRPr="00867948">
        <w:rPr>
          <w:rFonts w:ascii="Arial" w:hAnsi="Arial" w:cs="Arial"/>
          <w:sz w:val="24"/>
          <w:szCs w:val="24"/>
          <w:lang w:val="en-US" w:eastAsia="en-NZ"/>
        </w:rPr>
        <w:t xml:space="preserve"> although </w:t>
      </w:r>
      <w:r w:rsidR="000579F4" w:rsidRPr="00867948">
        <w:rPr>
          <w:rFonts w:ascii="Arial" w:hAnsi="Arial" w:cs="Arial"/>
          <w:sz w:val="24"/>
          <w:szCs w:val="24"/>
          <w:lang w:val="en-US" w:eastAsia="en-NZ"/>
        </w:rPr>
        <w:t xml:space="preserve">other types of </w:t>
      </w:r>
      <w:r w:rsidR="009251C9" w:rsidRPr="00867948">
        <w:rPr>
          <w:rFonts w:ascii="Arial" w:hAnsi="Arial" w:cs="Arial"/>
          <w:sz w:val="24"/>
          <w:szCs w:val="24"/>
          <w:lang w:val="en-US" w:eastAsia="en-NZ"/>
        </w:rPr>
        <w:t>damages</w:t>
      </w:r>
      <w:r w:rsidR="000579F4" w:rsidRPr="00867948">
        <w:rPr>
          <w:rFonts w:ascii="Arial" w:hAnsi="Arial" w:cs="Arial"/>
          <w:sz w:val="24"/>
          <w:szCs w:val="24"/>
          <w:lang w:val="en-US" w:eastAsia="en-NZ"/>
        </w:rPr>
        <w:t xml:space="preserve">, including exemplary damages and damages for breaches of NZBORA </w:t>
      </w:r>
      <w:r w:rsidR="009251C9" w:rsidRPr="00867948">
        <w:rPr>
          <w:rFonts w:ascii="Arial" w:hAnsi="Arial" w:cs="Arial"/>
          <w:sz w:val="24"/>
          <w:szCs w:val="24"/>
          <w:lang w:val="en-US" w:eastAsia="en-NZ"/>
        </w:rPr>
        <w:t>may still be sought</w:t>
      </w:r>
      <w:r w:rsidRPr="00867948">
        <w:rPr>
          <w:rFonts w:ascii="Arial" w:hAnsi="Arial" w:cs="Arial"/>
          <w:sz w:val="24"/>
          <w:szCs w:val="24"/>
          <w:lang w:val="en-US" w:eastAsia="en-NZ"/>
        </w:rPr>
        <w:t>.</w:t>
      </w:r>
      <w:r w:rsidR="0094116A">
        <w:rPr>
          <w:rStyle w:val="FootnoteReference"/>
          <w:rFonts w:ascii="Arial" w:hAnsi="Arial" w:cs="Arial"/>
          <w:sz w:val="24"/>
          <w:szCs w:val="24"/>
          <w:lang w:val="en-US" w:eastAsia="en-NZ"/>
        </w:rPr>
        <w:footnoteReference w:id="17"/>
      </w:r>
      <w:r w:rsidR="00FE30F4" w:rsidRPr="00867948">
        <w:rPr>
          <w:rFonts w:ascii="Arial" w:hAnsi="Arial" w:cs="Arial"/>
          <w:sz w:val="24"/>
          <w:szCs w:val="24"/>
          <w:lang w:val="en-US" w:eastAsia="en-NZ"/>
        </w:rPr>
        <w:t xml:space="preserve"> </w:t>
      </w:r>
      <w:r w:rsidR="008C5E59" w:rsidRPr="00867948">
        <w:rPr>
          <w:rFonts w:ascii="Arial" w:hAnsi="Arial" w:cs="Arial"/>
          <w:sz w:val="24"/>
          <w:szCs w:val="24"/>
          <w:lang w:val="en-US" w:eastAsia="en-NZ"/>
        </w:rPr>
        <w:t>Where cover is not available, actions may still be brought.</w:t>
      </w:r>
    </w:p>
    <w:p w14:paraId="051E739A" w14:textId="77777777" w:rsidR="00BE49E8" w:rsidRPr="00867948" w:rsidRDefault="00BE49E8" w:rsidP="00867948">
      <w:pPr>
        <w:pStyle w:val="ListParagraph"/>
        <w:ind w:left="1134" w:hanging="567"/>
        <w:rPr>
          <w:rFonts w:ascii="Arial" w:hAnsi="Arial" w:cs="Arial"/>
          <w:sz w:val="24"/>
          <w:szCs w:val="24"/>
          <w:lang w:val="en-US" w:eastAsia="en-NZ"/>
        </w:rPr>
      </w:pPr>
    </w:p>
    <w:p w14:paraId="6D48264A" w14:textId="5C00FCB9" w:rsidR="00BE49E8" w:rsidRPr="00867948" w:rsidRDefault="00BE49E8"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 xml:space="preserve">The scheme has had various iterations since 1972. </w:t>
      </w:r>
      <w:r w:rsidR="0032248A" w:rsidRPr="00867948">
        <w:rPr>
          <w:rFonts w:ascii="Arial" w:hAnsi="Arial" w:cs="Arial"/>
          <w:sz w:val="24"/>
          <w:szCs w:val="24"/>
          <w:lang w:val="en-US" w:eastAsia="en-NZ"/>
        </w:rPr>
        <w:t xml:space="preserve">The current Accident Compensation Act 2001 provides cover for personal injury caused by accident, including mental injury suffered as a consequence of physical injury or due to being a victim of certain </w:t>
      </w:r>
      <w:r w:rsidR="0036320F" w:rsidRPr="00867948">
        <w:rPr>
          <w:rFonts w:ascii="Arial" w:hAnsi="Arial" w:cs="Arial"/>
          <w:sz w:val="24"/>
          <w:szCs w:val="24"/>
          <w:lang w:val="en-US" w:eastAsia="en-NZ"/>
        </w:rPr>
        <w:t>sexual</w:t>
      </w:r>
      <w:r w:rsidR="0032248A" w:rsidRPr="00867948">
        <w:rPr>
          <w:rFonts w:ascii="Arial" w:hAnsi="Arial" w:cs="Arial"/>
          <w:sz w:val="24"/>
          <w:szCs w:val="24"/>
          <w:lang w:val="en-US" w:eastAsia="en-NZ"/>
        </w:rPr>
        <w:t xml:space="preserve"> offences.</w:t>
      </w:r>
      <w:r w:rsidR="0032248A" w:rsidRPr="00867948">
        <w:rPr>
          <w:rStyle w:val="FootnoteReference"/>
          <w:rFonts w:ascii="Arial" w:hAnsi="Arial" w:cs="Arial"/>
          <w:sz w:val="24"/>
          <w:szCs w:val="24"/>
          <w:lang w:val="en-US" w:eastAsia="en-NZ"/>
        </w:rPr>
        <w:footnoteReference w:id="18"/>
      </w:r>
      <w:r w:rsidR="0036320F" w:rsidRPr="00867948">
        <w:rPr>
          <w:rFonts w:ascii="Arial" w:hAnsi="Arial" w:cs="Arial"/>
          <w:sz w:val="24"/>
          <w:szCs w:val="24"/>
          <w:lang w:val="en-US" w:eastAsia="en-NZ"/>
        </w:rPr>
        <w:t xml:space="preserve"> </w:t>
      </w:r>
      <w:r w:rsidR="00556432" w:rsidRPr="00867948">
        <w:rPr>
          <w:rFonts w:ascii="Arial" w:hAnsi="Arial" w:cs="Arial"/>
          <w:sz w:val="24"/>
          <w:szCs w:val="24"/>
          <w:lang w:val="en-US" w:eastAsia="en-NZ"/>
        </w:rPr>
        <w:t>W</w:t>
      </w:r>
      <w:r w:rsidR="00782C09" w:rsidRPr="00867948">
        <w:rPr>
          <w:rFonts w:ascii="Arial" w:hAnsi="Arial" w:cs="Arial"/>
          <w:sz w:val="24"/>
          <w:szCs w:val="24"/>
          <w:lang w:val="en-US" w:eastAsia="en-NZ"/>
        </w:rPr>
        <w:t xml:space="preserve">here cover is requested for injury occurring prior to </w:t>
      </w:r>
      <w:r w:rsidR="008832AA" w:rsidRPr="00867948">
        <w:rPr>
          <w:rFonts w:ascii="Arial" w:hAnsi="Arial" w:cs="Arial"/>
          <w:sz w:val="24"/>
          <w:szCs w:val="24"/>
          <w:lang w:val="en-US" w:eastAsia="en-NZ"/>
        </w:rPr>
        <w:t xml:space="preserve">1 April 2002, the claim must meet the cover criteria under both the current Act and the accident compensation legislation in force </w:t>
      </w:r>
      <w:r w:rsidR="006958DD">
        <w:rPr>
          <w:rFonts w:ascii="Arial" w:hAnsi="Arial" w:cs="Arial"/>
          <w:sz w:val="24"/>
          <w:szCs w:val="24"/>
          <w:lang w:val="en-US" w:eastAsia="en-NZ"/>
        </w:rPr>
        <w:t xml:space="preserve">on the date </w:t>
      </w:r>
      <w:r w:rsidR="008832AA" w:rsidRPr="00867948">
        <w:rPr>
          <w:rFonts w:ascii="Arial" w:hAnsi="Arial" w:cs="Arial"/>
          <w:sz w:val="24"/>
          <w:szCs w:val="24"/>
          <w:lang w:val="en-US" w:eastAsia="en-NZ"/>
        </w:rPr>
        <w:t xml:space="preserve">of injury. </w:t>
      </w:r>
      <w:r w:rsidR="000432CC" w:rsidRPr="00867948">
        <w:rPr>
          <w:rFonts w:ascii="Arial" w:hAnsi="Arial" w:cs="Arial"/>
          <w:sz w:val="24"/>
          <w:szCs w:val="24"/>
          <w:lang w:val="en-US" w:eastAsia="en-NZ"/>
        </w:rPr>
        <w:t xml:space="preserve">The </w:t>
      </w:r>
      <w:r w:rsidR="009C0C23" w:rsidRPr="00867948">
        <w:rPr>
          <w:rFonts w:ascii="Arial" w:hAnsi="Arial" w:cs="Arial"/>
          <w:sz w:val="24"/>
          <w:szCs w:val="24"/>
          <w:lang w:val="en-US" w:eastAsia="en-NZ"/>
        </w:rPr>
        <w:t xml:space="preserve">date </w:t>
      </w:r>
      <w:r w:rsidR="000432CC" w:rsidRPr="00867948">
        <w:rPr>
          <w:rFonts w:ascii="Arial" w:hAnsi="Arial" w:cs="Arial"/>
          <w:sz w:val="24"/>
          <w:szCs w:val="24"/>
          <w:lang w:val="en-US" w:eastAsia="en-NZ"/>
        </w:rPr>
        <w:t xml:space="preserve">of injury for most personal injury claims is when the accident occurred, but for claims for mental injury </w:t>
      </w:r>
      <w:r w:rsidR="009C0C23" w:rsidRPr="00867948">
        <w:rPr>
          <w:rFonts w:ascii="Arial" w:hAnsi="Arial" w:cs="Arial"/>
          <w:sz w:val="24"/>
          <w:szCs w:val="24"/>
          <w:lang w:val="en-US" w:eastAsia="en-NZ"/>
        </w:rPr>
        <w:t xml:space="preserve">the date of injury is </w:t>
      </w:r>
      <w:r w:rsidR="0004233C" w:rsidRPr="00867948">
        <w:rPr>
          <w:rFonts w:ascii="Arial" w:hAnsi="Arial" w:cs="Arial"/>
          <w:sz w:val="24"/>
          <w:szCs w:val="24"/>
          <w:lang w:val="en-US" w:eastAsia="en-NZ"/>
        </w:rPr>
        <w:t xml:space="preserve">defined as </w:t>
      </w:r>
      <w:r w:rsidR="009C0C23" w:rsidRPr="00867948">
        <w:rPr>
          <w:rFonts w:ascii="Arial" w:hAnsi="Arial" w:cs="Arial"/>
          <w:sz w:val="24"/>
          <w:szCs w:val="24"/>
          <w:lang w:val="en-US" w:eastAsia="en-NZ"/>
        </w:rPr>
        <w:t xml:space="preserve">being </w:t>
      </w:r>
      <w:r w:rsidR="003F433F" w:rsidRPr="00867948">
        <w:rPr>
          <w:rFonts w:ascii="Arial" w:hAnsi="Arial" w:cs="Arial"/>
          <w:sz w:val="24"/>
          <w:szCs w:val="24"/>
          <w:lang w:val="en-US" w:eastAsia="en-NZ"/>
        </w:rPr>
        <w:t xml:space="preserve">the date on which the person first receives treatment for the mental injury </w:t>
      </w:r>
      <w:r w:rsidR="004529BA" w:rsidRPr="00867948">
        <w:rPr>
          <w:rFonts w:ascii="Arial" w:hAnsi="Arial" w:cs="Arial"/>
          <w:sz w:val="24"/>
          <w:szCs w:val="24"/>
          <w:lang w:val="en-US" w:eastAsia="en-NZ"/>
        </w:rPr>
        <w:t>that is the subject of their</w:t>
      </w:r>
      <w:r w:rsidR="00C4134F" w:rsidRPr="00867948">
        <w:rPr>
          <w:rFonts w:ascii="Arial" w:hAnsi="Arial" w:cs="Arial"/>
          <w:sz w:val="24"/>
          <w:szCs w:val="24"/>
          <w:lang w:val="en-US" w:eastAsia="en-NZ"/>
        </w:rPr>
        <w:t xml:space="preserve"> claim</w:t>
      </w:r>
      <w:r w:rsidR="003F433F" w:rsidRPr="00867948">
        <w:rPr>
          <w:rFonts w:ascii="Arial" w:hAnsi="Arial" w:cs="Arial"/>
          <w:sz w:val="24"/>
          <w:szCs w:val="24"/>
          <w:lang w:val="en-US" w:eastAsia="en-NZ"/>
        </w:rPr>
        <w:t>.</w:t>
      </w:r>
      <w:r w:rsidR="003F433F" w:rsidRPr="00867948">
        <w:rPr>
          <w:rStyle w:val="FootnoteReference"/>
          <w:rFonts w:ascii="Arial" w:hAnsi="Arial" w:cs="Arial"/>
          <w:sz w:val="24"/>
          <w:szCs w:val="24"/>
          <w:lang w:val="en-US" w:eastAsia="en-NZ"/>
        </w:rPr>
        <w:footnoteReference w:id="19"/>
      </w:r>
    </w:p>
    <w:p w14:paraId="36B43605" w14:textId="77777777" w:rsidR="001D0659" w:rsidRPr="00867948" w:rsidRDefault="001D0659" w:rsidP="00867948">
      <w:pPr>
        <w:pStyle w:val="ListParagraph"/>
        <w:ind w:left="1134" w:hanging="567"/>
        <w:rPr>
          <w:rFonts w:ascii="Arial" w:hAnsi="Arial" w:cs="Arial"/>
          <w:sz w:val="24"/>
          <w:szCs w:val="24"/>
          <w:lang w:val="en-US" w:eastAsia="en-NZ"/>
        </w:rPr>
      </w:pPr>
    </w:p>
    <w:p w14:paraId="4E93F2EB" w14:textId="2BED19E2" w:rsidR="009C41B6" w:rsidRPr="00867948" w:rsidRDefault="0086589A"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 xml:space="preserve">The original </w:t>
      </w:r>
      <w:r w:rsidR="004B693E" w:rsidRPr="00867948">
        <w:rPr>
          <w:rFonts w:ascii="Arial" w:hAnsi="Arial" w:cs="Arial"/>
          <w:sz w:val="24"/>
          <w:szCs w:val="24"/>
          <w:lang w:val="en-US" w:eastAsia="en-NZ"/>
        </w:rPr>
        <w:t xml:space="preserve">Accident Compensation Act </w:t>
      </w:r>
      <w:r w:rsidRPr="00867948">
        <w:rPr>
          <w:rFonts w:ascii="Arial" w:hAnsi="Arial" w:cs="Arial"/>
          <w:sz w:val="24"/>
          <w:szCs w:val="24"/>
          <w:lang w:val="en-US" w:eastAsia="en-NZ"/>
        </w:rPr>
        <w:t xml:space="preserve">1972 </w:t>
      </w:r>
      <w:r w:rsidR="008B0085" w:rsidRPr="00867948">
        <w:rPr>
          <w:rFonts w:ascii="Arial" w:hAnsi="Arial" w:cs="Arial"/>
          <w:sz w:val="24"/>
          <w:szCs w:val="24"/>
          <w:lang w:val="en-US" w:eastAsia="en-NZ"/>
        </w:rPr>
        <w:t xml:space="preserve">came into force on 1 April 1974 and </w:t>
      </w:r>
      <w:r w:rsidR="00307C04" w:rsidRPr="00867948">
        <w:rPr>
          <w:rFonts w:ascii="Arial" w:hAnsi="Arial" w:cs="Arial"/>
          <w:sz w:val="24"/>
          <w:szCs w:val="24"/>
          <w:lang w:val="en-US" w:eastAsia="en-NZ"/>
        </w:rPr>
        <w:t xml:space="preserve">provided cover for “personal injury by accident”, which was </w:t>
      </w:r>
      <w:r w:rsidR="00231F09" w:rsidRPr="00867948">
        <w:rPr>
          <w:rFonts w:ascii="Arial" w:hAnsi="Arial" w:cs="Arial"/>
          <w:sz w:val="24"/>
          <w:szCs w:val="24"/>
          <w:lang w:val="en-US" w:eastAsia="en-NZ"/>
        </w:rPr>
        <w:t xml:space="preserve">not comprehensively defined, but was </w:t>
      </w:r>
      <w:r w:rsidR="00307C04" w:rsidRPr="00867948">
        <w:rPr>
          <w:rFonts w:ascii="Arial" w:hAnsi="Arial" w:cs="Arial"/>
          <w:sz w:val="24"/>
          <w:szCs w:val="24"/>
          <w:lang w:val="en-US" w:eastAsia="en-NZ"/>
        </w:rPr>
        <w:t xml:space="preserve">interpreted to include physical and </w:t>
      </w:r>
      <w:r w:rsidR="00307C04" w:rsidRPr="00867948">
        <w:rPr>
          <w:rFonts w:ascii="Arial" w:hAnsi="Arial" w:cs="Arial"/>
          <w:sz w:val="24"/>
          <w:szCs w:val="24"/>
          <w:lang w:val="en-US" w:eastAsia="en-NZ"/>
        </w:rPr>
        <w:lastRenderedPageBreak/>
        <w:t>mental consequences of the accident</w:t>
      </w:r>
      <w:r w:rsidR="007947C3" w:rsidRPr="00867948">
        <w:rPr>
          <w:rFonts w:ascii="Arial" w:hAnsi="Arial" w:cs="Arial"/>
          <w:sz w:val="24"/>
          <w:szCs w:val="24"/>
          <w:lang w:val="en-US" w:eastAsia="en-NZ"/>
        </w:rPr>
        <w:t>.</w:t>
      </w:r>
      <w:r w:rsidR="008B0085" w:rsidRPr="00867948">
        <w:rPr>
          <w:rFonts w:ascii="Arial" w:hAnsi="Arial" w:cs="Arial"/>
          <w:sz w:val="24"/>
          <w:szCs w:val="24"/>
          <w:lang w:val="en-US" w:eastAsia="en-NZ"/>
        </w:rPr>
        <w:t xml:space="preserve"> It applied to any injury that occurred after 1 April 1974.</w:t>
      </w:r>
    </w:p>
    <w:p w14:paraId="1E2771C6" w14:textId="77777777" w:rsidR="008B0085" w:rsidRPr="00867948" w:rsidRDefault="008B0085" w:rsidP="00867948">
      <w:pPr>
        <w:pStyle w:val="ListParagraph"/>
        <w:ind w:left="1134" w:hanging="567"/>
        <w:rPr>
          <w:rFonts w:ascii="Arial" w:hAnsi="Arial" w:cs="Arial"/>
          <w:sz w:val="24"/>
          <w:szCs w:val="24"/>
          <w:lang w:val="en-US" w:eastAsia="en-NZ"/>
        </w:rPr>
      </w:pPr>
    </w:p>
    <w:p w14:paraId="5E05C36F" w14:textId="2CEC2245" w:rsidR="008B0085" w:rsidRPr="00867948" w:rsidRDefault="003E45D7"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T</w:t>
      </w:r>
      <w:r w:rsidR="008B0085" w:rsidRPr="00867948">
        <w:rPr>
          <w:rFonts w:ascii="Arial" w:hAnsi="Arial" w:cs="Arial"/>
          <w:sz w:val="24"/>
          <w:szCs w:val="24"/>
          <w:lang w:val="en-US" w:eastAsia="en-NZ"/>
        </w:rPr>
        <w:t xml:space="preserve">he Accident Rehabilitation and Compensation </w:t>
      </w:r>
      <w:r w:rsidR="00231F09" w:rsidRPr="00867948">
        <w:rPr>
          <w:rFonts w:ascii="Arial" w:hAnsi="Arial" w:cs="Arial"/>
          <w:sz w:val="24"/>
          <w:szCs w:val="24"/>
          <w:lang w:val="en-US" w:eastAsia="en-NZ"/>
        </w:rPr>
        <w:t xml:space="preserve">Insurance Act 1992, specifically </w:t>
      </w:r>
      <w:r w:rsidRPr="00867948">
        <w:rPr>
          <w:rFonts w:ascii="Arial" w:hAnsi="Arial" w:cs="Arial"/>
          <w:sz w:val="24"/>
          <w:szCs w:val="24"/>
          <w:lang w:val="en-US" w:eastAsia="en-NZ"/>
        </w:rPr>
        <w:t xml:space="preserve">extended </w:t>
      </w:r>
      <w:r w:rsidR="00947ED1" w:rsidRPr="00867948">
        <w:rPr>
          <w:rFonts w:ascii="Arial" w:hAnsi="Arial" w:cs="Arial"/>
          <w:sz w:val="24"/>
          <w:szCs w:val="24"/>
          <w:lang w:val="en-US" w:eastAsia="en-NZ"/>
        </w:rPr>
        <w:t xml:space="preserve">cover </w:t>
      </w:r>
      <w:r w:rsidRPr="00867948">
        <w:rPr>
          <w:rFonts w:ascii="Arial" w:hAnsi="Arial" w:cs="Arial"/>
          <w:sz w:val="24"/>
          <w:szCs w:val="24"/>
          <w:lang w:val="en-US" w:eastAsia="en-NZ"/>
        </w:rPr>
        <w:t xml:space="preserve">to </w:t>
      </w:r>
      <w:r w:rsidR="00947ED1" w:rsidRPr="00867948">
        <w:rPr>
          <w:rFonts w:ascii="Arial" w:hAnsi="Arial" w:cs="Arial"/>
          <w:sz w:val="24"/>
          <w:szCs w:val="24"/>
          <w:lang w:val="en-US" w:eastAsia="en-NZ"/>
        </w:rPr>
        <w:t xml:space="preserve">mental </w:t>
      </w:r>
      <w:r w:rsidR="00116830">
        <w:rPr>
          <w:rFonts w:ascii="Arial" w:hAnsi="Arial" w:cs="Arial"/>
          <w:sz w:val="24"/>
          <w:szCs w:val="24"/>
          <w:lang w:val="en-US" w:eastAsia="en-NZ"/>
        </w:rPr>
        <w:t xml:space="preserve">injury </w:t>
      </w:r>
      <w:r w:rsidR="00947ED1" w:rsidRPr="00867948">
        <w:rPr>
          <w:rFonts w:ascii="Arial" w:hAnsi="Arial" w:cs="Arial"/>
          <w:sz w:val="24"/>
          <w:szCs w:val="24"/>
          <w:lang w:val="en-US" w:eastAsia="en-NZ"/>
        </w:rPr>
        <w:t>or nervous shock suffered by victims</w:t>
      </w:r>
      <w:r w:rsidR="00945279" w:rsidRPr="00867948">
        <w:rPr>
          <w:rFonts w:ascii="Arial" w:hAnsi="Arial" w:cs="Arial"/>
          <w:sz w:val="24"/>
          <w:szCs w:val="24"/>
          <w:lang w:val="en-US" w:eastAsia="en-NZ"/>
        </w:rPr>
        <w:t xml:space="preserve"> </w:t>
      </w:r>
      <w:r w:rsidR="00947ED1" w:rsidRPr="00867948">
        <w:rPr>
          <w:rFonts w:ascii="Arial" w:hAnsi="Arial" w:cs="Arial"/>
          <w:sz w:val="24"/>
          <w:szCs w:val="24"/>
          <w:lang w:val="en-US" w:eastAsia="en-NZ"/>
        </w:rPr>
        <w:t>of specified sexual offences</w:t>
      </w:r>
      <w:r w:rsidR="00DE3A1A" w:rsidRPr="00867948">
        <w:rPr>
          <w:rFonts w:ascii="Arial" w:hAnsi="Arial" w:cs="Arial"/>
          <w:sz w:val="24"/>
          <w:szCs w:val="24"/>
          <w:lang w:val="en-US" w:eastAsia="en-NZ"/>
        </w:rPr>
        <w:t xml:space="preserve">, </w:t>
      </w:r>
      <w:r w:rsidR="00710619" w:rsidRPr="00867948">
        <w:rPr>
          <w:rFonts w:ascii="Arial" w:hAnsi="Arial" w:cs="Arial"/>
          <w:sz w:val="24"/>
          <w:szCs w:val="24"/>
          <w:lang w:val="en-US" w:eastAsia="en-NZ"/>
        </w:rPr>
        <w:t>regardless of whether a person was or could be charged with th</w:t>
      </w:r>
      <w:r w:rsidR="005B7CD8" w:rsidRPr="00867948">
        <w:rPr>
          <w:rFonts w:ascii="Arial" w:hAnsi="Arial" w:cs="Arial"/>
          <w:sz w:val="24"/>
          <w:szCs w:val="24"/>
          <w:lang w:val="en-US" w:eastAsia="en-NZ"/>
        </w:rPr>
        <w:t>at</w:t>
      </w:r>
      <w:r w:rsidR="00710619" w:rsidRPr="00867948">
        <w:rPr>
          <w:rFonts w:ascii="Arial" w:hAnsi="Arial" w:cs="Arial"/>
          <w:sz w:val="24"/>
          <w:szCs w:val="24"/>
          <w:lang w:val="en-US" w:eastAsia="en-NZ"/>
        </w:rPr>
        <w:t xml:space="preserve"> offence.</w:t>
      </w:r>
      <w:r w:rsidR="008C03F2" w:rsidRPr="00867948">
        <w:rPr>
          <w:rStyle w:val="FootnoteReference"/>
          <w:rFonts w:ascii="Arial" w:hAnsi="Arial" w:cs="Arial"/>
          <w:sz w:val="24"/>
          <w:szCs w:val="24"/>
          <w:lang w:val="en-US" w:eastAsia="en-NZ"/>
        </w:rPr>
        <w:footnoteReference w:id="20"/>
      </w:r>
      <w:r w:rsidR="00710619" w:rsidRPr="00867948">
        <w:rPr>
          <w:rFonts w:ascii="Arial" w:hAnsi="Arial" w:cs="Arial"/>
          <w:sz w:val="24"/>
          <w:szCs w:val="24"/>
          <w:lang w:val="en-US" w:eastAsia="en-NZ"/>
        </w:rPr>
        <w:t xml:space="preserve"> However, it </w:t>
      </w:r>
      <w:r w:rsidR="00E20240" w:rsidRPr="00867948">
        <w:rPr>
          <w:rFonts w:ascii="Arial" w:hAnsi="Arial" w:cs="Arial"/>
          <w:sz w:val="24"/>
          <w:szCs w:val="24"/>
          <w:lang w:val="en-US" w:eastAsia="en-NZ"/>
        </w:rPr>
        <w:t xml:space="preserve">also limited the definition of </w:t>
      </w:r>
      <w:r w:rsidR="00C60E6D" w:rsidRPr="00867948">
        <w:rPr>
          <w:rFonts w:ascii="Arial" w:hAnsi="Arial" w:cs="Arial"/>
          <w:sz w:val="24"/>
          <w:szCs w:val="24"/>
          <w:lang w:val="en-US" w:eastAsia="en-NZ"/>
        </w:rPr>
        <w:t xml:space="preserve">personal injury to include </w:t>
      </w:r>
      <w:r w:rsidR="00B32AB4" w:rsidRPr="00867948">
        <w:rPr>
          <w:rFonts w:ascii="Arial" w:hAnsi="Arial" w:cs="Arial"/>
          <w:sz w:val="24"/>
          <w:szCs w:val="24"/>
          <w:lang w:val="en-US" w:eastAsia="en-NZ"/>
        </w:rPr>
        <w:t xml:space="preserve">mental </w:t>
      </w:r>
      <w:r w:rsidR="001E01D0" w:rsidRPr="00867948">
        <w:rPr>
          <w:rFonts w:ascii="Arial" w:hAnsi="Arial" w:cs="Arial"/>
          <w:sz w:val="24"/>
          <w:szCs w:val="24"/>
          <w:lang w:val="en-US" w:eastAsia="en-NZ"/>
        </w:rPr>
        <w:t xml:space="preserve">injury </w:t>
      </w:r>
      <w:r w:rsidR="00C60E6D" w:rsidRPr="00867948">
        <w:rPr>
          <w:rFonts w:ascii="Arial" w:hAnsi="Arial" w:cs="Arial"/>
          <w:sz w:val="24"/>
          <w:szCs w:val="24"/>
          <w:lang w:val="en-US" w:eastAsia="en-NZ"/>
        </w:rPr>
        <w:t xml:space="preserve">only </w:t>
      </w:r>
      <w:r w:rsidR="00B32AB4" w:rsidRPr="00867948">
        <w:rPr>
          <w:rFonts w:ascii="Arial" w:hAnsi="Arial" w:cs="Arial"/>
          <w:sz w:val="24"/>
          <w:szCs w:val="24"/>
          <w:lang w:val="en-US" w:eastAsia="en-NZ"/>
        </w:rPr>
        <w:t xml:space="preserve">where that mental injury </w:t>
      </w:r>
      <w:r w:rsidR="00116830">
        <w:rPr>
          <w:rFonts w:ascii="Arial" w:hAnsi="Arial" w:cs="Arial"/>
          <w:sz w:val="24"/>
          <w:szCs w:val="24"/>
          <w:lang w:val="en-US" w:eastAsia="en-NZ"/>
        </w:rPr>
        <w:t>wa</w:t>
      </w:r>
      <w:r w:rsidR="00B32AB4" w:rsidRPr="00867948">
        <w:rPr>
          <w:rFonts w:ascii="Arial" w:hAnsi="Arial" w:cs="Arial"/>
          <w:sz w:val="24"/>
          <w:szCs w:val="24"/>
          <w:lang w:val="en-US" w:eastAsia="en-NZ"/>
        </w:rPr>
        <w:t xml:space="preserve">s an outcome of a </w:t>
      </w:r>
      <w:r w:rsidR="001E01D0" w:rsidRPr="00867948">
        <w:rPr>
          <w:rFonts w:ascii="Arial" w:hAnsi="Arial" w:cs="Arial"/>
          <w:sz w:val="24"/>
          <w:szCs w:val="24"/>
          <w:lang w:val="en-US" w:eastAsia="en-NZ"/>
        </w:rPr>
        <w:t>physical injury</w:t>
      </w:r>
      <w:r w:rsidR="00C60E6D" w:rsidRPr="00867948">
        <w:rPr>
          <w:rFonts w:ascii="Arial" w:hAnsi="Arial" w:cs="Arial"/>
          <w:sz w:val="24"/>
          <w:szCs w:val="24"/>
          <w:lang w:val="en-US" w:eastAsia="en-NZ"/>
        </w:rPr>
        <w:t>, and so no longer covered pure psychological injuries</w:t>
      </w:r>
      <w:r w:rsidR="00B652CD" w:rsidRPr="00867948">
        <w:rPr>
          <w:rFonts w:ascii="Arial" w:hAnsi="Arial" w:cs="Arial"/>
          <w:sz w:val="24"/>
          <w:szCs w:val="24"/>
          <w:lang w:val="en-US" w:eastAsia="en-NZ"/>
        </w:rPr>
        <w:t xml:space="preserve"> caused other than by sexual offences</w:t>
      </w:r>
      <w:r w:rsidR="00947ED1" w:rsidRPr="00867948">
        <w:rPr>
          <w:rFonts w:ascii="Arial" w:hAnsi="Arial" w:cs="Arial"/>
          <w:sz w:val="24"/>
          <w:szCs w:val="24"/>
          <w:lang w:val="en-US" w:eastAsia="en-NZ"/>
        </w:rPr>
        <w:t>.</w:t>
      </w:r>
      <w:r w:rsidR="002F5657" w:rsidRPr="00867948">
        <w:rPr>
          <w:rStyle w:val="FootnoteReference"/>
          <w:rFonts w:ascii="Arial" w:hAnsi="Arial" w:cs="Arial"/>
          <w:sz w:val="24"/>
          <w:szCs w:val="24"/>
          <w:lang w:val="en-US" w:eastAsia="en-NZ"/>
        </w:rPr>
        <w:footnoteReference w:id="21"/>
      </w:r>
      <w:r w:rsidR="00947ED1" w:rsidRPr="00867948">
        <w:rPr>
          <w:rFonts w:ascii="Arial" w:hAnsi="Arial" w:cs="Arial"/>
          <w:sz w:val="24"/>
          <w:szCs w:val="24"/>
          <w:lang w:val="en-US" w:eastAsia="en-NZ"/>
        </w:rPr>
        <w:t xml:space="preserve"> </w:t>
      </w:r>
    </w:p>
    <w:p w14:paraId="43D00666" w14:textId="77777777" w:rsidR="008040FD" w:rsidRPr="00867948" w:rsidRDefault="008040FD" w:rsidP="00867948">
      <w:pPr>
        <w:pStyle w:val="ListParagraph"/>
        <w:ind w:left="1134" w:hanging="567"/>
        <w:rPr>
          <w:rFonts w:ascii="Arial" w:hAnsi="Arial" w:cs="Arial"/>
          <w:sz w:val="24"/>
          <w:szCs w:val="24"/>
          <w:lang w:val="en-US" w:eastAsia="en-NZ"/>
        </w:rPr>
      </w:pPr>
    </w:p>
    <w:p w14:paraId="22E4C3F6" w14:textId="1E1A160A" w:rsidR="008E45AE" w:rsidRPr="00867948" w:rsidRDefault="004D44A8"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 xml:space="preserve">The </w:t>
      </w:r>
      <w:r w:rsidR="00E63AC8" w:rsidRPr="00867948">
        <w:rPr>
          <w:rFonts w:ascii="Arial" w:hAnsi="Arial" w:cs="Arial"/>
          <w:sz w:val="24"/>
          <w:szCs w:val="24"/>
          <w:lang w:val="en-US" w:eastAsia="en-NZ"/>
        </w:rPr>
        <w:t>1998</w:t>
      </w:r>
      <w:r w:rsidR="0058271D" w:rsidRPr="00867948">
        <w:rPr>
          <w:rFonts w:ascii="Arial" w:hAnsi="Arial" w:cs="Arial"/>
          <w:sz w:val="24"/>
          <w:szCs w:val="24"/>
          <w:lang w:val="en-US" w:eastAsia="en-NZ"/>
        </w:rPr>
        <w:t xml:space="preserve"> </w:t>
      </w:r>
      <w:r w:rsidRPr="00867948">
        <w:rPr>
          <w:rFonts w:ascii="Arial" w:hAnsi="Arial" w:cs="Arial"/>
          <w:sz w:val="24"/>
          <w:szCs w:val="24"/>
          <w:lang w:val="en-US" w:eastAsia="en-NZ"/>
        </w:rPr>
        <w:t xml:space="preserve">Accident Insurance Act </w:t>
      </w:r>
      <w:r w:rsidR="000121EC" w:rsidRPr="00867948">
        <w:rPr>
          <w:rFonts w:ascii="Arial" w:hAnsi="Arial" w:cs="Arial"/>
          <w:sz w:val="24"/>
          <w:szCs w:val="24"/>
          <w:lang w:val="en-US" w:eastAsia="en-NZ"/>
        </w:rPr>
        <w:t xml:space="preserve">introduced the definition that </w:t>
      </w:r>
      <w:r w:rsidR="00CC668A" w:rsidRPr="00867948">
        <w:rPr>
          <w:rFonts w:ascii="Arial" w:hAnsi="Arial" w:cs="Arial"/>
          <w:sz w:val="24"/>
          <w:szCs w:val="24"/>
          <w:lang w:val="en-US" w:eastAsia="en-NZ"/>
        </w:rPr>
        <w:t xml:space="preserve">the date on which the mental </w:t>
      </w:r>
      <w:r w:rsidR="0002266F" w:rsidRPr="00867948">
        <w:rPr>
          <w:rFonts w:ascii="Arial" w:hAnsi="Arial" w:cs="Arial"/>
          <w:sz w:val="24"/>
          <w:szCs w:val="24"/>
          <w:lang w:val="en-US" w:eastAsia="en-NZ"/>
        </w:rPr>
        <w:t xml:space="preserve">injury </w:t>
      </w:r>
      <w:r w:rsidR="00CC668A" w:rsidRPr="00867948">
        <w:rPr>
          <w:rFonts w:ascii="Arial" w:hAnsi="Arial" w:cs="Arial"/>
          <w:sz w:val="24"/>
          <w:szCs w:val="24"/>
          <w:lang w:val="en-US" w:eastAsia="en-NZ"/>
        </w:rPr>
        <w:t xml:space="preserve">is suffered </w:t>
      </w:r>
      <w:r w:rsidR="008266FB" w:rsidRPr="00867948">
        <w:rPr>
          <w:rFonts w:ascii="Arial" w:hAnsi="Arial" w:cs="Arial"/>
          <w:sz w:val="24"/>
          <w:szCs w:val="24"/>
          <w:lang w:val="en-US" w:eastAsia="en-NZ"/>
        </w:rPr>
        <w:t xml:space="preserve">is </w:t>
      </w:r>
      <w:r w:rsidR="0002266F" w:rsidRPr="00867948">
        <w:rPr>
          <w:rFonts w:ascii="Arial" w:hAnsi="Arial" w:cs="Arial"/>
          <w:sz w:val="24"/>
          <w:szCs w:val="24"/>
          <w:lang w:val="en-US" w:eastAsia="en-NZ"/>
        </w:rPr>
        <w:t xml:space="preserve">the date </w:t>
      </w:r>
      <w:r w:rsidR="00CC668A" w:rsidRPr="00867948">
        <w:rPr>
          <w:rFonts w:ascii="Arial" w:hAnsi="Arial" w:cs="Arial"/>
          <w:sz w:val="24"/>
          <w:szCs w:val="24"/>
          <w:lang w:val="en-US" w:eastAsia="en-NZ"/>
        </w:rPr>
        <w:t xml:space="preserve">on which </w:t>
      </w:r>
      <w:r w:rsidR="0002266F" w:rsidRPr="00867948">
        <w:rPr>
          <w:rFonts w:ascii="Arial" w:hAnsi="Arial" w:cs="Arial"/>
          <w:sz w:val="24"/>
          <w:szCs w:val="24"/>
          <w:lang w:val="en-US" w:eastAsia="en-NZ"/>
        </w:rPr>
        <w:t>treatment was first received.</w:t>
      </w:r>
      <w:r w:rsidR="00A935BC" w:rsidRPr="00867948">
        <w:rPr>
          <w:rStyle w:val="FootnoteReference"/>
          <w:rFonts w:ascii="Arial" w:hAnsi="Arial" w:cs="Arial"/>
          <w:sz w:val="24"/>
          <w:szCs w:val="24"/>
          <w:lang w:val="en-US" w:eastAsia="en-NZ"/>
        </w:rPr>
        <w:footnoteReference w:id="22"/>
      </w:r>
      <w:r w:rsidR="00CF1A41" w:rsidRPr="00867948">
        <w:rPr>
          <w:rFonts w:ascii="Arial" w:hAnsi="Arial" w:cs="Arial"/>
          <w:sz w:val="24"/>
          <w:szCs w:val="24"/>
          <w:lang w:val="en-US" w:eastAsia="en-NZ"/>
        </w:rPr>
        <w:t xml:space="preserve"> This </w:t>
      </w:r>
      <w:r w:rsidR="00275952" w:rsidRPr="00867948">
        <w:rPr>
          <w:rFonts w:ascii="Arial" w:hAnsi="Arial" w:cs="Arial"/>
          <w:sz w:val="24"/>
          <w:szCs w:val="24"/>
          <w:lang w:val="en-US" w:eastAsia="en-NZ"/>
        </w:rPr>
        <w:t xml:space="preserve">meant that mental injuries for which treatment was first received after 1998 </w:t>
      </w:r>
      <w:r w:rsidR="00A602AA" w:rsidRPr="00867948">
        <w:rPr>
          <w:rFonts w:ascii="Arial" w:hAnsi="Arial" w:cs="Arial"/>
          <w:sz w:val="24"/>
          <w:szCs w:val="24"/>
          <w:lang w:val="en-US" w:eastAsia="en-NZ"/>
        </w:rPr>
        <w:t>were covered</w:t>
      </w:r>
      <w:r w:rsidR="00CD1F6D" w:rsidRPr="00867948">
        <w:rPr>
          <w:rFonts w:ascii="Arial" w:hAnsi="Arial" w:cs="Arial"/>
          <w:sz w:val="24"/>
          <w:szCs w:val="24"/>
          <w:lang w:val="en-US" w:eastAsia="en-NZ"/>
        </w:rPr>
        <w:t xml:space="preserve"> by the scheme</w:t>
      </w:r>
      <w:r w:rsidR="005C2F3F" w:rsidRPr="00867948">
        <w:rPr>
          <w:rFonts w:ascii="Arial" w:hAnsi="Arial" w:cs="Arial"/>
          <w:sz w:val="24"/>
          <w:szCs w:val="24"/>
          <w:lang w:val="en-US" w:eastAsia="en-NZ"/>
        </w:rPr>
        <w:t xml:space="preserve"> – and common law damages claims barred </w:t>
      </w:r>
      <w:r w:rsidR="006869C4" w:rsidRPr="00867948">
        <w:rPr>
          <w:rFonts w:ascii="Arial" w:hAnsi="Arial" w:cs="Arial"/>
          <w:sz w:val="24"/>
          <w:szCs w:val="24"/>
          <w:lang w:val="en-US" w:eastAsia="en-NZ"/>
        </w:rPr>
        <w:t>–</w:t>
      </w:r>
      <w:r w:rsidR="00A602AA" w:rsidRPr="00867948">
        <w:rPr>
          <w:rFonts w:ascii="Arial" w:hAnsi="Arial" w:cs="Arial"/>
          <w:sz w:val="24"/>
          <w:szCs w:val="24"/>
          <w:lang w:val="en-US" w:eastAsia="en-NZ"/>
        </w:rPr>
        <w:t xml:space="preserve"> </w:t>
      </w:r>
      <w:r w:rsidR="00275952" w:rsidRPr="00867948">
        <w:rPr>
          <w:rFonts w:ascii="Arial" w:hAnsi="Arial" w:cs="Arial"/>
          <w:sz w:val="24"/>
          <w:szCs w:val="24"/>
          <w:lang w:val="en-US" w:eastAsia="en-NZ"/>
        </w:rPr>
        <w:t>even</w:t>
      </w:r>
      <w:r w:rsidR="006869C4" w:rsidRPr="00867948">
        <w:rPr>
          <w:rFonts w:ascii="Arial" w:hAnsi="Arial" w:cs="Arial"/>
          <w:sz w:val="24"/>
          <w:szCs w:val="24"/>
          <w:lang w:val="en-US" w:eastAsia="en-NZ"/>
        </w:rPr>
        <w:t xml:space="preserve"> </w:t>
      </w:r>
      <w:r w:rsidR="00275952" w:rsidRPr="00867948">
        <w:rPr>
          <w:rFonts w:ascii="Arial" w:hAnsi="Arial" w:cs="Arial"/>
          <w:sz w:val="24"/>
          <w:szCs w:val="24"/>
          <w:lang w:val="en-US" w:eastAsia="en-NZ"/>
        </w:rPr>
        <w:t xml:space="preserve">where </w:t>
      </w:r>
      <w:r w:rsidR="00A602AA" w:rsidRPr="00867948">
        <w:rPr>
          <w:rFonts w:ascii="Arial" w:hAnsi="Arial" w:cs="Arial"/>
          <w:sz w:val="24"/>
          <w:szCs w:val="24"/>
          <w:lang w:val="en-US" w:eastAsia="en-NZ"/>
        </w:rPr>
        <w:t>the offence leading to the mental injury may have been historic.</w:t>
      </w:r>
      <w:r w:rsidR="002576B3" w:rsidRPr="00867948">
        <w:rPr>
          <w:rFonts w:ascii="Arial" w:hAnsi="Arial" w:cs="Arial"/>
          <w:sz w:val="24"/>
          <w:szCs w:val="24"/>
          <w:lang w:val="en-US" w:eastAsia="en-NZ"/>
        </w:rPr>
        <w:t xml:space="preserve"> </w:t>
      </w:r>
      <w:r w:rsidR="00AF78ED" w:rsidRPr="00867948">
        <w:rPr>
          <w:rFonts w:ascii="Arial" w:hAnsi="Arial" w:cs="Arial"/>
          <w:sz w:val="24"/>
          <w:szCs w:val="24"/>
          <w:lang w:val="en-US" w:eastAsia="en-NZ"/>
        </w:rPr>
        <w:t xml:space="preserve">This provision </w:t>
      </w:r>
      <w:r w:rsidR="004F1F15" w:rsidRPr="00867948">
        <w:rPr>
          <w:rFonts w:ascii="Arial" w:hAnsi="Arial" w:cs="Arial"/>
          <w:sz w:val="24"/>
          <w:szCs w:val="24"/>
          <w:lang w:val="en-US" w:eastAsia="en-NZ"/>
        </w:rPr>
        <w:t xml:space="preserve">is </w:t>
      </w:r>
      <w:r w:rsidR="00AF78ED" w:rsidRPr="00867948">
        <w:rPr>
          <w:rFonts w:ascii="Arial" w:hAnsi="Arial" w:cs="Arial"/>
          <w:sz w:val="24"/>
          <w:szCs w:val="24"/>
          <w:lang w:val="en-US" w:eastAsia="en-NZ"/>
        </w:rPr>
        <w:t xml:space="preserve">continued in the </w:t>
      </w:r>
      <w:r w:rsidR="004F1F15" w:rsidRPr="00867948">
        <w:rPr>
          <w:rFonts w:ascii="Arial" w:hAnsi="Arial" w:cs="Arial"/>
          <w:sz w:val="24"/>
          <w:szCs w:val="24"/>
          <w:lang w:val="en-US" w:eastAsia="en-NZ"/>
        </w:rPr>
        <w:t xml:space="preserve">current </w:t>
      </w:r>
      <w:r w:rsidR="00AF78ED" w:rsidRPr="00867948">
        <w:rPr>
          <w:rFonts w:ascii="Arial" w:hAnsi="Arial" w:cs="Arial"/>
          <w:sz w:val="24"/>
          <w:szCs w:val="24"/>
          <w:lang w:val="en-US" w:eastAsia="en-NZ"/>
        </w:rPr>
        <w:t xml:space="preserve">2001 </w:t>
      </w:r>
      <w:r w:rsidR="00A755D3" w:rsidRPr="00867948">
        <w:rPr>
          <w:rFonts w:ascii="Arial" w:hAnsi="Arial" w:cs="Arial"/>
          <w:sz w:val="24"/>
          <w:szCs w:val="24"/>
          <w:lang w:val="en-US" w:eastAsia="en-NZ"/>
        </w:rPr>
        <w:t>Accident Compensation Act</w:t>
      </w:r>
      <w:r w:rsidR="002576B3" w:rsidRPr="00867948">
        <w:rPr>
          <w:rFonts w:ascii="Arial" w:hAnsi="Arial" w:cs="Arial"/>
          <w:sz w:val="24"/>
          <w:szCs w:val="24"/>
          <w:lang w:val="en-US" w:eastAsia="en-NZ"/>
        </w:rPr>
        <w:t>.</w:t>
      </w:r>
      <w:r w:rsidR="00AF5E9A" w:rsidRPr="00867948">
        <w:rPr>
          <w:rStyle w:val="FootnoteReference"/>
          <w:rFonts w:ascii="Arial" w:hAnsi="Arial" w:cs="Arial"/>
          <w:sz w:val="24"/>
          <w:szCs w:val="24"/>
          <w:lang w:val="en-US" w:eastAsia="en-NZ"/>
        </w:rPr>
        <w:footnoteReference w:id="23"/>
      </w:r>
      <w:r w:rsidR="002576B3" w:rsidRPr="00867948">
        <w:rPr>
          <w:rFonts w:ascii="Arial" w:hAnsi="Arial" w:cs="Arial"/>
          <w:sz w:val="24"/>
          <w:szCs w:val="24"/>
          <w:lang w:val="en-US" w:eastAsia="en-NZ"/>
        </w:rPr>
        <w:t xml:space="preserve"> </w:t>
      </w:r>
      <w:r w:rsidR="00A755D3" w:rsidRPr="00867948">
        <w:rPr>
          <w:rFonts w:ascii="Arial" w:hAnsi="Arial" w:cs="Arial"/>
          <w:sz w:val="24"/>
          <w:szCs w:val="24"/>
          <w:lang w:val="en-US" w:eastAsia="en-NZ"/>
        </w:rPr>
        <w:t xml:space="preserve"> </w:t>
      </w:r>
    </w:p>
    <w:p w14:paraId="2807266B" w14:textId="77777777" w:rsidR="009210A3" w:rsidRPr="00867948" w:rsidRDefault="009210A3" w:rsidP="00867948">
      <w:pPr>
        <w:pStyle w:val="ListParagraph"/>
        <w:ind w:left="1134" w:hanging="567"/>
        <w:rPr>
          <w:rFonts w:ascii="Arial" w:hAnsi="Arial" w:cs="Arial"/>
          <w:sz w:val="24"/>
          <w:szCs w:val="24"/>
          <w:lang w:val="en-US" w:eastAsia="en-NZ"/>
        </w:rPr>
      </w:pPr>
    </w:p>
    <w:p w14:paraId="3BCFA559" w14:textId="276B0702" w:rsidR="009210A3" w:rsidRPr="00867948" w:rsidRDefault="007208AD"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 xml:space="preserve">In 2002-2003, </w:t>
      </w:r>
      <w:r w:rsidR="00C85410" w:rsidRPr="00867948">
        <w:rPr>
          <w:rFonts w:ascii="Arial" w:hAnsi="Arial" w:cs="Arial"/>
          <w:sz w:val="24"/>
          <w:szCs w:val="24"/>
          <w:lang w:val="en-US" w:eastAsia="en-NZ"/>
        </w:rPr>
        <w:t xml:space="preserve">the </w:t>
      </w:r>
      <w:r w:rsidR="00876486" w:rsidRPr="00867948">
        <w:rPr>
          <w:rFonts w:ascii="Arial" w:hAnsi="Arial" w:cs="Arial"/>
          <w:sz w:val="24"/>
          <w:szCs w:val="24"/>
          <w:lang w:val="en-US" w:eastAsia="en-NZ"/>
        </w:rPr>
        <w:t xml:space="preserve">applicability of the scheme to </w:t>
      </w:r>
      <w:r w:rsidRPr="00867948">
        <w:rPr>
          <w:rFonts w:ascii="Arial" w:hAnsi="Arial" w:cs="Arial"/>
          <w:sz w:val="24"/>
          <w:szCs w:val="24"/>
          <w:lang w:val="en-US" w:eastAsia="en-NZ"/>
        </w:rPr>
        <w:t>mental injury caused by offences committed prior to 1974 w</w:t>
      </w:r>
      <w:r w:rsidR="00116830">
        <w:rPr>
          <w:rFonts w:ascii="Arial" w:hAnsi="Arial" w:cs="Arial"/>
          <w:sz w:val="24"/>
          <w:szCs w:val="24"/>
          <w:lang w:val="en-US" w:eastAsia="en-NZ"/>
        </w:rPr>
        <w:t>as</w:t>
      </w:r>
      <w:r w:rsidRPr="00867948">
        <w:rPr>
          <w:rFonts w:ascii="Arial" w:hAnsi="Arial" w:cs="Arial"/>
          <w:sz w:val="24"/>
          <w:szCs w:val="24"/>
          <w:lang w:val="en-US" w:eastAsia="en-NZ"/>
        </w:rPr>
        <w:t xml:space="preserve"> called into question</w:t>
      </w:r>
      <w:r w:rsidR="00F74119" w:rsidRPr="00867948">
        <w:rPr>
          <w:rFonts w:ascii="Arial" w:hAnsi="Arial" w:cs="Arial"/>
          <w:sz w:val="24"/>
          <w:szCs w:val="24"/>
          <w:lang w:val="en-US" w:eastAsia="en-NZ"/>
        </w:rPr>
        <w:t xml:space="preserve"> in </w:t>
      </w:r>
      <w:r w:rsidR="00F74119" w:rsidRPr="00867948">
        <w:rPr>
          <w:rFonts w:ascii="Arial" w:hAnsi="Arial" w:cs="Arial"/>
          <w:i/>
          <w:iCs/>
          <w:sz w:val="24"/>
          <w:szCs w:val="24"/>
          <w:lang w:val="en-US" w:eastAsia="en-NZ"/>
        </w:rPr>
        <w:t>S v Attorney-General</w:t>
      </w:r>
      <w:r w:rsidR="0037602B">
        <w:rPr>
          <w:rFonts w:ascii="Arial" w:hAnsi="Arial" w:cs="Arial"/>
          <w:sz w:val="24"/>
          <w:szCs w:val="24"/>
          <w:lang w:val="en-US" w:eastAsia="en-NZ"/>
        </w:rPr>
        <w:t xml:space="preserve"> [2003] NZLR 450</w:t>
      </w:r>
      <w:r w:rsidR="00F74119" w:rsidRPr="00867948">
        <w:rPr>
          <w:rFonts w:ascii="Arial" w:hAnsi="Arial" w:cs="Arial"/>
          <w:sz w:val="24"/>
          <w:szCs w:val="24"/>
          <w:lang w:val="en-US" w:eastAsia="en-NZ"/>
        </w:rPr>
        <w:t xml:space="preserve"> and </w:t>
      </w:r>
      <w:r w:rsidR="00F74119" w:rsidRPr="00867948">
        <w:rPr>
          <w:rFonts w:ascii="Arial" w:hAnsi="Arial" w:cs="Arial"/>
          <w:i/>
          <w:iCs/>
          <w:sz w:val="24"/>
          <w:szCs w:val="24"/>
          <w:lang w:val="en-US" w:eastAsia="en-NZ"/>
        </w:rPr>
        <w:t>W v Attorney-General</w:t>
      </w:r>
      <w:r w:rsidR="00741221">
        <w:rPr>
          <w:rFonts w:ascii="Arial" w:hAnsi="Arial" w:cs="Arial"/>
          <w:i/>
          <w:iCs/>
          <w:sz w:val="24"/>
          <w:szCs w:val="24"/>
          <w:lang w:val="en-US" w:eastAsia="en-NZ"/>
        </w:rPr>
        <w:t xml:space="preserve"> </w:t>
      </w:r>
      <w:r w:rsidR="00741221" w:rsidRPr="0078067B">
        <w:rPr>
          <w:rFonts w:ascii="Arial" w:hAnsi="Arial" w:cs="Arial"/>
          <w:sz w:val="24"/>
          <w:szCs w:val="24"/>
          <w:lang w:val="en-US" w:eastAsia="en-NZ"/>
        </w:rPr>
        <w:t>(</w:t>
      </w:r>
      <w:r w:rsidR="0060544D">
        <w:rPr>
          <w:rFonts w:ascii="Arial" w:hAnsi="Arial" w:cs="Arial"/>
          <w:sz w:val="24"/>
          <w:szCs w:val="24"/>
          <w:lang w:val="en-US" w:eastAsia="en-NZ"/>
        </w:rPr>
        <w:t>CA 227/02</w:t>
      </w:r>
      <w:r w:rsidR="00741221">
        <w:rPr>
          <w:rFonts w:ascii="Arial" w:hAnsi="Arial" w:cs="Arial"/>
          <w:sz w:val="24"/>
          <w:szCs w:val="24"/>
          <w:lang w:val="en-US" w:eastAsia="en-NZ"/>
        </w:rPr>
        <w:t xml:space="preserve">, </w:t>
      </w:r>
      <w:r w:rsidR="0060544D">
        <w:rPr>
          <w:rFonts w:ascii="Arial" w:hAnsi="Arial" w:cs="Arial"/>
          <w:sz w:val="24"/>
          <w:szCs w:val="24"/>
          <w:lang w:val="en-US" w:eastAsia="en-NZ"/>
        </w:rPr>
        <w:t>15 July 2003</w:t>
      </w:r>
      <w:r w:rsidR="00741221">
        <w:rPr>
          <w:rFonts w:ascii="Arial" w:hAnsi="Arial" w:cs="Arial"/>
          <w:sz w:val="24"/>
          <w:szCs w:val="24"/>
          <w:lang w:val="en-US" w:eastAsia="en-NZ"/>
        </w:rPr>
        <w:t>)</w:t>
      </w:r>
      <w:r w:rsidR="00F74119" w:rsidRPr="00867948">
        <w:rPr>
          <w:rFonts w:ascii="Arial" w:hAnsi="Arial" w:cs="Arial"/>
          <w:sz w:val="24"/>
          <w:szCs w:val="24"/>
          <w:lang w:val="en-US" w:eastAsia="en-NZ"/>
        </w:rPr>
        <w:t xml:space="preserve">. </w:t>
      </w:r>
      <w:r w:rsidR="00791E49" w:rsidRPr="00867948">
        <w:rPr>
          <w:rFonts w:ascii="Arial" w:hAnsi="Arial" w:cs="Arial"/>
          <w:i/>
          <w:iCs/>
          <w:sz w:val="24"/>
          <w:szCs w:val="24"/>
          <w:lang w:val="en-US" w:eastAsia="en-NZ"/>
        </w:rPr>
        <w:t xml:space="preserve"> </w:t>
      </w:r>
      <w:r w:rsidR="003A7264" w:rsidRPr="00867948">
        <w:rPr>
          <w:rFonts w:ascii="Arial" w:hAnsi="Arial" w:cs="Arial"/>
          <w:sz w:val="24"/>
          <w:szCs w:val="24"/>
          <w:lang w:val="en-US" w:eastAsia="en-NZ"/>
        </w:rPr>
        <w:t>The claims were brought in 1996 and 1997, when the 1992 legislation was in place, but b</w:t>
      </w:r>
      <w:r w:rsidR="009E3F92" w:rsidRPr="00867948">
        <w:rPr>
          <w:rFonts w:ascii="Arial" w:hAnsi="Arial" w:cs="Arial"/>
          <w:sz w:val="24"/>
          <w:szCs w:val="24"/>
          <w:lang w:val="en-US" w:eastAsia="en-NZ"/>
        </w:rPr>
        <w:t xml:space="preserve">oth cases involved abuse including sexual abuse of children </w:t>
      </w:r>
      <w:r w:rsidR="00807C92" w:rsidRPr="00867948">
        <w:rPr>
          <w:rFonts w:ascii="Arial" w:hAnsi="Arial" w:cs="Arial"/>
          <w:sz w:val="24"/>
          <w:szCs w:val="24"/>
          <w:lang w:val="en-US" w:eastAsia="en-NZ"/>
        </w:rPr>
        <w:t xml:space="preserve">by foster parents </w:t>
      </w:r>
      <w:r w:rsidR="009E3F92" w:rsidRPr="00867948">
        <w:rPr>
          <w:rFonts w:ascii="Arial" w:hAnsi="Arial" w:cs="Arial"/>
          <w:sz w:val="24"/>
          <w:szCs w:val="24"/>
          <w:lang w:val="en-US" w:eastAsia="en-NZ"/>
        </w:rPr>
        <w:t>prior to 1974.</w:t>
      </w:r>
      <w:r w:rsidR="00D346F0" w:rsidRPr="00867948">
        <w:rPr>
          <w:rFonts w:ascii="Arial" w:hAnsi="Arial" w:cs="Arial"/>
          <w:sz w:val="24"/>
          <w:szCs w:val="24"/>
          <w:lang w:val="en-US" w:eastAsia="en-NZ"/>
        </w:rPr>
        <w:t xml:space="preserve"> </w:t>
      </w:r>
      <w:r w:rsidR="005F61C1" w:rsidRPr="00867948">
        <w:rPr>
          <w:rFonts w:ascii="Arial" w:hAnsi="Arial" w:cs="Arial"/>
          <w:sz w:val="24"/>
          <w:szCs w:val="24"/>
          <w:lang w:val="en-US" w:eastAsia="en-NZ"/>
        </w:rPr>
        <w:t xml:space="preserve">The question was whether the cover </w:t>
      </w:r>
      <w:r w:rsidR="006A03F4" w:rsidRPr="00867948">
        <w:rPr>
          <w:rFonts w:ascii="Arial" w:hAnsi="Arial" w:cs="Arial"/>
          <w:sz w:val="24"/>
          <w:szCs w:val="24"/>
          <w:lang w:val="en-US" w:eastAsia="en-NZ"/>
        </w:rPr>
        <w:t xml:space="preserve">under the 1992 Act </w:t>
      </w:r>
      <w:r w:rsidR="005F61C1" w:rsidRPr="00867948">
        <w:rPr>
          <w:rFonts w:ascii="Arial" w:hAnsi="Arial" w:cs="Arial"/>
          <w:sz w:val="24"/>
          <w:szCs w:val="24"/>
          <w:lang w:val="en-US" w:eastAsia="en-NZ"/>
        </w:rPr>
        <w:t xml:space="preserve">applied to </w:t>
      </w:r>
      <w:r w:rsidR="006869C4" w:rsidRPr="00867948">
        <w:rPr>
          <w:rFonts w:ascii="Arial" w:hAnsi="Arial" w:cs="Arial"/>
          <w:sz w:val="24"/>
          <w:szCs w:val="24"/>
          <w:lang w:val="en-US" w:eastAsia="en-NZ"/>
        </w:rPr>
        <w:t xml:space="preserve">mental </w:t>
      </w:r>
      <w:r w:rsidR="005F61C1" w:rsidRPr="00867948">
        <w:rPr>
          <w:rFonts w:ascii="Arial" w:hAnsi="Arial" w:cs="Arial"/>
          <w:sz w:val="24"/>
          <w:szCs w:val="24"/>
          <w:lang w:val="en-US" w:eastAsia="en-NZ"/>
        </w:rPr>
        <w:t>injuries caused by abuse prior to 1974.</w:t>
      </w:r>
      <w:r w:rsidR="006A03F4" w:rsidRPr="00867948">
        <w:rPr>
          <w:rStyle w:val="FootnoteReference"/>
          <w:rFonts w:ascii="Arial" w:hAnsi="Arial" w:cs="Arial"/>
          <w:sz w:val="24"/>
          <w:szCs w:val="24"/>
          <w:lang w:val="en-US" w:eastAsia="en-NZ"/>
        </w:rPr>
        <w:footnoteReference w:id="24"/>
      </w:r>
      <w:r w:rsidR="00EA180F" w:rsidRPr="00867948">
        <w:rPr>
          <w:rFonts w:ascii="Arial" w:hAnsi="Arial" w:cs="Arial"/>
          <w:sz w:val="24"/>
          <w:szCs w:val="24"/>
          <w:lang w:val="en-US" w:eastAsia="en-NZ"/>
        </w:rPr>
        <w:t xml:space="preserve"> The Court of Appeal concluded that the cover under the 1992 Act did not extend to </w:t>
      </w:r>
      <w:r w:rsidR="00996305" w:rsidRPr="00867948">
        <w:rPr>
          <w:rFonts w:ascii="Arial" w:hAnsi="Arial" w:cs="Arial"/>
          <w:sz w:val="24"/>
          <w:szCs w:val="24"/>
          <w:lang w:val="en-US" w:eastAsia="en-NZ"/>
        </w:rPr>
        <w:t xml:space="preserve">mental injury caused by abuse which occurred prior to </w:t>
      </w:r>
      <w:r w:rsidR="009A5D06">
        <w:rPr>
          <w:rFonts w:ascii="Arial" w:hAnsi="Arial" w:cs="Arial"/>
          <w:sz w:val="24"/>
          <w:szCs w:val="24"/>
          <w:lang w:val="en-US" w:eastAsia="en-NZ"/>
        </w:rPr>
        <w:t xml:space="preserve">1 April </w:t>
      </w:r>
      <w:r w:rsidR="00996305" w:rsidRPr="00867948">
        <w:rPr>
          <w:rFonts w:ascii="Arial" w:hAnsi="Arial" w:cs="Arial"/>
          <w:sz w:val="24"/>
          <w:szCs w:val="24"/>
          <w:lang w:val="en-US" w:eastAsia="en-NZ"/>
        </w:rPr>
        <w:t>1974</w:t>
      </w:r>
      <w:r w:rsidR="00B953EC" w:rsidRPr="00867948">
        <w:rPr>
          <w:rFonts w:ascii="Arial" w:hAnsi="Arial" w:cs="Arial"/>
          <w:sz w:val="24"/>
          <w:szCs w:val="24"/>
          <w:lang w:val="en-US" w:eastAsia="en-NZ"/>
        </w:rPr>
        <w:t>, and therefore the claims were not barred.</w:t>
      </w:r>
      <w:r w:rsidR="0028374B" w:rsidRPr="00867948">
        <w:rPr>
          <w:rStyle w:val="FootnoteReference"/>
          <w:rFonts w:ascii="Arial" w:hAnsi="Arial" w:cs="Arial"/>
          <w:sz w:val="24"/>
          <w:szCs w:val="24"/>
          <w:lang w:val="en-US" w:eastAsia="en-NZ"/>
        </w:rPr>
        <w:footnoteReference w:id="25"/>
      </w:r>
    </w:p>
    <w:p w14:paraId="01A78DCA" w14:textId="77777777" w:rsidR="00FE79FD" w:rsidRPr="00867948" w:rsidRDefault="00FE79FD" w:rsidP="00867948">
      <w:pPr>
        <w:pStyle w:val="ListParagraph"/>
        <w:ind w:left="1134" w:hanging="567"/>
        <w:rPr>
          <w:rFonts w:ascii="Arial" w:hAnsi="Arial" w:cs="Arial"/>
          <w:sz w:val="24"/>
          <w:szCs w:val="24"/>
          <w:lang w:val="en-US" w:eastAsia="en-NZ"/>
        </w:rPr>
      </w:pPr>
    </w:p>
    <w:p w14:paraId="6B499A0B" w14:textId="0E113D7E" w:rsidR="00FE79FD" w:rsidRPr="00867948" w:rsidRDefault="00FE79FD" w:rsidP="00867948">
      <w:pPr>
        <w:pStyle w:val="ListParagraph"/>
        <w:numPr>
          <w:ilvl w:val="0"/>
          <w:numId w:val="32"/>
        </w:numPr>
        <w:ind w:left="1134" w:hanging="567"/>
        <w:rPr>
          <w:rFonts w:ascii="Arial" w:hAnsi="Arial" w:cs="Arial"/>
          <w:sz w:val="24"/>
          <w:szCs w:val="24"/>
          <w:lang w:val="en-US" w:eastAsia="en-NZ"/>
        </w:rPr>
      </w:pPr>
      <w:r w:rsidRPr="00867948">
        <w:rPr>
          <w:rFonts w:ascii="Arial" w:hAnsi="Arial" w:cs="Arial"/>
          <w:sz w:val="24"/>
          <w:szCs w:val="24"/>
          <w:lang w:val="en-US" w:eastAsia="en-NZ"/>
        </w:rPr>
        <w:t xml:space="preserve">This led to an amendment to the Accident Compensation Act in 2005, </w:t>
      </w:r>
      <w:r w:rsidR="00812C07" w:rsidRPr="00867948">
        <w:rPr>
          <w:rFonts w:ascii="Arial" w:hAnsi="Arial" w:cs="Arial"/>
          <w:sz w:val="24"/>
          <w:szCs w:val="24"/>
          <w:lang w:val="en-US" w:eastAsia="en-NZ"/>
        </w:rPr>
        <w:t xml:space="preserve">explicitly </w:t>
      </w:r>
      <w:r w:rsidRPr="00867948">
        <w:rPr>
          <w:rFonts w:ascii="Arial" w:hAnsi="Arial" w:cs="Arial"/>
          <w:sz w:val="24"/>
          <w:szCs w:val="24"/>
          <w:lang w:val="en-US" w:eastAsia="en-NZ"/>
        </w:rPr>
        <w:t xml:space="preserve">providing that </w:t>
      </w:r>
      <w:r w:rsidR="00812C07" w:rsidRPr="00867948">
        <w:rPr>
          <w:rFonts w:ascii="Arial" w:hAnsi="Arial" w:cs="Arial"/>
          <w:sz w:val="24"/>
          <w:szCs w:val="24"/>
          <w:lang w:val="en-US" w:eastAsia="en-NZ"/>
        </w:rPr>
        <w:t xml:space="preserve">cover was available </w:t>
      </w:r>
      <w:r w:rsidR="00BD12D3" w:rsidRPr="00867948">
        <w:rPr>
          <w:rFonts w:ascii="Arial" w:hAnsi="Arial" w:cs="Arial"/>
          <w:sz w:val="24"/>
          <w:szCs w:val="24"/>
          <w:lang w:val="en-US" w:eastAsia="en-NZ"/>
        </w:rPr>
        <w:t xml:space="preserve">– and therefore claims were barred – </w:t>
      </w:r>
      <w:r w:rsidR="00812C07" w:rsidRPr="00867948">
        <w:rPr>
          <w:rFonts w:ascii="Arial" w:hAnsi="Arial" w:cs="Arial"/>
          <w:sz w:val="24"/>
          <w:szCs w:val="24"/>
          <w:lang w:val="en-US" w:eastAsia="en-NZ"/>
        </w:rPr>
        <w:t>for</w:t>
      </w:r>
      <w:r w:rsidR="00BD12D3" w:rsidRPr="00867948">
        <w:rPr>
          <w:rFonts w:ascii="Arial" w:hAnsi="Arial" w:cs="Arial"/>
          <w:sz w:val="24"/>
          <w:szCs w:val="24"/>
          <w:lang w:val="en-US" w:eastAsia="en-NZ"/>
        </w:rPr>
        <w:t xml:space="preserve"> </w:t>
      </w:r>
      <w:r w:rsidR="00812C07" w:rsidRPr="00867948">
        <w:rPr>
          <w:rFonts w:ascii="Arial" w:hAnsi="Arial" w:cs="Arial"/>
          <w:sz w:val="24"/>
          <w:szCs w:val="24"/>
          <w:lang w:val="en-US" w:eastAsia="en-NZ"/>
        </w:rPr>
        <w:t xml:space="preserve">any </w:t>
      </w:r>
      <w:r w:rsidRPr="00867948">
        <w:rPr>
          <w:rFonts w:ascii="Arial" w:hAnsi="Arial" w:cs="Arial"/>
          <w:sz w:val="24"/>
          <w:szCs w:val="24"/>
          <w:lang w:val="en-US" w:eastAsia="en-NZ"/>
        </w:rPr>
        <w:t xml:space="preserve">mental injury </w:t>
      </w:r>
      <w:r w:rsidR="00812C07" w:rsidRPr="00867948">
        <w:rPr>
          <w:rFonts w:ascii="Arial" w:hAnsi="Arial" w:cs="Arial"/>
          <w:sz w:val="24"/>
          <w:szCs w:val="24"/>
          <w:lang w:val="en-US" w:eastAsia="en-NZ"/>
        </w:rPr>
        <w:t>caused by sexual offending for which treatment was first received between 1992 and 1999, even where the abusive conduct occurred prior to 1 April 1974.</w:t>
      </w:r>
      <w:r w:rsidR="00812C07" w:rsidRPr="00867948">
        <w:rPr>
          <w:rStyle w:val="FootnoteReference"/>
          <w:rFonts w:ascii="Arial" w:hAnsi="Arial" w:cs="Arial"/>
          <w:sz w:val="24"/>
          <w:szCs w:val="24"/>
          <w:lang w:val="en-US" w:eastAsia="en-NZ"/>
        </w:rPr>
        <w:footnoteReference w:id="26"/>
      </w:r>
    </w:p>
    <w:p w14:paraId="1CDFC0FA" w14:textId="13373958" w:rsidR="001B2CB9" w:rsidRPr="00867948" w:rsidRDefault="001B2CB9" w:rsidP="00867948">
      <w:pPr>
        <w:pStyle w:val="ListParagraph"/>
        <w:ind w:left="1134" w:hanging="567"/>
        <w:rPr>
          <w:rFonts w:ascii="Arial" w:hAnsi="Arial" w:cs="Arial"/>
          <w:sz w:val="24"/>
          <w:szCs w:val="24"/>
          <w:lang w:val="en-US" w:eastAsia="en-NZ"/>
        </w:rPr>
      </w:pPr>
    </w:p>
    <w:p w14:paraId="489F9AD8" w14:textId="2E041AF3" w:rsidR="009E3F92" w:rsidRPr="00867948" w:rsidRDefault="009E3F92" w:rsidP="00867948">
      <w:pPr>
        <w:pStyle w:val="ListParagraph"/>
        <w:ind w:left="1134" w:hanging="567"/>
        <w:rPr>
          <w:rFonts w:ascii="Arial" w:hAnsi="Arial" w:cs="Arial"/>
          <w:sz w:val="24"/>
          <w:szCs w:val="24"/>
          <w:lang w:val="en-US" w:eastAsia="en-NZ"/>
        </w:rPr>
      </w:pPr>
    </w:p>
    <w:p w14:paraId="6BC7CC88" w14:textId="77777777" w:rsidR="00021EA7" w:rsidRPr="00867948" w:rsidRDefault="00021EA7" w:rsidP="00867948">
      <w:pPr>
        <w:pStyle w:val="NoSpacing"/>
        <w:ind w:left="1134" w:hanging="567"/>
        <w:rPr>
          <w:rFonts w:ascii="Arial" w:hAnsi="Arial" w:cs="Arial"/>
          <w:sz w:val="24"/>
          <w:szCs w:val="24"/>
        </w:rPr>
      </w:pPr>
      <w:bookmarkStart w:id="0" w:name="_GoBack"/>
      <w:bookmarkEnd w:id="0"/>
    </w:p>
    <w:sectPr w:rsidR="00021EA7" w:rsidRPr="0086794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2181" w14:textId="77777777" w:rsidR="0018632C" w:rsidRDefault="0018632C" w:rsidP="003779A5">
      <w:pPr>
        <w:spacing w:after="0" w:line="240" w:lineRule="auto"/>
      </w:pPr>
      <w:r>
        <w:separator/>
      </w:r>
    </w:p>
  </w:endnote>
  <w:endnote w:type="continuationSeparator" w:id="0">
    <w:p w14:paraId="2666A0E6" w14:textId="77777777" w:rsidR="0018632C" w:rsidRDefault="0018632C" w:rsidP="0037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84020"/>
      <w:docPartObj>
        <w:docPartGallery w:val="Page Numbers (Bottom of Page)"/>
        <w:docPartUnique/>
      </w:docPartObj>
    </w:sdtPr>
    <w:sdtEndPr>
      <w:rPr>
        <w:noProof/>
      </w:rPr>
    </w:sdtEndPr>
    <w:sdtContent>
      <w:p w14:paraId="1A60D84D" w14:textId="6A2B268F" w:rsidR="00670923" w:rsidRDefault="00670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0763B" w14:textId="77777777" w:rsidR="00670923" w:rsidRDefault="00670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D87C" w14:textId="77777777" w:rsidR="0018632C" w:rsidRDefault="0018632C" w:rsidP="003779A5">
      <w:pPr>
        <w:spacing w:after="0" w:line="240" w:lineRule="auto"/>
      </w:pPr>
      <w:r>
        <w:separator/>
      </w:r>
    </w:p>
  </w:footnote>
  <w:footnote w:type="continuationSeparator" w:id="0">
    <w:p w14:paraId="6CF48875" w14:textId="77777777" w:rsidR="0018632C" w:rsidRDefault="0018632C" w:rsidP="003779A5">
      <w:pPr>
        <w:spacing w:after="0" w:line="240" w:lineRule="auto"/>
      </w:pPr>
      <w:r>
        <w:continuationSeparator/>
      </w:r>
    </w:p>
  </w:footnote>
  <w:footnote w:id="1">
    <w:p w14:paraId="3099E31F" w14:textId="04061391" w:rsidR="00670923" w:rsidRPr="008C08A9" w:rsidRDefault="00670923" w:rsidP="008C08A9">
      <w:pPr>
        <w:pStyle w:val="FootnoteText"/>
        <w:ind w:left="720" w:hanging="720"/>
        <w:rPr>
          <w:lang w:val="en-AU"/>
        </w:rPr>
      </w:pPr>
      <w:r>
        <w:rPr>
          <w:rStyle w:val="FootnoteReference"/>
        </w:rPr>
        <w:footnoteRef/>
      </w:r>
      <w:r>
        <w:t xml:space="preserve"> </w:t>
      </w:r>
      <w:r>
        <w:rPr>
          <w:lang w:val="en-AU"/>
        </w:rPr>
        <w:tab/>
      </w:r>
      <w:r>
        <w:t>In this case, it was recognised that the claimant became the state responsibility even without formal committal status.</w:t>
      </w:r>
    </w:p>
  </w:footnote>
  <w:footnote w:id="2">
    <w:p w14:paraId="0A814D64" w14:textId="5F789CEF" w:rsidR="00670923" w:rsidRPr="008E2184" w:rsidRDefault="00670923">
      <w:pPr>
        <w:pStyle w:val="FootnoteText"/>
        <w:rPr>
          <w:lang w:val="en-AU"/>
        </w:rPr>
      </w:pPr>
      <w:r>
        <w:rPr>
          <w:rStyle w:val="FootnoteReference"/>
        </w:rPr>
        <w:footnoteRef/>
      </w:r>
      <w:r>
        <w:t xml:space="preserve"> </w:t>
      </w:r>
      <w:r>
        <w:rPr>
          <w:lang w:val="en-AU"/>
        </w:rPr>
        <w:tab/>
        <w:t>Acting under the Child Welfare Act 1925.</w:t>
      </w:r>
    </w:p>
  </w:footnote>
  <w:footnote w:id="3">
    <w:p w14:paraId="366F954E" w14:textId="38380C53" w:rsidR="00670923" w:rsidRPr="0093640E" w:rsidRDefault="00670923">
      <w:pPr>
        <w:pStyle w:val="FootnoteText"/>
        <w:rPr>
          <w:lang w:val="en-AU"/>
        </w:rPr>
      </w:pPr>
      <w:r>
        <w:rPr>
          <w:rStyle w:val="FootnoteReference"/>
        </w:rPr>
        <w:footnoteRef/>
      </w:r>
      <w:r>
        <w:t xml:space="preserve"> </w:t>
      </w:r>
      <w:r>
        <w:rPr>
          <w:lang w:val="en-AU"/>
        </w:rPr>
        <w:tab/>
        <w:t xml:space="preserve">Section 4(1)(a). </w:t>
      </w:r>
    </w:p>
  </w:footnote>
  <w:footnote w:id="4">
    <w:p w14:paraId="0047FC3B" w14:textId="60E31FA9" w:rsidR="00670923" w:rsidRPr="00C76EA3" w:rsidRDefault="00670923">
      <w:pPr>
        <w:pStyle w:val="FootnoteText"/>
        <w:rPr>
          <w:lang w:val="en-AU"/>
        </w:rPr>
      </w:pPr>
      <w:r>
        <w:rPr>
          <w:rStyle w:val="FootnoteReference"/>
        </w:rPr>
        <w:footnoteRef/>
      </w:r>
      <w:r>
        <w:t xml:space="preserve"> </w:t>
      </w:r>
      <w:r>
        <w:rPr>
          <w:lang w:val="en-AU"/>
        </w:rPr>
        <w:tab/>
        <w:t xml:space="preserve">Where not prevented by accident compensation legislation. </w:t>
      </w:r>
    </w:p>
  </w:footnote>
  <w:footnote w:id="5">
    <w:p w14:paraId="37FCB426" w14:textId="34DE2DCC" w:rsidR="00670923" w:rsidRPr="00BC1BC4" w:rsidRDefault="00670923" w:rsidP="00BC1BC4">
      <w:pPr>
        <w:pStyle w:val="FootnoteText"/>
        <w:ind w:left="720" w:hanging="720"/>
        <w:rPr>
          <w:lang w:val="en-AU"/>
        </w:rPr>
      </w:pPr>
      <w:r>
        <w:rPr>
          <w:rStyle w:val="FootnoteReference"/>
        </w:rPr>
        <w:footnoteRef/>
      </w:r>
      <w:r>
        <w:t xml:space="preserve"> </w:t>
      </w:r>
      <w:r>
        <w:rPr>
          <w:lang w:val="en-AU"/>
        </w:rPr>
        <w:tab/>
        <w:t xml:space="preserve">Bodily injury is not defined, but case law has used it interchangeably with personal injury, which includes psychiatric injury – see for example </w:t>
      </w:r>
      <w:r>
        <w:rPr>
          <w:i/>
          <w:iCs/>
          <w:lang w:val="en-AU"/>
        </w:rPr>
        <w:t xml:space="preserve">T v H </w:t>
      </w:r>
      <w:r>
        <w:rPr>
          <w:lang w:val="en-AU"/>
        </w:rPr>
        <w:t>[1995] 3 NZLR 37.</w:t>
      </w:r>
    </w:p>
  </w:footnote>
  <w:footnote w:id="6">
    <w:p w14:paraId="582584E4" w14:textId="6503740F" w:rsidR="00670923" w:rsidRPr="003F4788" w:rsidRDefault="00670923" w:rsidP="00091B68">
      <w:pPr>
        <w:pStyle w:val="FootnoteText"/>
        <w:ind w:left="720" w:hanging="720"/>
        <w:rPr>
          <w:lang w:val="en-AU"/>
        </w:rPr>
      </w:pPr>
      <w:r>
        <w:rPr>
          <w:rStyle w:val="FootnoteReference"/>
        </w:rPr>
        <w:footnoteRef/>
      </w:r>
      <w:r>
        <w:t xml:space="preserve"> </w:t>
      </w:r>
      <w:r>
        <w:rPr>
          <w:lang w:val="en-AU"/>
        </w:rPr>
        <w:tab/>
        <w:t>Section 4(7).</w:t>
      </w:r>
      <w:r w:rsidRPr="00091B68">
        <w:rPr>
          <w:rFonts w:ascii="Arial" w:eastAsia="Times New Roman" w:hAnsi="Arial" w:cs="Arial"/>
          <w:color w:val="000000"/>
          <w:sz w:val="24"/>
          <w:szCs w:val="24"/>
          <w:lang w:val="en-NZ" w:eastAsia="en-NZ"/>
        </w:rPr>
        <w:t xml:space="preserve"> </w:t>
      </w:r>
      <w:r w:rsidRPr="00091B68">
        <w:rPr>
          <w:lang w:val="en-NZ"/>
        </w:rPr>
        <w:t>The Court can grant such leave “if it thinks it is just to do so…where it considers that delay in bringing the action was occasioned by mistake…or by any other reasonable cause or that the intended defendant was not materially prejudiced in his defence or otherwise by the delay.”</w:t>
      </w:r>
    </w:p>
  </w:footnote>
  <w:footnote w:id="7">
    <w:p w14:paraId="453FC4FA" w14:textId="2E94E371" w:rsidR="00670923" w:rsidRPr="00E2767E" w:rsidRDefault="00670923" w:rsidP="00585F51">
      <w:pPr>
        <w:pStyle w:val="FootnoteText"/>
        <w:rPr>
          <w:lang w:val="en-NZ"/>
        </w:rPr>
      </w:pPr>
      <w:r>
        <w:rPr>
          <w:rStyle w:val="FootnoteReference"/>
        </w:rPr>
        <w:footnoteRef/>
      </w:r>
      <w:r>
        <w:t xml:space="preserve"> </w:t>
      </w:r>
      <w:r>
        <w:rPr>
          <w:lang w:val="en-AU"/>
        </w:rPr>
        <w:tab/>
        <w:t xml:space="preserve">See </w:t>
      </w:r>
      <w:r w:rsidR="00B51E84">
        <w:rPr>
          <w:lang w:val="en-AU"/>
        </w:rPr>
        <w:t xml:space="preserve">s 4(9), and, </w:t>
      </w:r>
      <w:r>
        <w:rPr>
          <w:lang w:val="en-AU"/>
        </w:rPr>
        <w:t>for example</w:t>
      </w:r>
      <w:r w:rsidR="00B51E84">
        <w:rPr>
          <w:lang w:val="en-AU"/>
        </w:rPr>
        <w:t>,</w:t>
      </w:r>
      <w:r>
        <w:rPr>
          <w:lang w:val="en-AU"/>
        </w:rPr>
        <w:t xml:space="preserve"> </w:t>
      </w:r>
      <w:r w:rsidRPr="00E2767E">
        <w:rPr>
          <w:i/>
          <w:iCs/>
          <w:lang w:val="en-NZ"/>
        </w:rPr>
        <w:t xml:space="preserve">S v G </w:t>
      </w:r>
      <w:r w:rsidRPr="00E2767E">
        <w:rPr>
          <w:lang w:val="en-NZ"/>
        </w:rPr>
        <w:t>[1995] 3 NZLR 681 (CA)</w:t>
      </w:r>
      <w:r>
        <w:rPr>
          <w:lang w:val="en-NZ"/>
        </w:rPr>
        <w:t>.</w:t>
      </w:r>
    </w:p>
  </w:footnote>
  <w:footnote w:id="8">
    <w:p w14:paraId="4EFF7240" w14:textId="18A75A02" w:rsidR="00405A92" w:rsidRPr="009B5D66" w:rsidRDefault="00405A92" w:rsidP="009B5D66">
      <w:pPr>
        <w:pStyle w:val="FootnoteText"/>
        <w:ind w:left="720" w:hanging="720"/>
        <w:rPr>
          <w:lang w:val="en-AU"/>
        </w:rPr>
      </w:pPr>
      <w:r>
        <w:rPr>
          <w:rStyle w:val="FootnoteReference"/>
        </w:rPr>
        <w:footnoteRef/>
      </w:r>
      <w:r>
        <w:t xml:space="preserve"> </w:t>
      </w:r>
      <w:r>
        <w:rPr>
          <w:lang w:val="en-AU"/>
        </w:rPr>
        <w:tab/>
      </w:r>
      <w:r w:rsidR="00E96CE8">
        <w:rPr>
          <w:lang w:val="en-AU"/>
        </w:rPr>
        <w:t>S</w:t>
      </w:r>
      <w:r>
        <w:rPr>
          <w:lang w:val="en-AU"/>
        </w:rPr>
        <w:t>ee for example</w:t>
      </w:r>
      <w:r w:rsidR="00BE43A2">
        <w:rPr>
          <w:lang w:val="en-AU"/>
        </w:rPr>
        <w:t xml:space="preserve"> </w:t>
      </w:r>
      <w:r w:rsidR="00BE43A2">
        <w:rPr>
          <w:i/>
          <w:iCs/>
          <w:lang w:val="en-AU"/>
        </w:rPr>
        <w:t>Harris v Attorney General</w:t>
      </w:r>
      <w:r w:rsidR="003E6078">
        <w:rPr>
          <w:lang w:val="en-AU"/>
        </w:rPr>
        <w:t xml:space="preserve"> (2004) 7 HRNZ 369</w:t>
      </w:r>
      <w:r w:rsidR="00DE0CCA">
        <w:rPr>
          <w:lang w:val="en-AU"/>
        </w:rPr>
        <w:t xml:space="preserve"> (HC)</w:t>
      </w:r>
      <w:r w:rsidR="00F61EDD">
        <w:rPr>
          <w:lang w:val="en-AU"/>
        </w:rPr>
        <w:t>,</w:t>
      </w:r>
      <w:r w:rsidR="00C72963">
        <w:rPr>
          <w:lang w:val="en-AU"/>
        </w:rPr>
        <w:t xml:space="preserve"> at [37],</w:t>
      </w:r>
      <w:r w:rsidR="00F61EDD">
        <w:rPr>
          <w:lang w:val="en-AU"/>
        </w:rPr>
        <w:t xml:space="preserve"> which held that the </w:t>
      </w:r>
      <w:r w:rsidR="00967455">
        <w:rPr>
          <w:lang w:val="en-AU"/>
        </w:rPr>
        <w:t>requirement to obtain leave</w:t>
      </w:r>
      <w:r w:rsidR="00BE4C1B">
        <w:rPr>
          <w:lang w:val="en-AU"/>
        </w:rPr>
        <w:t xml:space="preserve"> under</w:t>
      </w:r>
      <w:r w:rsidR="00967455">
        <w:rPr>
          <w:lang w:val="en-AU"/>
        </w:rPr>
        <w:t xml:space="preserve"> </w:t>
      </w:r>
      <w:r w:rsidR="00F61EDD">
        <w:rPr>
          <w:lang w:val="en-AU"/>
        </w:rPr>
        <w:t xml:space="preserve">s 4(7) </w:t>
      </w:r>
      <w:r w:rsidR="00BE4C1B">
        <w:rPr>
          <w:lang w:val="en-AU"/>
        </w:rPr>
        <w:t xml:space="preserve">of the Limitation Act 1950 </w:t>
      </w:r>
      <w:r w:rsidR="00F61EDD">
        <w:rPr>
          <w:lang w:val="en-AU"/>
        </w:rPr>
        <w:t xml:space="preserve">applied </w:t>
      </w:r>
      <w:r w:rsidR="00DE0CCA">
        <w:rPr>
          <w:lang w:val="en-AU"/>
        </w:rPr>
        <w:t>in respect</w:t>
      </w:r>
      <w:r w:rsidR="0045405C">
        <w:rPr>
          <w:lang w:val="en-AU"/>
        </w:rPr>
        <w:t xml:space="preserve"> of </w:t>
      </w:r>
      <w:r w:rsidR="00A24D4C">
        <w:rPr>
          <w:lang w:val="en-AU"/>
        </w:rPr>
        <w:t xml:space="preserve">a claim under the NZBORA “when the assessment of any monetary award </w:t>
      </w:r>
      <w:r w:rsidR="00426217">
        <w:rPr>
          <w:lang w:val="en-AU"/>
        </w:rPr>
        <w:t>will involve personal injury as a matter of significance in relation to the defendant’s conduct</w:t>
      </w:r>
      <w:r w:rsidR="006E3E7A">
        <w:rPr>
          <w:lang w:val="en-AU"/>
        </w:rPr>
        <w:t>, even when the award is not directly to compensate for the personal injury</w:t>
      </w:r>
      <w:r w:rsidR="00426217">
        <w:rPr>
          <w:lang w:val="en-AU"/>
        </w:rPr>
        <w:t>”.</w:t>
      </w:r>
      <w:r w:rsidR="001100CD">
        <w:rPr>
          <w:lang w:val="en-AU"/>
        </w:rPr>
        <w:t xml:space="preserve"> </w:t>
      </w:r>
      <w:r w:rsidR="00833DCE">
        <w:rPr>
          <w:lang w:val="en-AU"/>
        </w:rPr>
        <w:t xml:space="preserve">See also </w:t>
      </w:r>
      <w:r w:rsidR="00833DCE">
        <w:rPr>
          <w:i/>
          <w:iCs/>
          <w:lang w:val="en-AU"/>
        </w:rPr>
        <w:t xml:space="preserve">Reekie v Attorney General </w:t>
      </w:r>
      <w:r w:rsidR="00103EEF">
        <w:rPr>
          <w:lang w:val="en-AU"/>
        </w:rPr>
        <w:t>(CRI-2007-404-</w:t>
      </w:r>
      <w:r w:rsidR="00834F77">
        <w:rPr>
          <w:lang w:val="en-AU"/>
        </w:rPr>
        <w:t xml:space="preserve">002652, </w:t>
      </w:r>
      <w:r w:rsidR="00103EEF">
        <w:rPr>
          <w:lang w:val="en-AU"/>
        </w:rPr>
        <w:t>HC Auckland</w:t>
      </w:r>
      <w:r w:rsidR="00834F77">
        <w:rPr>
          <w:lang w:val="en-AU"/>
        </w:rPr>
        <w:t>, 22 December 2008)</w:t>
      </w:r>
      <w:r w:rsidR="00A30E4D">
        <w:rPr>
          <w:lang w:val="en-AU"/>
        </w:rPr>
        <w:t>.</w:t>
      </w:r>
    </w:p>
  </w:footnote>
  <w:footnote w:id="9">
    <w:p w14:paraId="6B3A32CA" w14:textId="0E6602C1" w:rsidR="005E3E25" w:rsidRPr="005E3E25" w:rsidRDefault="005E3E25" w:rsidP="00BB6701">
      <w:pPr>
        <w:pStyle w:val="FootnoteText"/>
        <w:ind w:left="720" w:hanging="720"/>
        <w:rPr>
          <w:lang w:val="en-AU"/>
        </w:rPr>
      </w:pPr>
      <w:r>
        <w:rPr>
          <w:rStyle w:val="FootnoteReference"/>
        </w:rPr>
        <w:footnoteRef/>
      </w:r>
      <w:r>
        <w:t xml:space="preserve"> </w:t>
      </w:r>
      <w:r>
        <w:rPr>
          <w:lang w:val="en-AU"/>
        </w:rPr>
        <w:tab/>
      </w:r>
      <w:r w:rsidR="00636625">
        <w:rPr>
          <w:lang w:val="en-AU"/>
        </w:rPr>
        <w:t xml:space="preserve">The applicability of this to assault and battery claims not involving sexual abuse is still in question. </w:t>
      </w:r>
      <w:r>
        <w:rPr>
          <w:i/>
          <w:iCs/>
          <w:lang w:val="en-AU"/>
        </w:rPr>
        <w:t xml:space="preserve">White </w:t>
      </w:r>
      <w:r>
        <w:rPr>
          <w:lang w:val="en-AU"/>
        </w:rPr>
        <w:t xml:space="preserve">raises a question as to whether </w:t>
      </w:r>
      <w:r w:rsidR="00BB6701">
        <w:rPr>
          <w:lang w:val="en-AU"/>
        </w:rPr>
        <w:t>this applies beyond sexual abuse cases, but did not need to decide the point as</w:t>
      </w:r>
      <w:r w:rsidR="007232BF">
        <w:rPr>
          <w:lang w:val="en-AU"/>
        </w:rPr>
        <w:t xml:space="preserve"> it</w:t>
      </w:r>
      <w:r w:rsidR="00BB6701">
        <w:rPr>
          <w:lang w:val="en-AU"/>
        </w:rPr>
        <w:t xml:space="preserve"> found that </w:t>
      </w:r>
      <w:r w:rsidR="00907371">
        <w:rPr>
          <w:lang w:val="en-AU"/>
        </w:rPr>
        <w:t xml:space="preserve">even if it did, </w:t>
      </w:r>
      <w:r w:rsidR="00BB6701">
        <w:rPr>
          <w:lang w:val="en-AU"/>
        </w:rPr>
        <w:t xml:space="preserve">the plaintiffs </w:t>
      </w:r>
      <w:r w:rsidR="000C6077">
        <w:rPr>
          <w:lang w:val="en-AU"/>
        </w:rPr>
        <w:t xml:space="preserve">had </w:t>
      </w:r>
      <w:r w:rsidR="00657F73">
        <w:rPr>
          <w:lang w:val="en-AU"/>
        </w:rPr>
        <w:t xml:space="preserve">in fact </w:t>
      </w:r>
      <w:r w:rsidR="000C6077">
        <w:rPr>
          <w:lang w:val="en-AU"/>
        </w:rPr>
        <w:t xml:space="preserve">understood </w:t>
      </w:r>
      <w:r w:rsidR="00657F73">
        <w:rPr>
          <w:lang w:val="en-AU"/>
        </w:rPr>
        <w:t xml:space="preserve">the conduct </w:t>
      </w:r>
      <w:r w:rsidR="00BB6701">
        <w:rPr>
          <w:lang w:val="en-AU"/>
        </w:rPr>
        <w:t xml:space="preserve">was wrongful and so the limitation bar applied. </w:t>
      </w:r>
    </w:p>
  </w:footnote>
  <w:footnote w:id="10">
    <w:p w14:paraId="1E87D978" w14:textId="77777777" w:rsidR="00670923" w:rsidRPr="006E3B33" w:rsidRDefault="00670923" w:rsidP="00CF4E07">
      <w:pPr>
        <w:pStyle w:val="FootnoteText"/>
        <w:ind w:left="720" w:hanging="720"/>
        <w:rPr>
          <w:lang w:val="en-AU"/>
        </w:rPr>
      </w:pPr>
      <w:r>
        <w:rPr>
          <w:rStyle w:val="FootnoteReference"/>
        </w:rPr>
        <w:footnoteRef/>
      </w:r>
      <w:r>
        <w:t xml:space="preserve"> </w:t>
      </w:r>
      <w:r>
        <w:rPr>
          <w:lang w:val="en-AU"/>
        </w:rPr>
        <w:tab/>
        <w:t>This was not a claim of abuse in State care, but still is of relevance to the doctrine of reasonable discoverability.</w:t>
      </w:r>
    </w:p>
  </w:footnote>
  <w:footnote w:id="11">
    <w:p w14:paraId="65D2AA85" w14:textId="77777777" w:rsidR="00670923" w:rsidRPr="00AF79F7" w:rsidRDefault="00670923" w:rsidP="00CE043C">
      <w:pPr>
        <w:pStyle w:val="FootnoteText"/>
        <w:rPr>
          <w:lang w:val="en-AU"/>
        </w:rPr>
      </w:pPr>
      <w:r>
        <w:rPr>
          <w:rStyle w:val="FootnoteReference"/>
        </w:rPr>
        <w:footnoteRef/>
      </w:r>
      <w:r>
        <w:t xml:space="preserve"> </w:t>
      </w:r>
      <w:r>
        <w:rPr>
          <w:lang w:val="en-AU"/>
        </w:rPr>
        <w:tab/>
        <w:t>Section 24.</w:t>
      </w:r>
    </w:p>
  </w:footnote>
  <w:footnote w:id="12">
    <w:p w14:paraId="5DE4AE7F" w14:textId="77777777" w:rsidR="00670923" w:rsidRPr="005A7A61" w:rsidRDefault="00670923" w:rsidP="00CE043C">
      <w:pPr>
        <w:pStyle w:val="FootnoteText"/>
        <w:rPr>
          <w:lang w:val="en-AU"/>
        </w:rPr>
      </w:pPr>
      <w:r>
        <w:rPr>
          <w:rStyle w:val="FootnoteReference"/>
        </w:rPr>
        <w:footnoteRef/>
      </w:r>
      <w:r>
        <w:t xml:space="preserve"> </w:t>
      </w:r>
      <w:r>
        <w:rPr>
          <w:lang w:val="en-AU"/>
        </w:rPr>
        <w:tab/>
        <w:t>Section 28.</w:t>
      </w:r>
    </w:p>
  </w:footnote>
  <w:footnote w:id="13">
    <w:p w14:paraId="075C7498" w14:textId="7A5EB80B" w:rsidR="00CE5B4A" w:rsidRPr="00CE5B4A" w:rsidRDefault="00CE5B4A">
      <w:pPr>
        <w:pStyle w:val="FootnoteText"/>
        <w:rPr>
          <w:lang w:val="en-AU"/>
        </w:rPr>
      </w:pPr>
      <w:r>
        <w:rPr>
          <w:rStyle w:val="FootnoteReference"/>
        </w:rPr>
        <w:footnoteRef/>
      </w:r>
      <w:r>
        <w:t xml:space="preserve"> </w:t>
      </w:r>
      <w:r>
        <w:rPr>
          <w:lang w:val="en-AU"/>
        </w:rPr>
        <w:tab/>
        <w:t>Section 2(3).</w:t>
      </w:r>
    </w:p>
  </w:footnote>
  <w:footnote w:id="14">
    <w:p w14:paraId="2925C5C8" w14:textId="0EAECB38" w:rsidR="00497651" w:rsidRPr="00D824E0" w:rsidRDefault="00497651" w:rsidP="00497651">
      <w:pPr>
        <w:pStyle w:val="FootnoteText"/>
        <w:ind w:left="720" w:hanging="720"/>
        <w:rPr>
          <w:lang w:val="en-AU"/>
        </w:rPr>
      </w:pPr>
      <w:r>
        <w:rPr>
          <w:rStyle w:val="FootnoteReference"/>
        </w:rPr>
        <w:footnoteRef/>
      </w:r>
      <w:r>
        <w:t xml:space="preserve"> </w:t>
      </w:r>
      <w:r>
        <w:rPr>
          <w:lang w:val="en-AU"/>
        </w:rPr>
        <w:tab/>
        <w:t xml:space="preserve">See s 59 of the 2010 Act. </w:t>
      </w:r>
    </w:p>
  </w:footnote>
  <w:footnote w:id="15">
    <w:p w14:paraId="467DCF50" w14:textId="38F2839B" w:rsidR="00497651" w:rsidRPr="009B5D66" w:rsidRDefault="00497651" w:rsidP="009B5D66">
      <w:pPr>
        <w:pStyle w:val="FootnoteText"/>
        <w:ind w:left="720" w:hanging="720"/>
        <w:rPr>
          <w:lang w:val="en-AU"/>
        </w:rPr>
      </w:pPr>
      <w:r>
        <w:rPr>
          <w:rStyle w:val="FootnoteReference"/>
        </w:rPr>
        <w:footnoteRef/>
      </w:r>
      <w:r>
        <w:t xml:space="preserve"> </w:t>
      </w:r>
      <w:r>
        <w:rPr>
          <w:lang w:val="en-AU"/>
        </w:rPr>
        <w:tab/>
        <w:t xml:space="preserve">Though note that claims relating to acts prior to </w:t>
      </w:r>
      <w:r w:rsidR="00383492">
        <w:rPr>
          <w:lang w:val="en-AU"/>
        </w:rPr>
        <w:t xml:space="preserve">1 January 2011 </w:t>
      </w:r>
      <w:r>
        <w:rPr>
          <w:lang w:val="en-AU"/>
        </w:rPr>
        <w:t xml:space="preserve">that would </w:t>
      </w:r>
      <w:r>
        <w:rPr>
          <w:i/>
          <w:iCs/>
          <w:lang w:val="en-AU"/>
        </w:rPr>
        <w:t>not</w:t>
      </w:r>
      <w:r>
        <w:rPr>
          <w:lang w:val="en-AU"/>
        </w:rPr>
        <w:t xml:space="preserve"> have been covered by the 1950 Act may be subject to the 2010 Act. This could include, for example, claims under the New Zealand Bill of Rights Act to which the Limitation Act 1950 did not apply. The 2010 Act specifically applies the 6 year limitation period to claims for monetary relief under the New Zealand Bill of Rights Act – see s 11 and 12(2)(c).</w:t>
      </w:r>
    </w:p>
  </w:footnote>
  <w:footnote w:id="16">
    <w:p w14:paraId="0193F7FA" w14:textId="3521CB1A" w:rsidR="0094116A" w:rsidRDefault="0094116A">
      <w:pPr>
        <w:pStyle w:val="FootnoteText"/>
      </w:pPr>
      <w:r>
        <w:rPr>
          <w:rStyle w:val="FootnoteReference"/>
        </w:rPr>
        <w:footnoteRef/>
      </w:r>
      <w:r>
        <w:t xml:space="preserve"> </w:t>
      </w:r>
      <w:r>
        <w:tab/>
        <w:t>Section 317</w:t>
      </w:r>
    </w:p>
  </w:footnote>
  <w:footnote w:id="17">
    <w:p w14:paraId="0AD4D4DE" w14:textId="3B821DF3" w:rsidR="0094116A" w:rsidRDefault="0094116A">
      <w:pPr>
        <w:pStyle w:val="FootnoteText"/>
      </w:pPr>
      <w:r>
        <w:rPr>
          <w:rStyle w:val="FootnoteReference"/>
        </w:rPr>
        <w:footnoteRef/>
      </w:r>
      <w:r>
        <w:t xml:space="preserve"> </w:t>
      </w:r>
      <w:r>
        <w:tab/>
        <w:t>Section 319</w:t>
      </w:r>
    </w:p>
  </w:footnote>
  <w:footnote w:id="18">
    <w:p w14:paraId="49DB57A8" w14:textId="77777777" w:rsidR="0032248A" w:rsidRPr="005706AE" w:rsidRDefault="0032248A" w:rsidP="0032248A">
      <w:pPr>
        <w:pStyle w:val="FootnoteText"/>
        <w:rPr>
          <w:lang w:val="en-AU"/>
        </w:rPr>
      </w:pPr>
      <w:r>
        <w:rPr>
          <w:rStyle w:val="FootnoteReference"/>
        </w:rPr>
        <w:footnoteRef/>
      </w:r>
      <w:r>
        <w:t xml:space="preserve"> </w:t>
      </w:r>
      <w:r>
        <w:rPr>
          <w:lang w:val="en-AU"/>
        </w:rPr>
        <w:tab/>
        <w:t>Section 21.</w:t>
      </w:r>
    </w:p>
  </w:footnote>
  <w:footnote w:id="19">
    <w:p w14:paraId="2812365B" w14:textId="40F4AAF5" w:rsidR="003F433F" w:rsidRPr="003F433F" w:rsidRDefault="003F433F">
      <w:pPr>
        <w:pStyle w:val="FootnoteText"/>
        <w:rPr>
          <w:lang w:val="en-AU"/>
        </w:rPr>
      </w:pPr>
      <w:r>
        <w:rPr>
          <w:rStyle w:val="FootnoteReference"/>
        </w:rPr>
        <w:footnoteRef/>
      </w:r>
      <w:r>
        <w:t xml:space="preserve"> </w:t>
      </w:r>
      <w:r>
        <w:rPr>
          <w:lang w:val="en-AU"/>
        </w:rPr>
        <w:tab/>
        <w:t>Section 36.</w:t>
      </w:r>
    </w:p>
  </w:footnote>
  <w:footnote w:id="20">
    <w:p w14:paraId="0F1EEC35" w14:textId="4A745B54" w:rsidR="008C03F2" w:rsidRPr="008C03F2" w:rsidRDefault="008C03F2">
      <w:pPr>
        <w:pStyle w:val="FootnoteText"/>
        <w:rPr>
          <w:lang w:val="en-AU"/>
        </w:rPr>
      </w:pPr>
      <w:r>
        <w:rPr>
          <w:rStyle w:val="FootnoteReference"/>
        </w:rPr>
        <w:footnoteRef/>
      </w:r>
      <w:r>
        <w:t xml:space="preserve"> </w:t>
      </w:r>
      <w:r>
        <w:rPr>
          <w:lang w:val="en-AU"/>
        </w:rPr>
        <w:tab/>
        <w:t>Section 8(3) and (4)</w:t>
      </w:r>
      <w:r w:rsidR="00F27C6E">
        <w:rPr>
          <w:lang w:val="en-AU"/>
        </w:rPr>
        <w:t>, Accident Rehabilitation and Compensation Insurance Act 1992.</w:t>
      </w:r>
    </w:p>
  </w:footnote>
  <w:footnote w:id="21">
    <w:p w14:paraId="7CA470D4" w14:textId="3500238B" w:rsidR="002F5657" w:rsidRPr="002F5657" w:rsidRDefault="002F5657">
      <w:pPr>
        <w:pStyle w:val="FootnoteText"/>
        <w:rPr>
          <w:lang w:val="en-AU"/>
        </w:rPr>
      </w:pPr>
      <w:r>
        <w:rPr>
          <w:rStyle w:val="FootnoteReference"/>
        </w:rPr>
        <w:footnoteRef/>
      </w:r>
      <w:r>
        <w:t xml:space="preserve"> </w:t>
      </w:r>
      <w:r>
        <w:rPr>
          <w:lang w:val="en-AU"/>
        </w:rPr>
        <w:tab/>
        <w:t>Section 4(1)</w:t>
      </w:r>
      <w:r w:rsidR="004026FB">
        <w:rPr>
          <w:lang w:val="en-AU"/>
        </w:rPr>
        <w:t>.</w:t>
      </w:r>
    </w:p>
  </w:footnote>
  <w:footnote w:id="22">
    <w:p w14:paraId="4A91568A" w14:textId="53988B05" w:rsidR="00A935BC" w:rsidRPr="00A935BC" w:rsidRDefault="00A935BC" w:rsidP="0045763B">
      <w:pPr>
        <w:pStyle w:val="FootnoteText"/>
        <w:ind w:left="720" w:hanging="720"/>
        <w:rPr>
          <w:lang w:val="en-AU"/>
        </w:rPr>
      </w:pPr>
      <w:r>
        <w:rPr>
          <w:rStyle w:val="FootnoteReference"/>
        </w:rPr>
        <w:footnoteRef/>
      </w:r>
      <w:r>
        <w:t xml:space="preserve"> </w:t>
      </w:r>
      <w:r>
        <w:rPr>
          <w:lang w:val="en-AU"/>
        </w:rPr>
        <w:tab/>
        <w:t>Section 44, Accident Insurance Act 1998.</w:t>
      </w:r>
      <w:r w:rsidR="0045763B">
        <w:rPr>
          <w:lang w:val="en-AU"/>
        </w:rPr>
        <w:t xml:space="preserve"> The 1992 Act had a similar deeming provision relating to claims for payment for mental injury in s 63(3). However this was relating to claims for payment rather than more generally for defining what was covered by the scheme – see </w:t>
      </w:r>
      <w:r w:rsidR="0045763B">
        <w:rPr>
          <w:i/>
          <w:iCs/>
          <w:lang w:val="en-AU"/>
        </w:rPr>
        <w:t>S v AG.</w:t>
      </w:r>
    </w:p>
  </w:footnote>
  <w:footnote w:id="23">
    <w:p w14:paraId="208FFA09" w14:textId="73A06052" w:rsidR="00AF5E9A" w:rsidRPr="00AF5E9A" w:rsidRDefault="00AF5E9A">
      <w:pPr>
        <w:pStyle w:val="FootnoteText"/>
        <w:rPr>
          <w:lang w:val="en-AU"/>
        </w:rPr>
      </w:pPr>
      <w:r>
        <w:rPr>
          <w:rStyle w:val="FootnoteReference"/>
        </w:rPr>
        <w:footnoteRef/>
      </w:r>
      <w:r>
        <w:t xml:space="preserve"> </w:t>
      </w:r>
      <w:r>
        <w:rPr>
          <w:lang w:val="en-AU"/>
        </w:rPr>
        <w:tab/>
        <w:t>Section 36,</w:t>
      </w:r>
    </w:p>
  </w:footnote>
  <w:footnote w:id="24">
    <w:p w14:paraId="5FD45F1F" w14:textId="4820F82D" w:rsidR="006A03F4" w:rsidRPr="006A03F4" w:rsidRDefault="006A03F4">
      <w:pPr>
        <w:pStyle w:val="FootnoteText"/>
        <w:rPr>
          <w:lang w:val="en-AU"/>
        </w:rPr>
      </w:pPr>
      <w:r>
        <w:rPr>
          <w:rStyle w:val="FootnoteReference"/>
        </w:rPr>
        <w:footnoteRef/>
      </w:r>
      <w:r>
        <w:t xml:space="preserve"> </w:t>
      </w:r>
      <w:r>
        <w:rPr>
          <w:lang w:val="en-AU"/>
        </w:rPr>
        <w:tab/>
        <w:t xml:space="preserve">Note in </w:t>
      </w:r>
      <w:r>
        <w:rPr>
          <w:i/>
          <w:iCs/>
          <w:lang w:val="en-AU"/>
        </w:rPr>
        <w:t xml:space="preserve">W </w:t>
      </w:r>
      <w:r>
        <w:rPr>
          <w:lang w:val="en-AU"/>
        </w:rPr>
        <w:t>also a question about applicability of 1998 Act – see para [29].</w:t>
      </w:r>
    </w:p>
  </w:footnote>
  <w:footnote w:id="25">
    <w:p w14:paraId="428EF893" w14:textId="40157935" w:rsidR="0028374B" w:rsidRPr="0028374B" w:rsidRDefault="0028374B">
      <w:pPr>
        <w:pStyle w:val="FootnoteText"/>
        <w:rPr>
          <w:lang w:val="en-AU"/>
        </w:rPr>
      </w:pPr>
      <w:r>
        <w:rPr>
          <w:rStyle w:val="FootnoteReference"/>
        </w:rPr>
        <w:footnoteRef/>
      </w:r>
      <w:r>
        <w:t xml:space="preserve"> </w:t>
      </w:r>
      <w:r>
        <w:rPr>
          <w:lang w:val="en-AU"/>
        </w:rPr>
        <w:tab/>
        <w:t xml:space="preserve">See </w:t>
      </w:r>
      <w:r>
        <w:rPr>
          <w:i/>
          <w:iCs/>
          <w:lang w:val="en-AU"/>
        </w:rPr>
        <w:t xml:space="preserve">S v Attorney-General, </w:t>
      </w:r>
      <w:r>
        <w:rPr>
          <w:lang w:val="en-AU"/>
        </w:rPr>
        <w:t>at [21] – [29].</w:t>
      </w:r>
    </w:p>
  </w:footnote>
  <w:footnote w:id="26">
    <w:p w14:paraId="2ED162B4" w14:textId="5D235A1E" w:rsidR="00812C07" w:rsidRPr="00812C07" w:rsidRDefault="00812C07">
      <w:pPr>
        <w:pStyle w:val="FootnoteText"/>
        <w:rPr>
          <w:lang w:val="en-AU"/>
        </w:rPr>
      </w:pPr>
      <w:r>
        <w:rPr>
          <w:rStyle w:val="FootnoteReference"/>
        </w:rPr>
        <w:footnoteRef/>
      </w:r>
      <w:r>
        <w:t xml:space="preserve"> </w:t>
      </w:r>
      <w:r>
        <w:rPr>
          <w:lang w:val="en-AU"/>
        </w:rPr>
        <w:tab/>
        <w:t>See section 21A.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D22"/>
    <w:multiLevelType w:val="hybridMultilevel"/>
    <w:tmpl w:val="3702CA5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61A466E"/>
    <w:multiLevelType w:val="hybridMultilevel"/>
    <w:tmpl w:val="C37CE5D0"/>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7A2EF5"/>
    <w:multiLevelType w:val="hybridMultilevel"/>
    <w:tmpl w:val="55E00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720E8"/>
    <w:multiLevelType w:val="hybridMultilevel"/>
    <w:tmpl w:val="1318F0E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 w15:restartNumberingAfterBreak="0">
    <w:nsid w:val="08B12F73"/>
    <w:multiLevelType w:val="hybridMultilevel"/>
    <w:tmpl w:val="FCC0F6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150358"/>
    <w:multiLevelType w:val="hybridMultilevel"/>
    <w:tmpl w:val="C11AA746"/>
    <w:lvl w:ilvl="0" w:tplc="A9828F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2200805"/>
    <w:multiLevelType w:val="hybridMultilevel"/>
    <w:tmpl w:val="CFDA9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161C16"/>
    <w:multiLevelType w:val="hybridMultilevel"/>
    <w:tmpl w:val="9494972C"/>
    <w:lvl w:ilvl="0" w:tplc="7184701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A73F6D"/>
    <w:multiLevelType w:val="hybridMultilevel"/>
    <w:tmpl w:val="C1D8254E"/>
    <w:lvl w:ilvl="0" w:tplc="79DC6B6E">
      <w:start w:val="1"/>
      <w:numFmt w:val="lowerLetter"/>
      <w:lvlText w:val="(%1)"/>
      <w:lvlJc w:val="left"/>
      <w:pPr>
        <w:ind w:left="1353" w:hanging="360"/>
      </w:pPr>
      <w:rPr>
        <w:rFonts w:ascii="Arial" w:eastAsia="Times New Roman" w:hAnsi="Arial" w:cs="Arial"/>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9" w15:restartNumberingAfterBreak="0">
    <w:nsid w:val="1B17003B"/>
    <w:multiLevelType w:val="hybridMultilevel"/>
    <w:tmpl w:val="C99A9F6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FB34FBE"/>
    <w:multiLevelType w:val="hybridMultilevel"/>
    <w:tmpl w:val="C43487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84125A"/>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15:restartNumberingAfterBreak="0">
    <w:nsid w:val="24E35BE6"/>
    <w:multiLevelType w:val="hybridMultilevel"/>
    <w:tmpl w:val="8DEE4A06"/>
    <w:lvl w:ilvl="0" w:tplc="D7E4D8CC">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5B1255A"/>
    <w:multiLevelType w:val="hybridMultilevel"/>
    <w:tmpl w:val="FAD082A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26985F93"/>
    <w:multiLevelType w:val="hybridMultilevel"/>
    <w:tmpl w:val="BB36BBE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5" w15:restartNumberingAfterBreak="0">
    <w:nsid w:val="269C5EC2"/>
    <w:multiLevelType w:val="hybridMultilevel"/>
    <w:tmpl w:val="92DEEF32"/>
    <w:lvl w:ilvl="0" w:tplc="0E400A76">
      <w:start w:val="2"/>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9414BA4"/>
    <w:multiLevelType w:val="hybridMultilevel"/>
    <w:tmpl w:val="2D36E2C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D13A0"/>
    <w:multiLevelType w:val="hybridMultilevel"/>
    <w:tmpl w:val="126E6DC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309C7A87"/>
    <w:multiLevelType w:val="hybridMultilevel"/>
    <w:tmpl w:val="E762198A"/>
    <w:lvl w:ilvl="0" w:tplc="7E82D640">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318B500D"/>
    <w:multiLevelType w:val="hybridMultilevel"/>
    <w:tmpl w:val="8442578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323C759E"/>
    <w:multiLevelType w:val="hybridMultilevel"/>
    <w:tmpl w:val="57A25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76FB0"/>
    <w:multiLevelType w:val="hybridMultilevel"/>
    <w:tmpl w:val="6E9CE8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011083D"/>
    <w:multiLevelType w:val="hybridMultilevel"/>
    <w:tmpl w:val="190E831E"/>
    <w:lvl w:ilvl="0" w:tplc="DB12C9FA">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3" w15:restartNumberingAfterBreak="0">
    <w:nsid w:val="44872AC6"/>
    <w:multiLevelType w:val="hybridMultilevel"/>
    <w:tmpl w:val="A9AC9D8C"/>
    <w:lvl w:ilvl="0" w:tplc="EA90426C">
      <w:start w:val="19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90944"/>
    <w:multiLevelType w:val="hybridMultilevel"/>
    <w:tmpl w:val="458C7956"/>
    <w:lvl w:ilvl="0" w:tplc="C86EAAC8">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5" w15:restartNumberingAfterBreak="0">
    <w:nsid w:val="46F7293A"/>
    <w:multiLevelType w:val="hybridMultilevel"/>
    <w:tmpl w:val="82DCD5D0"/>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6" w15:restartNumberingAfterBreak="0">
    <w:nsid w:val="4BF11BE8"/>
    <w:multiLevelType w:val="hybridMultilevel"/>
    <w:tmpl w:val="81B6A9AC"/>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7" w15:restartNumberingAfterBreak="0">
    <w:nsid w:val="4FE8350C"/>
    <w:multiLevelType w:val="hybridMultilevel"/>
    <w:tmpl w:val="BAD4E3C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033AA8"/>
    <w:multiLevelType w:val="hybridMultilevel"/>
    <w:tmpl w:val="B1BAD7E0"/>
    <w:lvl w:ilvl="0" w:tplc="D7E4D8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8BD15F2"/>
    <w:multiLevelType w:val="hybridMultilevel"/>
    <w:tmpl w:val="847E78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94753D6"/>
    <w:multiLevelType w:val="hybridMultilevel"/>
    <w:tmpl w:val="0C8C939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1" w15:restartNumberingAfterBreak="0">
    <w:nsid w:val="5E9372F9"/>
    <w:multiLevelType w:val="hybridMultilevel"/>
    <w:tmpl w:val="356E42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9773B39"/>
    <w:multiLevelType w:val="hybridMultilevel"/>
    <w:tmpl w:val="99722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F20428"/>
    <w:multiLevelType w:val="hybridMultilevel"/>
    <w:tmpl w:val="21F892F4"/>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CBD6754"/>
    <w:multiLevelType w:val="hybridMultilevel"/>
    <w:tmpl w:val="B1BAD7E0"/>
    <w:lvl w:ilvl="0" w:tplc="D7E4D8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F4911F2"/>
    <w:multiLevelType w:val="hybridMultilevel"/>
    <w:tmpl w:val="432C6FE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6" w15:restartNumberingAfterBreak="0">
    <w:nsid w:val="6FC354EB"/>
    <w:multiLevelType w:val="hybridMultilevel"/>
    <w:tmpl w:val="C99A9F60"/>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1DD7DAF"/>
    <w:multiLevelType w:val="hybridMultilevel"/>
    <w:tmpl w:val="B5B68A10"/>
    <w:lvl w:ilvl="0" w:tplc="249E3D80">
      <w:start w:val="1"/>
      <w:numFmt w:val="lowerLetter"/>
      <w:lvlText w:val="(%1)"/>
      <w:lvlJc w:val="left"/>
      <w:pPr>
        <w:ind w:left="720" w:hanging="360"/>
      </w:pPr>
      <w:rPr>
        <w:rFonts w:ascii="Arial" w:eastAsiaTheme="minorHAnsi"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92B4115"/>
    <w:multiLevelType w:val="hybridMultilevel"/>
    <w:tmpl w:val="E5E8B74E"/>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num w:numId="1">
    <w:abstractNumId w:val="18"/>
  </w:num>
  <w:num w:numId="2">
    <w:abstractNumId w:val="10"/>
  </w:num>
  <w:num w:numId="3">
    <w:abstractNumId w:val="19"/>
  </w:num>
  <w:num w:numId="4">
    <w:abstractNumId w:val="17"/>
  </w:num>
  <w:num w:numId="5">
    <w:abstractNumId w:val="8"/>
  </w:num>
  <w:num w:numId="6">
    <w:abstractNumId w:val="37"/>
  </w:num>
  <w:num w:numId="7">
    <w:abstractNumId w:val="32"/>
  </w:num>
  <w:num w:numId="8">
    <w:abstractNumId w:val="21"/>
  </w:num>
  <w:num w:numId="9">
    <w:abstractNumId w:val="30"/>
  </w:num>
  <w:num w:numId="10">
    <w:abstractNumId w:val="35"/>
  </w:num>
  <w:num w:numId="11">
    <w:abstractNumId w:val="14"/>
  </w:num>
  <w:num w:numId="12">
    <w:abstractNumId w:val="6"/>
  </w:num>
  <w:num w:numId="13">
    <w:abstractNumId w:val="29"/>
  </w:num>
  <w:num w:numId="14">
    <w:abstractNumId w:val="33"/>
  </w:num>
  <w:num w:numId="15">
    <w:abstractNumId w:val="11"/>
  </w:num>
  <w:num w:numId="16">
    <w:abstractNumId w:val="22"/>
  </w:num>
  <w:num w:numId="17">
    <w:abstractNumId w:val="24"/>
  </w:num>
  <w:num w:numId="18">
    <w:abstractNumId w:val="7"/>
  </w:num>
  <w:num w:numId="19">
    <w:abstractNumId w:val="25"/>
  </w:num>
  <w:num w:numId="20">
    <w:abstractNumId w:val="16"/>
  </w:num>
  <w:num w:numId="21">
    <w:abstractNumId w:val="38"/>
  </w:num>
  <w:num w:numId="22">
    <w:abstractNumId w:val="0"/>
  </w:num>
  <w:num w:numId="23">
    <w:abstractNumId w:val="9"/>
  </w:num>
  <w:num w:numId="24">
    <w:abstractNumId w:val="23"/>
  </w:num>
  <w:num w:numId="25">
    <w:abstractNumId w:val="20"/>
  </w:num>
  <w:num w:numId="26">
    <w:abstractNumId w:val="1"/>
  </w:num>
  <w:num w:numId="27">
    <w:abstractNumId w:val="2"/>
  </w:num>
  <w:num w:numId="28">
    <w:abstractNumId w:val="5"/>
  </w:num>
  <w:num w:numId="29">
    <w:abstractNumId w:val="15"/>
  </w:num>
  <w:num w:numId="30">
    <w:abstractNumId w:val="34"/>
  </w:num>
  <w:num w:numId="31">
    <w:abstractNumId w:val="28"/>
  </w:num>
  <w:num w:numId="32">
    <w:abstractNumId w:val="12"/>
  </w:num>
  <w:num w:numId="33">
    <w:abstractNumId w:val="27"/>
  </w:num>
  <w:num w:numId="34">
    <w:abstractNumId w:val="4"/>
  </w:num>
  <w:num w:numId="35">
    <w:abstractNumId w:val="31"/>
  </w:num>
  <w:num w:numId="36">
    <w:abstractNumId w:val="3"/>
  </w:num>
  <w:num w:numId="37">
    <w:abstractNumId w:val="36"/>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4"/>
    <w:rsid w:val="00000395"/>
    <w:rsid w:val="00002251"/>
    <w:rsid w:val="000027CB"/>
    <w:rsid w:val="000058EC"/>
    <w:rsid w:val="000068D5"/>
    <w:rsid w:val="00010D54"/>
    <w:rsid w:val="000121EC"/>
    <w:rsid w:val="000125C5"/>
    <w:rsid w:val="00012FD3"/>
    <w:rsid w:val="00013144"/>
    <w:rsid w:val="00013A55"/>
    <w:rsid w:val="00014740"/>
    <w:rsid w:val="00014E8D"/>
    <w:rsid w:val="00015024"/>
    <w:rsid w:val="00016F6C"/>
    <w:rsid w:val="0002078C"/>
    <w:rsid w:val="00020B81"/>
    <w:rsid w:val="00021EA7"/>
    <w:rsid w:val="0002266F"/>
    <w:rsid w:val="00025B01"/>
    <w:rsid w:val="000269C5"/>
    <w:rsid w:val="00027F16"/>
    <w:rsid w:val="0003155D"/>
    <w:rsid w:val="000315F7"/>
    <w:rsid w:val="00032470"/>
    <w:rsid w:val="00032CA1"/>
    <w:rsid w:val="0003360F"/>
    <w:rsid w:val="00034361"/>
    <w:rsid w:val="00034B8E"/>
    <w:rsid w:val="000356B7"/>
    <w:rsid w:val="00036C4E"/>
    <w:rsid w:val="00037173"/>
    <w:rsid w:val="000401B6"/>
    <w:rsid w:val="00041A52"/>
    <w:rsid w:val="0004233C"/>
    <w:rsid w:val="000432CC"/>
    <w:rsid w:val="00047704"/>
    <w:rsid w:val="00047A39"/>
    <w:rsid w:val="00047CD3"/>
    <w:rsid w:val="00053B1C"/>
    <w:rsid w:val="00053CC2"/>
    <w:rsid w:val="0005619C"/>
    <w:rsid w:val="000579F4"/>
    <w:rsid w:val="0006215A"/>
    <w:rsid w:val="0006639E"/>
    <w:rsid w:val="000668C2"/>
    <w:rsid w:val="000705C3"/>
    <w:rsid w:val="000716AF"/>
    <w:rsid w:val="00073522"/>
    <w:rsid w:val="0007376C"/>
    <w:rsid w:val="000739E1"/>
    <w:rsid w:val="00073F62"/>
    <w:rsid w:val="000747A8"/>
    <w:rsid w:val="00087ED6"/>
    <w:rsid w:val="00091B68"/>
    <w:rsid w:val="0009206D"/>
    <w:rsid w:val="000960EB"/>
    <w:rsid w:val="000A0329"/>
    <w:rsid w:val="000A0E05"/>
    <w:rsid w:val="000A1B41"/>
    <w:rsid w:val="000A271F"/>
    <w:rsid w:val="000A2B00"/>
    <w:rsid w:val="000A6704"/>
    <w:rsid w:val="000B23E4"/>
    <w:rsid w:val="000B3C54"/>
    <w:rsid w:val="000B5457"/>
    <w:rsid w:val="000C001D"/>
    <w:rsid w:val="000C10B8"/>
    <w:rsid w:val="000C24F8"/>
    <w:rsid w:val="000C3476"/>
    <w:rsid w:val="000C38E5"/>
    <w:rsid w:val="000C4F66"/>
    <w:rsid w:val="000C6077"/>
    <w:rsid w:val="000C7F69"/>
    <w:rsid w:val="000D3E70"/>
    <w:rsid w:val="000D44B8"/>
    <w:rsid w:val="000D6C5A"/>
    <w:rsid w:val="000E1070"/>
    <w:rsid w:val="000E260A"/>
    <w:rsid w:val="000E2D87"/>
    <w:rsid w:val="000E2F1D"/>
    <w:rsid w:val="000E3690"/>
    <w:rsid w:val="000E383B"/>
    <w:rsid w:val="000E6B0E"/>
    <w:rsid w:val="000E72FA"/>
    <w:rsid w:val="000F073D"/>
    <w:rsid w:val="000F2A6B"/>
    <w:rsid w:val="000F4739"/>
    <w:rsid w:val="000F4816"/>
    <w:rsid w:val="000F4885"/>
    <w:rsid w:val="000F6083"/>
    <w:rsid w:val="000F6108"/>
    <w:rsid w:val="000F6904"/>
    <w:rsid w:val="000F71E1"/>
    <w:rsid w:val="000F7920"/>
    <w:rsid w:val="00103EEF"/>
    <w:rsid w:val="00103F92"/>
    <w:rsid w:val="001060C6"/>
    <w:rsid w:val="00106255"/>
    <w:rsid w:val="001100CD"/>
    <w:rsid w:val="00110CAA"/>
    <w:rsid w:val="00111107"/>
    <w:rsid w:val="00111784"/>
    <w:rsid w:val="00111B03"/>
    <w:rsid w:val="001127DB"/>
    <w:rsid w:val="00115856"/>
    <w:rsid w:val="00116634"/>
    <w:rsid w:val="00116830"/>
    <w:rsid w:val="00116F07"/>
    <w:rsid w:val="00122A25"/>
    <w:rsid w:val="0012478E"/>
    <w:rsid w:val="00125058"/>
    <w:rsid w:val="001251D5"/>
    <w:rsid w:val="0012628F"/>
    <w:rsid w:val="001303A2"/>
    <w:rsid w:val="00130677"/>
    <w:rsid w:val="00131FE2"/>
    <w:rsid w:val="001329E7"/>
    <w:rsid w:val="0013317A"/>
    <w:rsid w:val="0013342C"/>
    <w:rsid w:val="001338A0"/>
    <w:rsid w:val="001340C9"/>
    <w:rsid w:val="00135555"/>
    <w:rsid w:val="00137059"/>
    <w:rsid w:val="00141313"/>
    <w:rsid w:val="001436CB"/>
    <w:rsid w:val="00145A9F"/>
    <w:rsid w:val="00145C9D"/>
    <w:rsid w:val="00147A4D"/>
    <w:rsid w:val="0015042F"/>
    <w:rsid w:val="00150A8B"/>
    <w:rsid w:val="00154419"/>
    <w:rsid w:val="00157A8D"/>
    <w:rsid w:val="001601DA"/>
    <w:rsid w:val="0016522B"/>
    <w:rsid w:val="0016542C"/>
    <w:rsid w:val="00165ADB"/>
    <w:rsid w:val="00165B67"/>
    <w:rsid w:val="00167035"/>
    <w:rsid w:val="0017458C"/>
    <w:rsid w:val="00174B78"/>
    <w:rsid w:val="00175BAD"/>
    <w:rsid w:val="001761F1"/>
    <w:rsid w:val="0018632C"/>
    <w:rsid w:val="00186EA6"/>
    <w:rsid w:val="00187E51"/>
    <w:rsid w:val="00190D1B"/>
    <w:rsid w:val="00191B3A"/>
    <w:rsid w:val="00193039"/>
    <w:rsid w:val="0019495C"/>
    <w:rsid w:val="00195C50"/>
    <w:rsid w:val="00195FB2"/>
    <w:rsid w:val="0019768B"/>
    <w:rsid w:val="001A0D28"/>
    <w:rsid w:val="001A1674"/>
    <w:rsid w:val="001A40D0"/>
    <w:rsid w:val="001A4C9A"/>
    <w:rsid w:val="001A535A"/>
    <w:rsid w:val="001A5F64"/>
    <w:rsid w:val="001B26D5"/>
    <w:rsid w:val="001B2CB9"/>
    <w:rsid w:val="001B36D6"/>
    <w:rsid w:val="001B39ED"/>
    <w:rsid w:val="001B459B"/>
    <w:rsid w:val="001B5672"/>
    <w:rsid w:val="001C1B20"/>
    <w:rsid w:val="001C2639"/>
    <w:rsid w:val="001C41EC"/>
    <w:rsid w:val="001C46E5"/>
    <w:rsid w:val="001C5FE2"/>
    <w:rsid w:val="001D0659"/>
    <w:rsid w:val="001D20C0"/>
    <w:rsid w:val="001D225C"/>
    <w:rsid w:val="001D2863"/>
    <w:rsid w:val="001D33D1"/>
    <w:rsid w:val="001D6D65"/>
    <w:rsid w:val="001E01D0"/>
    <w:rsid w:val="001E3F7A"/>
    <w:rsid w:val="001E5A86"/>
    <w:rsid w:val="001E7FFD"/>
    <w:rsid w:val="001F0BDA"/>
    <w:rsid w:val="001F3327"/>
    <w:rsid w:val="001F3D66"/>
    <w:rsid w:val="001F3F7A"/>
    <w:rsid w:val="001F412E"/>
    <w:rsid w:val="001F53EE"/>
    <w:rsid w:val="001F6A63"/>
    <w:rsid w:val="001F6A8A"/>
    <w:rsid w:val="001F6C93"/>
    <w:rsid w:val="001F6D13"/>
    <w:rsid w:val="00203D23"/>
    <w:rsid w:val="002053F5"/>
    <w:rsid w:val="002056A3"/>
    <w:rsid w:val="00206436"/>
    <w:rsid w:val="0020646E"/>
    <w:rsid w:val="00207875"/>
    <w:rsid w:val="00207C9D"/>
    <w:rsid w:val="00211E99"/>
    <w:rsid w:val="002128AB"/>
    <w:rsid w:val="0021424E"/>
    <w:rsid w:val="002156D7"/>
    <w:rsid w:val="00220311"/>
    <w:rsid w:val="00221258"/>
    <w:rsid w:val="002223AA"/>
    <w:rsid w:val="00226F0C"/>
    <w:rsid w:val="00227AB8"/>
    <w:rsid w:val="00230678"/>
    <w:rsid w:val="0023103C"/>
    <w:rsid w:val="00231630"/>
    <w:rsid w:val="002318B0"/>
    <w:rsid w:val="00231F09"/>
    <w:rsid w:val="00232B72"/>
    <w:rsid w:val="00233388"/>
    <w:rsid w:val="00234BDC"/>
    <w:rsid w:val="0023577C"/>
    <w:rsid w:val="00237981"/>
    <w:rsid w:val="00240ED9"/>
    <w:rsid w:val="00241A37"/>
    <w:rsid w:val="00245F1D"/>
    <w:rsid w:val="00246FC6"/>
    <w:rsid w:val="00250892"/>
    <w:rsid w:val="00250F27"/>
    <w:rsid w:val="00251B4B"/>
    <w:rsid w:val="00253B4B"/>
    <w:rsid w:val="00254409"/>
    <w:rsid w:val="00256AD6"/>
    <w:rsid w:val="00256D96"/>
    <w:rsid w:val="00257298"/>
    <w:rsid w:val="002573E2"/>
    <w:rsid w:val="002576B3"/>
    <w:rsid w:val="00261B85"/>
    <w:rsid w:val="0026482A"/>
    <w:rsid w:val="00264842"/>
    <w:rsid w:val="00264845"/>
    <w:rsid w:val="002652A7"/>
    <w:rsid w:val="002653B2"/>
    <w:rsid w:val="0026626B"/>
    <w:rsid w:val="00266FD7"/>
    <w:rsid w:val="002712F9"/>
    <w:rsid w:val="0027209D"/>
    <w:rsid w:val="00273101"/>
    <w:rsid w:val="00274095"/>
    <w:rsid w:val="002753A6"/>
    <w:rsid w:val="00275952"/>
    <w:rsid w:val="002763E1"/>
    <w:rsid w:val="002764C4"/>
    <w:rsid w:val="002775BA"/>
    <w:rsid w:val="0028068D"/>
    <w:rsid w:val="00282822"/>
    <w:rsid w:val="0028374B"/>
    <w:rsid w:val="00286B4D"/>
    <w:rsid w:val="00287EAC"/>
    <w:rsid w:val="002903FA"/>
    <w:rsid w:val="0029061C"/>
    <w:rsid w:val="00291C4A"/>
    <w:rsid w:val="00292CC8"/>
    <w:rsid w:val="00294C9B"/>
    <w:rsid w:val="002A29CC"/>
    <w:rsid w:val="002A391C"/>
    <w:rsid w:val="002A62C4"/>
    <w:rsid w:val="002A6332"/>
    <w:rsid w:val="002A6FE9"/>
    <w:rsid w:val="002B1619"/>
    <w:rsid w:val="002B3253"/>
    <w:rsid w:val="002B3924"/>
    <w:rsid w:val="002B4C94"/>
    <w:rsid w:val="002B50EB"/>
    <w:rsid w:val="002B600D"/>
    <w:rsid w:val="002C0569"/>
    <w:rsid w:val="002C13FB"/>
    <w:rsid w:val="002C1C91"/>
    <w:rsid w:val="002C68D2"/>
    <w:rsid w:val="002D1436"/>
    <w:rsid w:val="002D1B2C"/>
    <w:rsid w:val="002D2CC3"/>
    <w:rsid w:val="002E0C38"/>
    <w:rsid w:val="002E4771"/>
    <w:rsid w:val="002E5FF7"/>
    <w:rsid w:val="002F21D4"/>
    <w:rsid w:val="002F2D5C"/>
    <w:rsid w:val="002F31E5"/>
    <w:rsid w:val="002F5657"/>
    <w:rsid w:val="002F6DEB"/>
    <w:rsid w:val="002F7F2D"/>
    <w:rsid w:val="00300037"/>
    <w:rsid w:val="003001A3"/>
    <w:rsid w:val="00302820"/>
    <w:rsid w:val="003033F4"/>
    <w:rsid w:val="00305D20"/>
    <w:rsid w:val="003060E0"/>
    <w:rsid w:val="0030665B"/>
    <w:rsid w:val="00307C04"/>
    <w:rsid w:val="00310DCD"/>
    <w:rsid w:val="00313973"/>
    <w:rsid w:val="003144A5"/>
    <w:rsid w:val="00314A30"/>
    <w:rsid w:val="0031667F"/>
    <w:rsid w:val="003171B4"/>
    <w:rsid w:val="00317CEA"/>
    <w:rsid w:val="00320407"/>
    <w:rsid w:val="0032248A"/>
    <w:rsid w:val="00322673"/>
    <w:rsid w:val="00323083"/>
    <w:rsid w:val="003235D7"/>
    <w:rsid w:val="00324DB9"/>
    <w:rsid w:val="00324E40"/>
    <w:rsid w:val="0032545F"/>
    <w:rsid w:val="00333913"/>
    <w:rsid w:val="0033454B"/>
    <w:rsid w:val="00341F16"/>
    <w:rsid w:val="003440D9"/>
    <w:rsid w:val="003446B9"/>
    <w:rsid w:val="00346519"/>
    <w:rsid w:val="00346787"/>
    <w:rsid w:val="0034755B"/>
    <w:rsid w:val="003478DC"/>
    <w:rsid w:val="00347D1A"/>
    <w:rsid w:val="00347E4A"/>
    <w:rsid w:val="00351FEF"/>
    <w:rsid w:val="003525ED"/>
    <w:rsid w:val="0035476E"/>
    <w:rsid w:val="00355F82"/>
    <w:rsid w:val="003608FF"/>
    <w:rsid w:val="00360CB3"/>
    <w:rsid w:val="00360FB9"/>
    <w:rsid w:val="0036228E"/>
    <w:rsid w:val="00362991"/>
    <w:rsid w:val="00362A8C"/>
    <w:rsid w:val="00362D7A"/>
    <w:rsid w:val="0036320F"/>
    <w:rsid w:val="00364CC7"/>
    <w:rsid w:val="0036516D"/>
    <w:rsid w:val="00365D32"/>
    <w:rsid w:val="00366B68"/>
    <w:rsid w:val="003715D7"/>
    <w:rsid w:val="00371E9C"/>
    <w:rsid w:val="003730F2"/>
    <w:rsid w:val="00375DD1"/>
    <w:rsid w:val="0037602B"/>
    <w:rsid w:val="00376A71"/>
    <w:rsid w:val="003779A5"/>
    <w:rsid w:val="00377A3F"/>
    <w:rsid w:val="003807C1"/>
    <w:rsid w:val="00381BDA"/>
    <w:rsid w:val="0038201D"/>
    <w:rsid w:val="00383492"/>
    <w:rsid w:val="00386193"/>
    <w:rsid w:val="00386FEA"/>
    <w:rsid w:val="003919E6"/>
    <w:rsid w:val="0039328D"/>
    <w:rsid w:val="00394698"/>
    <w:rsid w:val="003A0F6F"/>
    <w:rsid w:val="003A2078"/>
    <w:rsid w:val="003A3596"/>
    <w:rsid w:val="003A5A03"/>
    <w:rsid w:val="003A61ED"/>
    <w:rsid w:val="003A6885"/>
    <w:rsid w:val="003A7264"/>
    <w:rsid w:val="003B0C34"/>
    <w:rsid w:val="003B0F28"/>
    <w:rsid w:val="003B1B8A"/>
    <w:rsid w:val="003B2180"/>
    <w:rsid w:val="003B2887"/>
    <w:rsid w:val="003B2E7F"/>
    <w:rsid w:val="003B531C"/>
    <w:rsid w:val="003B5CB9"/>
    <w:rsid w:val="003B77C8"/>
    <w:rsid w:val="003B7BEE"/>
    <w:rsid w:val="003C1017"/>
    <w:rsid w:val="003C39BE"/>
    <w:rsid w:val="003C3E12"/>
    <w:rsid w:val="003C452E"/>
    <w:rsid w:val="003C466A"/>
    <w:rsid w:val="003C652E"/>
    <w:rsid w:val="003D0AA8"/>
    <w:rsid w:val="003D0BDB"/>
    <w:rsid w:val="003D108D"/>
    <w:rsid w:val="003D1668"/>
    <w:rsid w:val="003D1E5E"/>
    <w:rsid w:val="003D2EE2"/>
    <w:rsid w:val="003D33BE"/>
    <w:rsid w:val="003D384C"/>
    <w:rsid w:val="003D5253"/>
    <w:rsid w:val="003D6BC8"/>
    <w:rsid w:val="003E1606"/>
    <w:rsid w:val="003E2E94"/>
    <w:rsid w:val="003E45D7"/>
    <w:rsid w:val="003E506A"/>
    <w:rsid w:val="003E6078"/>
    <w:rsid w:val="003E60B0"/>
    <w:rsid w:val="003E74BE"/>
    <w:rsid w:val="003F34B8"/>
    <w:rsid w:val="003F40E0"/>
    <w:rsid w:val="003F433F"/>
    <w:rsid w:val="003F4788"/>
    <w:rsid w:val="003F4B19"/>
    <w:rsid w:val="003F70F4"/>
    <w:rsid w:val="003F7F7F"/>
    <w:rsid w:val="00400138"/>
    <w:rsid w:val="004011E7"/>
    <w:rsid w:val="00401873"/>
    <w:rsid w:val="004026FB"/>
    <w:rsid w:val="00404594"/>
    <w:rsid w:val="00404B92"/>
    <w:rsid w:val="00404E39"/>
    <w:rsid w:val="004056D9"/>
    <w:rsid w:val="00405A92"/>
    <w:rsid w:val="00405C65"/>
    <w:rsid w:val="00410094"/>
    <w:rsid w:val="00410436"/>
    <w:rsid w:val="00414792"/>
    <w:rsid w:val="00415270"/>
    <w:rsid w:val="0041669D"/>
    <w:rsid w:val="00416F27"/>
    <w:rsid w:val="00417AD6"/>
    <w:rsid w:val="00420044"/>
    <w:rsid w:val="00421E87"/>
    <w:rsid w:val="0042274D"/>
    <w:rsid w:val="00424F6F"/>
    <w:rsid w:val="004258E7"/>
    <w:rsid w:val="00426217"/>
    <w:rsid w:val="004315EB"/>
    <w:rsid w:val="00431AE9"/>
    <w:rsid w:val="004338CC"/>
    <w:rsid w:val="00433BAF"/>
    <w:rsid w:val="0043445E"/>
    <w:rsid w:val="00436072"/>
    <w:rsid w:val="00437435"/>
    <w:rsid w:val="004410AB"/>
    <w:rsid w:val="0044311E"/>
    <w:rsid w:val="00443715"/>
    <w:rsid w:val="00443B8E"/>
    <w:rsid w:val="00444CD1"/>
    <w:rsid w:val="004529BA"/>
    <w:rsid w:val="00453CDD"/>
    <w:rsid w:val="0045405C"/>
    <w:rsid w:val="0045542D"/>
    <w:rsid w:val="004566A3"/>
    <w:rsid w:val="0045685E"/>
    <w:rsid w:val="0045692B"/>
    <w:rsid w:val="0045763B"/>
    <w:rsid w:val="00457ABB"/>
    <w:rsid w:val="00460F03"/>
    <w:rsid w:val="00461198"/>
    <w:rsid w:val="004620BF"/>
    <w:rsid w:val="00472E99"/>
    <w:rsid w:val="0047432A"/>
    <w:rsid w:val="00475C46"/>
    <w:rsid w:val="00476947"/>
    <w:rsid w:val="00481012"/>
    <w:rsid w:val="00481D7F"/>
    <w:rsid w:val="00482C35"/>
    <w:rsid w:val="00485C5A"/>
    <w:rsid w:val="00485DD0"/>
    <w:rsid w:val="00491A4F"/>
    <w:rsid w:val="0049636F"/>
    <w:rsid w:val="00496F7E"/>
    <w:rsid w:val="00497651"/>
    <w:rsid w:val="004A0717"/>
    <w:rsid w:val="004A1BE0"/>
    <w:rsid w:val="004A1CE7"/>
    <w:rsid w:val="004A1EA9"/>
    <w:rsid w:val="004A212F"/>
    <w:rsid w:val="004A29DC"/>
    <w:rsid w:val="004A2FC1"/>
    <w:rsid w:val="004A53C2"/>
    <w:rsid w:val="004B1B5A"/>
    <w:rsid w:val="004B32CE"/>
    <w:rsid w:val="004B3653"/>
    <w:rsid w:val="004B3AA4"/>
    <w:rsid w:val="004B3DFD"/>
    <w:rsid w:val="004B4E92"/>
    <w:rsid w:val="004B5A59"/>
    <w:rsid w:val="004B693E"/>
    <w:rsid w:val="004C02D8"/>
    <w:rsid w:val="004C09F1"/>
    <w:rsid w:val="004C0E67"/>
    <w:rsid w:val="004C2910"/>
    <w:rsid w:val="004C2EA3"/>
    <w:rsid w:val="004C31D7"/>
    <w:rsid w:val="004C3C6B"/>
    <w:rsid w:val="004C4EB8"/>
    <w:rsid w:val="004C5AFB"/>
    <w:rsid w:val="004D20DD"/>
    <w:rsid w:val="004D44A8"/>
    <w:rsid w:val="004E152A"/>
    <w:rsid w:val="004E3F16"/>
    <w:rsid w:val="004E407D"/>
    <w:rsid w:val="004E58ED"/>
    <w:rsid w:val="004E73B2"/>
    <w:rsid w:val="004E78CE"/>
    <w:rsid w:val="004F0375"/>
    <w:rsid w:val="004F1F15"/>
    <w:rsid w:val="004F23D4"/>
    <w:rsid w:val="004F26AA"/>
    <w:rsid w:val="004F49CA"/>
    <w:rsid w:val="004F70A7"/>
    <w:rsid w:val="004F72E3"/>
    <w:rsid w:val="00500102"/>
    <w:rsid w:val="0050050D"/>
    <w:rsid w:val="005012AD"/>
    <w:rsid w:val="005021DB"/>
    <w:rsid w:val="00502F73"/>
    <w:rsid w:val="00503659"/>
    <w:rsid w:val="00503C1D"/>
    <w:rsid w:val="005060BC"/>
    <w:rsid w:val="00507B5B"/>
    <w:rsid w:val="00513BDA"/>
    <w:rsid w:val="00517391"/>
    <w:rsid w:val="005202FB"/>
    <w:rsid w:val="0052186A"/>
    <w:rsid w:val="0052265D"/>
    <w:rsid w:val="00525CA4"/>
    <w:rsid w:val="00526DE2"/>
    <w:rsid w:val="00530D7D"/>
    <w:rsid w:val="00531F74"/>
    <w:rsid w:val="00532FB4"/>
    <w:rsid w:val="005332EF"/>
    <w:rsid w:val="005335E8"/>
    <w:rsid w:val="00534920"/>
    <w:rsid w:val="0053612E"/>
    <w:rsid w:val="005361F8"/>
    <w:rsid w:val="00540016"/>
    <w:rsid w:val="00541481"/>
    <w:rsid w:val="005420B7"/>
    <w:rsid w:val="00543757"/>
    <w:rsid w:val="00545BAE"/>
    <w:rsid w:val="0055193A"/>
    <w:rsid w:val="00553466"/>
    <w:rsid w:val="00553467"/>
    <w:rsid w:val="00554490"/>
    <w:rsid w:val="005550B8"/>
    <w:rsid w:val="00555105"/>
    <w:rsid w:val="0055519C"/>
    <w:rsid w:val="00555C60"/>
    <w:rsid w:val="00556432"/>
    <w:rsid w:val="00556A63"/>
    <w:rsid w:val="00557D8D"/>
    <w:rsid w:val="005630F3"/>
    <w:rsid w:val="00564480"/>
    <w:rsid w:val="00564D4C"/>
    <w:rsid w:val="005676D9"/>
    <w:rsid w:val="00567D79"/>
    <w:rsid w:val="005706AE"/>
    <w:rsid w:val="0057302A"/>
    <w:rsid w:val="00573B27"/>
    <w:rsid w:val="00575139"/>
    <w:rsid w:val="0057712B"/>
    <w:rsid w:val="0057772F"/>
    <w:rsid w:val="005806BF"/>
    <w:rsid w:val="00580EC9"/>
    <w:rsid w:val="00581EB5"/>
    <w:rsid w:val="0058271D"/>
    <w:rsid w:val="00585F51"/>
    <w:rsid w:val="005861FE"/>
    <w:rsid w:val="0058651E"/>
    <w:rsid w:val="00597AC5"/>
    <w:rsid w:val="005A0029"/>
    <w:rsid w:val="005A1A5D"/>
    <w:rsid w:val="005A4749"/>
    <w:rsid w:val="005A60E6"/>
    <w:rsid w:val="005A7A61"/>
    <w:rsid w:val="005B07EC"/>
    <w:rsid w:val="005B261F"/>
    <w:rsid w:val="005B3B52"/>
    <w:rsid w:val="005B53C8"/>
    <w:rsid w:val="005B5EF0"/>
    <w:rsid w:val="005B64B9"/>
    <w:rsid w:val="005B6831"/>
    <w:rsid w:val="005B6BAD"/>
    <w:rsid w:val="005B7CD8"/>
    <w:rsid w:val="005C0534"/>
    <w:rsid w:val="005C2B94"/>
    <w:rsid w:val="005C2F3F"/>
    <w:rsid w:val="005C3030"/>
    <w:rsid w:val="005C3C16"/>
    <w:rsid w:val="005C409F"/>
    <w:rsid w:val="005C5607"/>
    <w:rsid w:val="005D0A94"/>
    <w:rsid w:val="005D2A4F"/>
    <w:rsid w:val="005D32C0"/>
    <w:rsid w:val="005D3A54"/>
    <w:rsid w:val="005D49B6"/>
    <w:rsid w:val="005D7803"/>
    <w:rsid w:val="005E150B"/>
    <w:rsid w:val="005E1877"/>
    <w:rsid w:val="005E24C2"/>
    <w:rsid w:val="005E2692"/>
    <w:rsid w:val="005E2A50"/>
    <w:rsid w:val="005E2C4B"/>
    <w:rsid w:val="005E3E25"/>
    <w:rsid w:val="005E4116"/>
    <w:rsid w:val="005E4189"/>
    <w:rsid w:val="005E4248"/>
    <w:rsid w:val="005E5AD4"/>
    <w:rsid w:val="005E5E70"/>
    <w:rsid w:val="005E6C80"/>
    <w:rsid w:val="005E7500"/>
    <w:rsid w:val="005F019A"/>
    <w:rsid w:val="005F2595"/>
    <w:rsid w:val="005F2C9B"/>
    <w:rsid w:val="005F2CD5"/>
    <w:rsid w:val="005F2E38"/>
    <w:rsid w:val="005F4075"/>
    <w:rsid w:val="005F61C1"/>
    <w:rsid w:val="00600C0C"/>
    <w:rsid w:val="00600DD3"/>
    <w:rsid w:val="00600E63"/>
    <w:rsid w:val="006032AB"/>
    <w:rsid w:val="00604336"/>
    <w:rsid w:val="00605216"/>
    <w:rsid w:val="0060544D"/>
    <w:rsid w:val="00605623"/>
    <w:rsid w:val="00606233"/>
    <w:rsid w:val="006138F1"/>
    <w:rsid w:val="00613E85"/>
    <w:rsid w:val="006141D4"/>
    <w:rsid w:val="006152BE"/>
    <w:rsid w:val="00620315"/>
    <w:rsid w:val="00620759"/>
    <w:rsid w:val="00622EAD"/>
    <w:rsid w:val="0062354E"/>
    <w:rsid w:val="006239FD"/>
    <w:rsid w:val="006244F8"/>
    <w:rsid w:val="0062468B"/>
    <w:rsid w:val="0062539F"/>
    <w:rsid w:val="00627A75"/>
    <w:rsid w:val="00630548"/>
    <w:rsid w:val="0063220F"/>
    <w:rsid w:val="00632E99"/>
    <w:rsid w:val="00636625"/>
    <w:rsid w:val="00636F70"/>
    <w:rsid w:val="006401A1"/>
    <w:rsid w:val="00640F6E"/>
    <w:rsid w:val="00643CFE"/>
    <w:rsid w:val="00644F74"/>
    <w:rsid w:val="00644FFE"/>
    <w:rsid w:val="0064549B"/>
    <w:rsid w:val="00645CDA"/>
    <w:rsid w:val="00647C76"/>
    <w:rsid w:val="0065075E"/>
    <w:rsid w:val="0065622D"/>
    <w:rsid w:val="00657F73"/>
    <w:rsid w:val="00662CCC"/>
    <w:rsid w:val="00667C26"/>
    <w:rsid w:val="006708F7"/>
    <w:rsid w:val="00670923"/>
    <w:rsid w:val="006736FD"/>
    <w:rsid w:val="00680D45"/>
    <w:rsid w:val="00680D4F"/>
    <w:rsid w:val="006833F4"/>
    <w:rsid w:val="00684ED6"/>
    <w:rsid w:val="006869C4"/>
    <w:rsid w:val="00686ACA"/>
    <w:rsid w:val="00690141"/>
    <w:rsid w:val="00690CFA"/>
    <w:rsid w:val="00693185"/>
    <w:rsid w:val="0069385A"/>
    <w:rsid w:val="00693D5C"/>
    <w:rsid w:val="006955DA"/>
    <w:rsid w:val="006958DD"/>
    <w:rsid w:val="00695BBA"/>
    <w:rsid w:val="0069606B"/>
    <w:rsid w:val="00697F73"/>
    <w:rsid w:val="006A03F4"/>
    <w:rsid w:val="006A0C96"/>
    <w:rsid w:val="006A20B8"/>
    <w:rsid w:val="006A2A84"/>
    <w:rsid w:val="006A3845"/>
    <w:rsid w:val="006B33D8"/>
    <w:rsid w:val="006B50ED"/>
    <w:rsid w:val="006B6390"/>
    <w:rsid w:val="006B6DD7"/>
    <w:rsid w:val="006C3444"/>
    <w:rsid w:val="006C7142"/>
    <w:rsid w:val="006C7661"/>
    <w:rsid w:val="006D1663"/>
    <w:rsid w:val="006D1FAB"/>
    <w:rsid w:val="006D46FF"/>
    <w:rsid w:val="006D4CE9"/>
    <w:rsid w:val="006D4D82"/>
    <w:rsid w:val="006D545D"/>
    <w:rsid w:val="006D60DC"/>
    <w:rsid w:val="006D7FC5"/>
    <w:rsid w:val="006E0451"/>
    <w:rsid w:val="006E18BB"/>
    <w:rsid w:val="006E35DE"/>
    <w:rsid w:val="006E3B33"/>
    <w:rsid w:val="006E3BFC"/>
    <w:rsid w:val="006E3E7A"/>
    <w:rsid w:val="006E4BC0"/>
    <w:rsid w:val="006F1151"/>
    <w:rsid w:val="006F27E8"/>
    <w:rsid w:val="006F6173"/>
    <w:rsid w:val="00702D2A"/>
    <w:rsid w:val="00704F53"/>
    <w:rsid w:val="00710619"/>
    <w:rsid w:val="00710E57"/>
    <w:rsid w:val="00712784"/>
    <w:rsid w:val="00712A21"/>
    <w:rsid w:val="00713127"/>
    <w:rsid w:val="007132FB"/>
    <w:rsid w:val="00714ABB"/>
    <w:rsid w:val="00714ED3"/>
    <w:rsid w:val="00714F6C"/>
    <w:rsid w:val="0071730C"/>
    <w:rsid w:val="00717505"/>
    <w:rsid w:val="00720504"/>
    <w:rsid w:val="007208AD"/>
    <w:rsid w:val="00721359"/>
    <w:rsid w:val="007232BF"/>
    <w:rsid w:val="00724304"/>
    <w:rsid w:val="00724C19"/>
    <w:rsid w:val="0072575F"/>
    <w:rsid w:val="00730D3F"/>
    <w:rsid w:val="00730E95"/>
    <w:rsid w:val="00732954"/>
    <w:rsid w:val="007332FD"/>
    <w:rsid w:val="007352E7"/>
    <w:rsid w:val="00736406"/>
    <w:rsid w:val="00736D44"/>
    <w:rsid w:val="00741221"/>
    <w:rsid w:val="00742341"/>
    <w:rsid w:val="00743C33"/>
    <w:rsid w:val="00745101"/>
    <w:rsid w:val="00745532"/>
    <w:rsid w:val="00746825"/>
    <w:rsid w:val="007507B2"/>
    <w:rsid w:val="00751C72"/>
    <w:rsid w:val="007529A8"/>
    <w:rsid w:val="00760B10"/>
    <w:rsid w:val="007612D4"/>
    <w:rsid w:val="00762788"/>
    <w:rsid w:val="00763704"/>
    <w:rsid w:val="00765C15"/>
    <w:rsid w:val="00767B4B"/>
    <w:rsid w:val="00767F46"/>
    <w:rsid w:val="00774766"/>
    <w:rsid w:val="0078067B"/>
    <w:rsid w:val="00780AEC"/>
    <w:rsid w:val="00782C09"/>
    <w:rsid w:val="00783785"/>
    <w:rsid w:val="00784008"/>
    <w:rsid w:val="007849BB"/>
    <w:rsid w:val="00784CD2"/>
    <w:rsid w:val="00786F7B"/>
    <w:rsid w:val="00790701"/>
    <w:rsid w:val="007909EA"/>
    <w:rsid w:val="00791E49"/>
    <w:rsid w:val="00792549"/>
    <w:rsid w:val="007947C3"/>
    <w:rsid w:val="00795275"/>
    <w:rsid w:val="00796F35"/>
    <w:rsid w:val="007971B8"/>
    <w:rsid w:val="00797278"/>
    <w:rsid w:val="00797311"/>
    <w:rsid w:val="007978AE"/>
    <w:rsid w:val="00797930"/>
    <w:rsid w:val="007A08F2"/>
    <w:rsid w:val="007A14A2"/>
    <w:rsid w:val="007A1AA0"/>
    <w:rsid w:val="007A3751"/>
    <w:rsid w:val="007A3F13"/>
    <w:rsid w:val="007A4275"/>
    <w:rsid w:val="007A48D9"/>
    <w:rsid w:val="007A4994"/>
    <w:rsid w:val="007A68F6"/>
    <w:rsid w:val="007B0390"/>
    <w:rsid w:val="007B0B65"/>
    <w:rsid w:val="007B2538"/>
    <w:rsid w:val="007B3423"/>
    <w:rsid w:val="007B3CF7"/>
    <w:rsid w:val="007B5AA7"/>
    <w:rsid w:val="007B5BAB"/>
    <w:rsid w:val="007B6616"/>
    <w:rsid w:val="007B724D"/>
    <w:rsid w:val="007B7466"/>
    <w:rsid w:val="007B7721"/>
    <w:rsid w:val="007C117F"/>
    <w:rsid w:val="007C1FE5"/>
    <w:rsid w:val="007C2D66"/>
    <w:rsid w:val="007C4ACF"/>
    <w:rsid w:val="007C4CF4"/>
    <w:rsid w:val="007C520B"/>
    <w:rsid w:val="007C78AE"/>
    <w:rsid w:val="007D073B"/>
    <w:rsid w:val="007D1C85"/>
    <w:rsid w:val="007D28E1"/>
    <w:rsid w:val="007D30C5"/>
    <w:rsid w:val="007D3DC7"/>
    <w:rsid w:val="007D50E0"/>
    <w:rsid w:val="007D7DA5"/>
    <w:rsid w:val="007E4D25"/>
    <w:rsid w:val="007F0C88"/>
    <w:rsid w:val="007F2633"/>
    <w:rsid w:val="007F4E2A"/>
    <w:rsid w:val="007F4EDA"/>
    <w:rsid w:val="007F60D3"/>
    <w:rsid w:val="007F6585"/>
    <w:rsid w:val="007F7A05"/>
    <w:rsid w:val="008017BF"/>
    <w:rsid w:val="008040FD"/>
    <w:rsid w:val="00804251"/>
    <w:rsid w:val="008062B6"/>
    <w:rsid w:val="00807C92"/>
    <w:rsid w:val="008115AC"/>
    <w:rsid w:val="00812C07"/>
    <w:rsid w:val="00812F4B"/>
    <w:rsid w:val="008141CA"/>
    <w:rsid w:val="00814497"/>
    <w:rsid w:val="00814D93"/>
    <w:rsid w:val="008150D5"/>
    <w:rsid w:val="008170A4"/>
    <w:rsid w:val="008234E1"/>
    <w:rsid w:val="00824A52"/>
    <w:rsid w:val="008266FB"/>
    <w:rsid w:val="008321D7"/>
    <w:rsid w:val="00833DCE"/>
    <w:rsid w:val="00834F77"/>
    <w:rsid w:val="0083618B"/>
    <w:rsid w:val="0084030F"/>
    <w:rsid w:val="0084181C"/>
    <w:rsid w:val="00843A8E"/>
    <w:rsid w:val="00844724"/>
    <w:rsid w:val="00846ED4"/>
    <w:rsid w:val="00850F25"/>
    <w:rsid w:val="008520F7"/>
    <w:rsid w:val="0085360F"/>
    <w:rsid w:val="0085371B"/>
    <w:rsid w:val="00855959"/>
    <w:rsid w:val="00860259"/>
    <w:rsid w:val="008603B9"/>
    <w:rsid w:val="00861529"/>
    <w:rsid w:val="0086589A"/>
    <w:rsid w:val="0086598F"/>
    <w:rsid w:val="00865B2C"/>
    <w:rsid w:val="00867948"/>
    <w:rsid w:val="0087030A"/>
    <w:rsid w:val="00874F78"/>
    <w:rsid w:val="00875E6A"/>
    <w:rsid w:val="00876486"/>
    <w:rsid w:val="00876F4D"/>
    <w:rsid w:val="00877741"/>
    <w:rsid w:val="00880FF8"/>
    <w:rsid w:val="008828A3"/>
    <w:rsid w:val="008832AA"/>
    <w:rsid w:val="00883AB5"/>
    <w:rsid w:val="008841DD"/>
    <w:rsid w:val="008915C7"/>
    <w:rsid w:val="00892A8A"/>
    <w:rsid w:val="00893172"/>
    <w:rsid w:val="008A09C0"/>
    <w:rsid w:val="008A1A30"/>
    <w:rsid w:val="008A26F4"/>
    <w:rsid w:val="008A4494"/>
    <w:rsid w:val="008A6404"/>
    <w:rsid w:val="008A76EF"/>
    <w:rsid w:val="008B0085"/>
    <w:rsid w:val="008B3F9F"/>
    <w:rsid w:val="008C03F2"/>
    <w:rsid w:val="008C0639"/>
    <w:rsid w:val="008C08A9"/>
    <w:rsid w:val="008C094F"/>
    <w:rsid w:val="008C1E84"/>
    <w:rsid w:val="008C3931"/>
    <w:rsid w:val="008C46F8"/>
    <w:rsid w:val="008C49EB"/>
    <w:rsid w:val="008C5E59"/>
    <w:rsid w:val="008C6E7F"/>
    <w:rsid w:val="008D03F2"/>
    <w:rsid w:val="008D15EA"/>
    <w:rsid w:val="008D16F1"/>
    <w:rsid w:val="008D2A5F"/>
    <w:rsid w:val="008D4D59"/>
    <w:rsid w:val="008D5084"/>
    <w:rsid w:val="008D5540"/>
    <w:rsid w:val="008D715F"/>
    <w:rsid w:val="008D7A5C"/>
    <w:rsid w:val="008E18B2"/>
    <w:rsid w:val="008E2184"/>
    <w:rsid w:val="008E2F39"/>
    <w:rsid w:val="008E45AE"/>
    <w:rsid w:val="008E5B92"/>
    <w:rsid w:val="008E60AD"/>
    <w:rsid w:val="008E703F"/>
    <w:rsid w:val="008E7086"/>
    <w:rsid w:val="008F165A"/>
    <w:rsid w:val="008F1E69"/>
    <w:rsid w:val="008F2356"/>
    <w:rsid w:val="008F2F8F"/>
    <w:rsid w:val="008F559E"/>
    <w:rsid w:val="008F6DD7"/>
    <w:rsid w:val="008F7AC8"/>
    <w:rsid w:val="00901DE7"/>
    <w:rsid w:val="00902207"/>
    <w:rsid w:val="00902E06"/>
    <w:rsid w:val="00906983"/>
    <w:rsid w:val="00907109"/>
    <w:rsid w:val="00907371"/>
    <w:rsid w:val="00911533"/>
    <w:rsid w:val="00911711"/>
    <w:rsid w:val="00912B7E"/>
    <w:rsid w:val="00914828"/>
    <w:rsid w:val="00914C1C"/>
    <w:rsid w:val="00915236"/>
    <w:rsid w:val="00915252"/>
    <w:rsid w:val="0091658B"/>
    <w:rsid w:val="00917C89"/>
    <w:rsid w:val="009210A3"/>
    <w:rsid w:val="00921E2D"/>
    <w:rsid w:val="00924617"/>
    <w:rsid w:val="009251C9"/>
    <w:rsid w:val="00925AF7"/>
    <w:rsid w:val="009264DB"/>
    <w:rsid w:val="00930682"/>
    <w:rsid w:val="00934E54"/>
    <w:rsid w:val="0093640E"/>
    <w:rsid w:val="0093657C"/>
    <w:rsid w:val="00936974"/>
    <w:rsid w:val="009404F5"/>
    <w:rsid w:val="0094116A"/>
    <w:rsid w:val="009441B0"/>
    <w:rsid w:val="00944911"/>
    <w:rsid w:val="00944BA2"/>
    <w:rsid w:val="00944FD0"/>
    <w:rsid w:val="00945279"/>
    <w:rsid w:val="00947955"/>
    <w:rsid w:val="00947ED1"/>
    <w:rsid w:val="00951109"/>
    <w:rsid w:val="009531BB"/>
    <w:rsid w:val="00955ED0"/>
    <w:rsid w:val="009651A4"/>
    <w:rsid w:val="00967455"/>
    <w:rsid w:val="009710BB"/>
    <w:rsid w:val="0097160A"/>
    <w:rsid w:val="00971889"/>
    <w:rsid w:val="00972414"/>
    <w:rsid w:val="00973224"/>
    <w:rsid w:val="009749E5"/>
    <w:rsid w:val="0097585C"/>
    <w:rsid w:val="00976AAC"/>
    <w:rsid w:val="00976F51"/>
    <w:rsid w:val="00977FBA"/>
    <w:rsid w:val="00980D1C"/>
    <w:rsid w:val="0098412F"/>
    <w:rsid w:val="009863E7"/>
    <w:rsid w:val="00987C44"/>
    <w:rsid w:val="00990B7E"/>
    <w:rsid w:val="00991248"/>
    <w:rsid w:val="0099296C"/>
    <w:rsid w:val="00992BD2"/>
    <w:rsid w:val="00994B37"/>
    <w:rsid w:val="00994D5B"/>
    <w:rsid w:val="00996305"/>
    <w:rsid w:val="00997AB2"/>
    <w:rsid w:val="009A0466"/>
    <w:rsid w:val="009A04A4"/>
    <w:rsid w:val="009A07F8"/>
    <w:rsid w:val="009A20E5"/>
    <w:rsid w:val="009A24F6"/>
    <w:rsid w:val="009A5D06"/>
    <w:rsid w:val="009A5D94"/>
    <w:rsid w:val="009A6D42"/>
    <w:rsid w:val="009B1421"/>
    <w:rsid w:val="009B2D40"/>
    <w:rsid w:val="009B3507"/>
    <w:rsid w:val="009B4DEA"/>
    <w:rsid w:val="009B5D66"/>
    <w:rsid w:val="009B64EE"/>
    <w:rsid w:val="009B6CC8"/>
    <w:rsid w:val="009B7AAE"/>
    <w:rsid w:val="009C0C23"/>
    <w:rsid w:val="009C1658"/>
    <w:rsid w:val="009C19FC"/>
    <w:rsid w:val="009C40E4"/>
    <w:rsid w:val="009C41B6"/>
    <w:rsid w:val="009C5A0B"/>
    <w:rsid w:val="009C5B8C"/>
    <w:rsid w:val="009C60B9"/>
    <w:rsid w:val="009C6C7A"/>
    <w:rsid w:val="009C7224"/>
    <w:rsid w:val="009D5D9D"/>
    <w:rsid w:val="009D63C7"/>
    <w:rsid w:val="009D6727"/>
    <w:rsid w:val="009D694B"/>
    <w:rsid w:val="009E08FD"/>
    <w:rsid w:val="009E17ED"/>
    <w:rsid w:val="009E21DE"/>
    <w:rsid w:val="009E3F92"/>
    <w:rsid w:val="009E4FCA"/>
    <w:rsid w:val="009F0AA0"/>
    <w:rsid w:val="009F164A"/>
    <w:rsid w:val="009F618F"/>
    <w:rsid w:val="009F7ADA"/>
    <w:rsid w:val="00A005BA"/>
    <w:rsid w:val="00A01681"/>
    <w:rsid w:val="00A041B7"/>
    <w:rsid w:val="00A048E7"/>
    <w:rsid w:val="00A056D5"/>
    <w:rsid w:val="00A06156"/>
    <w:rsid w:val="00A076B3"/>
    <w:rsid w:val="00A106B0"/>
    <w:rsid w:val="00A12369"/>
    <w:rsid w:val="00A12EF4"/>
    <w:rsid w:val="00A134E8"/>
    <w:rsid w:val="00A2354E"/>
    <w:rsid w:val="00A2367E"/>
    <w:rsid w:val="00A23BDC"/>
    <w:rsid w:val="00A24D4C"/>
    <w:rsid w:val="00A26A8D"/>
    <w:rsid w:val="00A30A1A"/>
    <w:rsid w:val="00A30E4D"/>
    <w:rsid w:val="00A335DA"/>
    <w:rsid w:val="00A33EDE"/>
    <w:rsid w:val="00A345B5"/>
    <w:rsid w:val="00A3552B"/>
    <w:rsid w:val="00A35CCA"/>
    <w:rsid w:val="00A360A4"/>
    <w:rsid w:val="00A36133"/>
    <w:rsid w:val="00A40583"/>
    <w:rsid w:val="00A41307"/>
    <w:rsid w:val="00A44B8C"/>
    <w:rsid w:val="00A4719F"/>
    <w:rsid w:val="00A473C1"/>
    <w:rsid w:val="00A602AA"/>
    <w:rsid w:val="00A625D7"/>
    <w:rsid w:val="00A62EBB"/>
    <w:rsid w:val="00A634FB"/>
    <w:rsid w:val="00A63B35"/>
    <w:rsid w:val="00A65982"/>
    <w:rsid w:val="00A66EE4"/>
    <w:rsid w:val="00A70A88"/>
    <w:rsid w:val="00A72633"/>
    <w:rsid w:val="00A7287B"/>
    <w:rsid w:val="00A728B8"/>
    <w:rsid w:val="00A755D3"/>
    <w:rsid w:val="00A774D3"/>
    <w:rsid w:val="00A77BC3"/>
    <w:rsid w:val="00A81611"/>
    <w:rsid w:val="00A83C10"/>
    <w:rsid w:val="00A84E70"/>
    <w:rsid w:val="00A935BC"/>
    <w:rsid w:val="00A93EE0"/>
    <w:rsid w:val="00A93F92"/>
    <w:rsid w:val="00A95754"/>
    <w:rsid w:val="00A974C8"/>
    <w:rsid w:val="00AA2D33"/>
    <w:rsid w:val="00AA40F1"/>
    <w:rsid w:val="00AA44E3"/>
    <w:rsid w:val="00AA7156"/>
    <w:rsid w:val="00AA737F"/>
    <w:rsid w:val="00AB0CB7"/>
    <w:rsid w:val="00AB77C1"/>
    <w:rsid w:val="00AC228C"/>
    <w:rsid w:val="00AC69B7"/>
    <w:rsid w:val="00AD2569"/>
    <w:rsid w:val="00AD363B"/>
    <w:rsid w:val="00AD3BCA"/>
    <w:rsid w:val="00AD5118"/>
    <w:rsid w:val="00AD58CD"/>
    <w:rsid w:val="00AE00EA"/>
    <w:rsid w:val="00AE0962"/>
    <w:rsid w:val="00AE1A1D"/>
    <w:rsid w:val="00AE1F7C"/>
    <w:rsid w:val="00AE273C"/>
    <w:rsid w:val="00AE2D54"/>
    <w:rsid w:val="00AE653E"/>
    <w:rsid w:val="00AF20AB"/>
    <w:rsid w:val="00AF5E9A"/>
    <w:rsid w:val="00AF61AA"/>
    <w:rsid w:val="00AF78ED"/>
    <w:rsid w:val="00AF79F7"/>
    <w:rsid w:val="00B00904"/>
    <w:rsid w:val="00B00940"/>
    <w:rsid w:val="00B00EAB"/>
    <w:rsid w:val="00B02CA5"/>
    <w:rsid w:val="00B040A7"/>
    <w:rsid w:val="00B06563"/>
    <w:rsid w:val="00B06620"/>
    <w:rsid w:val="00B06F08"/>
    <w:rsid w:val="00B07635"/>
    <w:rsid w:val="00B12A7A"/>
    <w:rsid w:val="00B12C0A"/>
    <w:rsid w:val="00B15243"/>
    <w:rsid w:val="00B17470"/>
    <w:rsid w:val="00B17764"/>
    <w:rsid w:val="00B177A6"/>
    <w:rsid w:val="00B20455"/>
    <w:rsid w:val="00B209FC"/>
    <w:rsid w:val="00B21217"/>
    <w:rsid w:val="00B235CD"/>
    <w:rsid w:val="00B25F6D"/>
    <w:rsid w:val="00B274F4"/>
    <w:rsid w:val="00B27849"/>
    <w:rsid w:val="00B324E7"/>
    <w:rsid w:val="00B32AB4"/>
    <w:rsid w:val="00B33C57"/>
    <w:rsid w:val="00B36A88"/>
    <w:rsid w:val="00B373D4"/>
    <w:rsid w:val="00B401D5"/>
    <w:rsid w:val="00B44B7E"/>
    <w:rsid w:val="00B45079"/>
    <w:rsid w:val="00B462EF"/>
    <w:rsid w:val="00B469FC"/>
    <w:rsid w:val="00B5195A"/>
    <w:rsid w:val="00B51E84"/>
    <w:rsid w:val="00B52AE0"/>
    <w:rsid w:val="00B53660"/>
    <w:rsid w:val="00B541D0"/>
    <w:rsid w:val="00B54BAC"/>
    <w:rsid w:val="00B54E3F"/>
    <w:rsid w:val="00B57308"/>
    <w:rsid w:val="00B5763C"/>
    <w:rsid w:val="00B62051"/>
    <w:rsid w:val="00B62AA1"/>
    <w:rsid w:val="00B62F75"/>
    <w:rsid w:val="00B632CC"/>
    <w:rsid w:val="00B63BBD"/>
    <w:rsid w:val="00B64DF7"/>
    <w:rsid w:val="00B652CD"/>
    <w:rsid w:val="00B72D66"/>
    <w:rsid w:val="00B734F4"/>
    <w:rsid w:val="00B73BA0"/>
    <w:rsid w:val="00B74D0B"/>
    <w:rsid w:val="00B77205"/>
    <w:rsid w:val="00B8053B"/>
    <w:rsid w:val="00B81BB3"/>
    <w:rsid w:val="00B825F1"/>
    <w:rsid w:val="00B825FC"/>
    <w:rsid w:val="00B8280D"/>
    <w:rsid w:val="00B83EEB"/>
    <w:rsid w:val="00B84FCD"/>
    <w:rsid w:val="00B9153F"/>
    <w:rsid w:val="00B92F40"/>
    <w:rsid w:val="00B936AF"/>
    <w:rsid w:val="00B940C9"/>
    <w:rsid w:val="00B941EF"/>
    <w:rsid w:val="00B9429D"/>
    <w:rsid w:val="00B953EC"/>
    <w:rsid w:val="00B96128"/>
    <w:rsid w:val="00BA006A"/>
    <w:rsid w:val="00BA0E6B"/>
    <w:rsid w:val="00BA0ED5"/>
    <w:rsid w:val="00BA1F55"/>
    <w:rsid w:val="00BA22A5"/>
    <w:rsid w:val="00BA3794"/>
    <w:rsid w:val="00BA4151"/>
    <w:rsid w:val="00BA7439"/>
    <w:rsid w:val="00BB1152"/>
    <w:rsid w:val="00BB1858"/>
    <w:rsid w:val="00BB3B7D"/>
    <w:rsid w:val="00BB5626"/>
    <w:rsid w:val="00BB6701"/>
    <w:rsid w:val="00BC1BC4"/>
    <w:rsid w:val="00BC22A4"/>
    <w:rsid w:val="00BC2F30"/>
    <w:rsid w:val="00BC4CB7"/>
    <w:rsid w:val="00BC6DBA"/>
    <w:rsid w:val="00BC7C19"/>
    <w:rsid w:val="00BD0CF9"/>
    <w:rsid w:val="00BD12D3"/>
    <w:rsid w:val="00BD1DEF"/>
    <w:rsid w:val="00BD2BBE"/>
    <w:rsid w:val="00BD5B6F"/>
    <w:rsid w:val="00BD6872"/>
    <w:rsid w:val="00BD75C3"/>
    <w:rsid w:val="00BD7720"/>
    <w:rsid w:val="00BE02B4"/>
    <w:rsid w:val="00BE2043"/>
    <w:rsid w:val="00BE259C"/>
    <w:rsid w:val="00BE305B"/>
    <w:rsid w:val="00BE3B5D"/>
    <w:rsid w:val="00BE43A2"/>
    <w:rsid w:val="00BE4816"/>
    <w:rsid w:val="00BE49E8"/>
    <w:rsid w:val="00BE4C1B"/>
    <w:rsid w:val="00BE78D3"/>
    <w:rsid w:val="00BF5854"/>
    <w:rsid w:val="00BF6194"/>
    <w:rsid w:val="00BF7CE4"/>
    <w:rsid w:val="00C00383"/>
    <w:rsid w:val="00C00702"/>
    <w:rsid w:val="00C013B3"/>
    <w:rsid w:val="00C042BC"/>
    <w:rsid w:val="00C043A9"/>
    <w:rsid w:val="00C054F0"/>
    <w:rsid w:val="00C0578F"/>
    <w:rsid w:val="00C06C95"/>
    <w:rsid w:val="00C072C6"/>
    <w:rsid w:val="00C07847"/>
    <w:rsid w:val="00C103F7"/>
    <w:rsid w:val="00C1162E"/>
    <w:rsid w:val="00C11722"/>
    <w:rsid w:val="00C125BE"/>
    <w:rsid w:val="00C15A1A"/>
    <w:rsid w:val="00C17636"/>
    <w:rsid w:val="00C2091F"/>
    <w:rsid w:val="00C21BC6"/>
    <w:rsid w:val="00C22362"/>
    <w:rsid w:val="00C22C78"/>
    <w:rsid w:val="00C241BB"/>
    <w:rsid w:val="00C241BD"/>
    <w:rsid w:val="00C244C9"/>
    <w:rsid w:val="00C24D20"/>
    <w:rsid w:val="00C25C5D"/>
    <w:rsid w:val="00C267F7"/>
    <w:rsid w:val="00C27B96"/>
    <w:rsid w:val="00C3072F"/>
    <w:rsid w:val="00C32507"/>
    <w:rsid w:val="00C3287C"/>
    <w:rsid w:val="00C347FD"/>
    <w:rsid w:val="00C34FF5"/>
    <w:rsid w:val="00C36D9F"/>
    <w:rsid w:val="00C411C7"/>
    <w:rsid w:val="00C4134F"/>
    <w:rsid w:val="00C41716"/>
    <w:rsid w:val="00C41AFE"/>
    <w:rsid w:val="00C43187"/>
    <w:rsid w:val="00C4459B"/>
    <w:rsid w:val="00C4609A"/>
    <w:rsid w:val="00C46B4B"/>
    <w:rsid w:val="00C473A1"/>
    <w:rsid w:val="00C47423"/>
    <w:rsid w:val="00C507F7"/>
    <w:rsid w:val="00C51217"/>
    <w:rsid w:val="00C5178C"/>
    <w:rsid w:val="00C55055"/>
    <w:rsid w:val="00C57372"/>
    <w:rsid w:val="00C57414"/>
    <w:rsid w:val="00C606F1"/>
    <w:rsid w:val="00C60E6D"/>
    <w:rsid w:val="00C60F6A"/>
    <w:rsid w:val="00C612EE"/>
    <w:rsid w:val="00C61CE7"/>
    <w:rsid w:val="00C61D2B"/>
    <w:rsid w:val="00C63703"/>
    <w:rsid w:val="00C63F2B"/>
    <w:rsid w:val="00C658BD"/>
    <w:rsid w:val="00C67529"/>
    <w:rsid w:val="00C70367"/>
    <w:rsid w:val="00C70C71"/>
    <w:rsid w:val="00C72963"/>
    <w:rsid w:val="00C72C9C"/>
    <w:rsid w:val="00C76864"/>
    <w:rsid w:val="00C76EA3"/>
    <w:rsid w:val="00C818FF"/>
    <w:rsid w:val="00C81D7D"/>
    <w:rsid w:val="00C8241A"/>
    <w:rsid w:val="00C85410"/>
    <w:rsid w:val="00C86AE6"/>
    <w:rsid w:val="00C91386"/>
    <w:rsid w:val="00C932E1"/>
    <w:rsid w:val="00C962CB"/>
    <w:rsid w:val="00C96E7D"/>
    <w:rsid w:val="00C97DCD"/>
    <w:rsid w:val="00CA1BF3"/>
    <w:rsid w:val="00CA2433"/>
    <w:rsid w:val="00CA5285"/>
    <w:rsid w:val="00CA5B3D"/>
    <w:rsid w:val="00CA5CEF"/>
    <w:rsid w:val="00CA7CA3"/>
    <w:rsid w:val="00CB0AC1"/>
    <w:rsid w:val="00CB215D"/>
    <w:rsid w:val="00CB32AB"/>
    <w:rsid w:val="00CB5113"/>
    <w:rsid w:val="00CB6C6D"/>
    <w:rsid w:val="00CB7387"/>
    <w:rsid w:val="00CB7788"/>
    <w:rsid w:val="00CB7846"/>
    <w:rsid w:val="00CB7AF6"/>
    <w:rsid w:val="00CB7C50"/>
    <w:rsid w:val="00CC004C"/>
    <w:rsid w:val="00CC0E74"/>
    <w:rsid w:val="00CC46BE"/>
    <w:rsid w:val="00CC479B"/>
    <w:rsid w:val="00CC4D91"/>
    <w:rsid w:val="00CC64A3"/>
    <w:rsid w:val="00CC668A"/>
    <w:rsid w:val="00CC7CD9"/>
    <w:rsid w:val="00CD0EA2"/>
    <w:rsid w:val="00CD1F6D"/>
    <w:rsid w:val="00CD2505"/>
    <w:rsid w:val="00CD29BD"/>
    <w:rsid w:val="00CD2A14"/>
    <w:rsid w:val="00CD3ECA"/>
    <w:rsid w:val="00CD478C"/>
    <w:rsid w:val="00CD6FC3"/>
    <w:rsid w:val="00CE043C"/>
    <w:rsid w:val="00CE05E0"/>
    <w:rsid w:val="00CE3492"/>
    <w:rsid w:val="00CE447E"/>
    <w:rsid w:val="00CE5B4A"/>
    <w:rsid w:val="00CE75CA"/>
    <w:rsid w:val="00CF051B"/>
    <w:rsid w:val="00CF08FF"/>
    <w:rsid w:val="00CF158B"/>
    <w:rsid w:val="00CF1A41"/>
    <w:rsid w:val="00CF237A"/>
    <w:rsid w:val="00CF4E07"/>
    <w:rsid w:val="00CF7FED"/>
    <w:rsid w:val="00D03A15"/>
    <w:rsid w:val="00D05F31"/>
    <w:rsid w:val="00D1523D"/>
    <w:rsid w:val="00D175AA"/>
    <w:rsid w:val="00D17A6A"/>
    <w:rsid w:val="00D20A77"/>
    <w:rsid w:val="00D2165F"/>
    <w:rsid w:val="00D22BB0"/>
    <w:rsid w:val="00D3399A"/>
    <w:rsid w:val="00D346F0"/>
    <w:rsid w:val="00D35360"/>
    <w:rsid w:val="00D35DD6"/>
    <w:rsid w:val="00D40261"/>
    <w:rsid w:val="00D41B5E"/>
    <w:rsid w:val="00D41D9B"/>
    <w:rsid w:val="00D45241"/>
    <w:rsid w:val="00D47335"/>
    <w:rsid w:val="00D50FA6"/>
    <w:rsid w:val="00D51A0F"/>
    <w:rsid w:val="00D5251C"/>
    <w:rsid w:val="00D55FA6"/>
    <w:rsid w:val="00D57308"/>
    <w:rsid w:val="00D57472"/>
    <w:rsid w:val="00D6097C"/>
    <w:rsid w:val="00D60C62"/>
    <w:rsid w:val="00D66054"/>
    <w:rsid w:val="00D662FF"/>
    <w:rsid w:val="00D66F24"/>
    <w:rsid w:val="00D67778"/>
    <w:rsid w:val="00D67BF6"/>
    <w:rsid w:val="00D67F4E"/>
    <w:rsid w:val="00D719CA"/>
    <w:rsid w:val="00D719D2"/>
    <w:rsid w:val="00D7203D"/>
    <w:rsid w:val="00D73291"/>
    <w:rsid w:val="00D73EDD"/>
    <w:rsid w:val="00D74C18"/>
    <w:rsid w:val="00D7520C"/>
    <w:rsid w:val="00D80240"/>
    <w:rsid w:val="00D81A38"/>
    <w:rsid w:val="00D81B9F"/>
    <w:rsid w:val="00D84830"/>
    <w:rsid w:val="00D8787F"/>
    <w:rsid w:val="00D904BE"/>
    <w:rsid w:val="00D974E4"/>
    <w:rsid w:val="00DA01E7"/>
    <w:rsid w:val="00DA19C5"/>
    <w:rsid w:val="00DA489C"/>
    <w:rsid w:val="00DA4B21"/>
    <w:rsid w:val="00DA575C"/>
    <w:rsid w:val="00DA5E9A"/>
    <w:rsid w:val="00DB171B"/>
    <w:rsid w:val="00DB41B0"/>
    <w:rsid w:val="00DB4E0E"/>
    <w:rsid w:val="00DB544D"/>
    <w:rsid w:val="00DC0DDE"/>
    <w:rsid w:val="00DC1D3C"/>
    <w:rsid w:val="00DC2063"/>
    <w:rsid w:val="00DC4313"/>
    <w:rsid w:val="00DD33E5"/>
    <w:rsid w:val="00DD3AB3"/>
    <w:rsid w:val="00DD3BE3"/>
    <w:rsid w:val="00DD58FF"/>
    <w:rsid w:val="00DD7524"/>
    <w:rsid w:val="00DE0CCA"/>
    <w:rsid w:val="00DE0F93"/>
    <w:rsid w:val="00DE13B9"/>
    <w:rsid w:val="00DE184E"/>
    <w:rsid w:val="00DE21E2"/>
    <w:rsid w:val="00DE3A1A"/>
    <w:rsid w:val="00DE6A0A"/>
    <w:rsid w:val="00DE794F"/>
    <w:rsid w:val="00E017AC"/>
    <w:rsid w:val="00E03D10"/>
    <w:rsid w:val="00E050DE"/>
    <w:rsid w:val="00E0598F"/>
    <w:rsid w:val="00E124E3"/>
    <w:rsid w:val="00E13593"/>
    <w:rsid w:val="00E13A98"/>
    <w:rsid w:val="00E20240"/>
    <w:rsid w:val="00E249B7"/>
    <w:rsid w:val="00E25BE1"/>
    <w:rsid w:val="00E2713F"/>
    <w:rsid w:val="00E2767E"/>
    <w:rsid w:val="00E27A77"/>
    <w:rsid w:val="00E27E44"/>
    <w:rsid w:val="00E376BC"/>
    <w:rsid w:val="00E40F32"/>
    <w:rsid w:val="00E500D7"/>
    <w:rsid w:val="00E500F3"/>
    <w:rsid w:val="00E532A8"/>
    <w:rsid w:val="00E53834"/>
    <w:rsid w:val="00E5474B"/>
    <w:rsid w:val="00E63776"/>
    <w:rsid w:val="00E63AC8"/>
    <w:rsid w:val="00E646E1"/>
    <w:rsid w:val="00E64DAE"/>
    <w:rsid w:val="00E65903"/>
    <w:rsid w:val="00E66BBB"/>
    <w:rsid w:val="00E711D1"/>
    <w:rsid w:val="00E720AE"/>
    <w:rsid w:val="00E72DED"/>
    <w:rsid w:val="00E73C06"/>
    <w:rsid w:val="00E74C4A"/>
    <w:rsid w:val="00E758C8"/>
    <w:rsid w:val="00E7734F"/>
    <w:rsid w:val="00E77F97"/>
    <w:rsid w:val="00E804FE"/>
    <w:rsid w:val="00E80879"/>
    <w:rsid w:val="00E81259"/>
    <w:rsid w:val="00E81A7E"/>
    <w:rsid w:val="00E842B2"/>
    <w:rsid w:val="00E84E7C"/>
    <w:rsid w:val="00E86877"/>
    <w:rsid w:val="00E91F96"/>
    <w:rsid w:val="00E93B1F"/>
    <w:rsid w:val="00E96CE8"/>
    <w:rsid w:val="00E96FEB"/>
    <w:rsid w:val="00EA0EC3"/>
    <w:rsid w:val="00EA180F"/>
    <w:rsid w:val="00EA20E9"/>
    <w:rsid w:val="00EA4C42"/>
    <w:rsid w:val="00EA7834"/>
    <w:rsid w:val="00EB0310"/>
    <w:rsid w:val="00EB0646"/>
    <w:rsid w:val="00EB119A"/>
    <w:rsid w:val="00EB22EF"/>
    <w:rsid w:val="00EB2A40"/>
    <w:rsid w:val="00EB68A9"/>
    <w:rsid w:val="00EB691D"/>
    <w:rsid w:val="00EB6E74"/>
    <w:rsid w:val="00EC1418"/>
    <w:rsid w:val="00EC393B"/>
    <w:rsid w:val="00EC69AC"/>
    <w:rsid w:val="00EC6F65"/>
    <w:rsid w:val="00ED1023"/>
    <w:rsid w:val="00ED168E"/>
    <w:rsid w:val="00ED1B8E"/>
    <w:rsid w:val="00ED6701"/>
    <w:rsid w:val="00EE021B"/>
    <w:rsid w:val="00EE2815"/>
    <w:rsid w:val="00EE7BF5"/>
    <w:rsid w:val="00EF13CB"/>
    <w:rsid w:val="00EF345D"/>
    <w:rsid w:val="00EF4F4F"/>
    <w:rsid w:val="00EF7B8D"/>
    <w:rsid w:val="00F017B2"/>
    <w:rsid w:val="00F0197C"/>
    <w:rsid w:val="00F0339C"/>
    <w:rsid w:val="00F10CE3"/>
    <w:rsid w:val="00F1256E"/>
    <w:rsid w:val="00F13DE0"/>
    <w:rsid w:val="00F141B3"/>
    <w:rsid w:val="00F15157"/>
    <w:rsid w:val="00F16E6D"/>
    <w:rsid w:val="00F20323"/>
    <w:rsid w:val="00F20408"/>
    <w:rsid w:val="00F20C0A"/>
    <w:rsid w:val="00F20C51"/>
    <w:rsid w:val="00F2174D"/>
    <w:rsid w:val="00F2317C"/>
    <w:rsid w:val="00F238B8"/>
    <w:rsid w:val="00F24434"/>
    <w:rsid w:val="00F247F2"/>
    <w:rsid w:val="00F27C6E"/>
    <w:rsid w:val="00F303AE"/>
    <w:rsid w:val="00F31BEA"/>
    <w:rsid w:val="00F3261A"/>
    <w:rsid w:val="00F33465"/>
    <w:rsid w:val="00F34CCD"/>
    <w:rsid w:val="00F35646"/>
    <w:rsid w:val="00F364DA"/>
    <w:rsid w:val="00F3695A"/>
    <w:rsid w:val="00F4042D"/>
    <w:rsid w:val="00F42D33"/>
    <w:rsid w:val="00F43F3E"/>
    <w:rsid w:val="00F45838"/>
    <w:rsid w:val="00F46975"/>
    <w:rsid w:val="00F46D2E"/>
    <w:rsid w:val="00F46E46"/>
    <w:rsid w:val="00F47EA9"/>
    <w:rsid w:val="00F50EB7"/>
    <w:rsid w:val="00F513BB"/>
    <w:rsid w:val="00F54A37"/>
    <w:rsid w:val="00F54C90"/>
    <w:rsid w:val="00F57B46"/>
    <w:rsid w:val="00F6173D"/>
    <w:rsid w:val="00F61AA6"/>
    <w:rsid w:val="00F61EDD"/>
    <w:rsid w:val="00F61EFC"/>
    <w:rsid w:val="00F623EE"/>
    <w:rsid w:val="00F628BB"/>
    <w:rsid w:val="00F6488E"/>
    <w:rsid w:val="00F652E4"/>
    <w:rsid w:val="00F6591D"/>
    <w:rsid w:val="00F71C04"/>
    <w:rsid w:val="00F72520"/>
    <w:rsid w:val="00F72C6D"/>
    <w:rsid w:val="00F736F8"/>
    <w:rsid w:val="00F74119"/>
    <w:rsid w:val="00F74378"/>
    <w:rsid w:val="00F75C4A"/>
    <w:rsid w:val="00F76747"/>
    <w:rsid w:val="00F7751D"/>
    <w:rsid w:val="00F81ADB"/>
    <w:rsid w:val="00F8295D"/>
    <w:rsid w:val="00F836C9"/>
    <w:rsid w:val="00F85F2F"/>
    <w:rsid w:val="00F86B25"/>
    <w:rsid w:val="00F8749B"/>
    <w:rsid w:val="00F90308"/>
    <w:rsid w:val="00F92356"/>
    <w:rsid w:val="00F93E7B"/>
    <w:rsid w:val="00F94742"/>
    <w:rsid w:val="00F94EF8"/>
    <w:rsid w:val="00F9559F"/>
    <w:rsid w:val="00FA1773"/>
    <w:rsid w:val="00FA248C"/>
    <w:rsid w:val="00FA485A"/>
    <w:rsid w:val="00FA4B48"/>
    <w:rsid w:val="00FA65EA"/>
    <w:rsid w:val="00FA7228"/>
    <w:rsid w:val="00FB3795"/>
    <w:rsid w:val="00FB4513"/>
    <w:rsid w:val="00FB6B7F"/>
    <w:rsid w:val="00FC6785"/>
    <w:rsid w:val="00FD0A37"/>
    <w:rsid w:val="00FD1218"/>
    <w:rsid w:val="00FD2F28"/>
    <w:rsid w:val="00FD6D6E"/>
    <w:rsid w:val="00FE0A09"/>
    <w:rsid w:val="00FE20EB"/>
    <w:rsid w:val="00FE24DD"/>
    <w:rsid w:val="00FE30F4"/>
    <w:rsid w:val="00FE3856"/>
    <w:rsid w:val="00FE460D"/>
    <w:rsid w:val="00FE5537"/>
    <w:rsid w:val="00FE5C84"/>
    <w:rsid w:val="00FE79FD"/>
    <w:rsid w:val="00FF0BD0"/>
    <w:rsid w:val="00FF10E8"/>
    <w:rsid w:val="00FF16CB"/>
    <w:rsid w:val="00FF2240"/>
    <w:rsid w:val="00FF41DF"/>
    <w:rsid w:val="00FF46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AF5"/>
  <w15:chartTrackingRefBased/>
  <w15:docId w15:val="{2998C48C-C436-4247-9DE4-FDC58894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409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C409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B"/>
    <w:pPr>
      <w:ind w:left="720"/>
      <w:contextualSpacing/>
    </w:pPr>
  </w:style>
  <w:style w:type="paragraph" w:styleId="NoSpacing">
    <w:name w:val="No Spacing"/>
    <w:uiPriority w:val="1"/>
    <w:qFormat/>
    <w:rsid w:val="00021EA7"/>
    <w:pPr>
      <w:spacing w:after="0" w:line="240" w:lineRule="auto"/>
    </w:pPr>
  </w:style>
  <w:style w:type="paragraph" w:styleId="Header">
    <w:name w:val="header"/>
    <w:basedOn w:val="Normal"/>
    <w:link w:val="HeaderChar"/>
    <w:uiPriority w:val="99"/>
    <w:unhideWhenUsed/>
    <w:rsid w:val="0037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A5"/>
  </w:style>
  <w:style w:type="paragraph" w:styleId="Footer">
    <w:name w:val="footer"/>
    <w:basedOn w:val="Normal"/>
    <w:link w:val="FooterChar"/>
    <w:uiPriority w:val="99"/>
    <w:unhideWhenUsed/>
    <w:rsid w:val="0037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5"/>
  </w:style>
  <w:style w:type="character" w:customStyle="1" w:styleId="Heading2Char">
    <w:name w:val="Heading 2 Char"/>
    <w:basedOn w:val="DefaultParagraphFont"/>
    <w:link w:val="Heading2"/>
    <w:uiPriority w:val="9"/>
    <w:rsid w:val="005C409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C409F"/>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uiPriority w:val="99"/>
    <w:semiHidden/>
    <w:unhideWhenUsed/>
    <w:rsid w:val="005C409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C409F"/>
    <w:rPr>
      <w:sz w:val="20"/>
      <w:szCs w:val="20"/>
      <w:lang w:val="en-US"/>
    </w:rPr>
  </w:style>
  <w:style w:type="character" w:styleId="FootnoteReference">
    <w:name w:val="footnote reference"/>
    <w:basedOn w:val="DefaultParagraphFont"/>
    <w:uiPriority w:val="99"/>
    <w:semiHidden/>
    <w:unhideWhenUsed/>
    <w:rsid w:val="005C409F"/>
    <w:rPr>
      <w:vertAlign w:val="superscript"/>
    </w:rPr>
  </w:style>
  <w:style w:type="character" w:customStyle="1" w:styleId="legds2">
    <w:name w:val="legds2"/>
    <w:basedOn w:val="DefaultParagraphFont"/>
    <w:rsid w:val="005C409F"/>
    <w:rPr>
      <w:vanish w:val="0"/>
      <w:webHidden w:val="0"/>
      <w:specVanish w:val="0"/>
    </w:rPr>
  </w:style>
  <w:style w:type="paragraph" w:customStyle="1" w:styleId="legclearfix2">
    <w:name w:val="legclearfix2"/>
    <w:basedOn w:val="Normal"/>
    <w:rsid w:val="005C409F"/>
    <w:pPr>
      <w:shd w:val="clear" w:color="auto" w:fill="FFFFFF"/>
      <w:spacing w:after="120" w:line="360" w:lineRule="atLeast"/>
    </w:pPr>
    <w:rPr>
      <w:rFonts w:ascii="Times New Roman" w:eastAsia="Times New Roman" w:hAnsi="Times New Roman" w:cs="Times New Roman"/>
      <w:color w:val="000000"/>
      <w:sz w:val="19"/>
      <w:szCs w:val="19"/>
      <w:lang w:eastAsia="en-NZ"/>
    </w:rPr>
  </w:style>
  <w:style w:type="paragraph" w:styleId="BalloonText">
    <w:name w:val="Balloon Text"/>
    <w:basedOn w:val="Normal"/>
    <w:link w:val="BalloonTextChar"/>
    <w:uiPriority w:val="99"/>
    <w:semiHidden/>
    <w:unhideWhenUsed/>
    <w:rsid w:val="00F43F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3F3E"/>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A345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5B5"/>
    <w:rPr>
      <w:sz w:val="20"/>
      <w:szCs w:val="20"/>
    </w:rPr>
  </w:style>
  <w:style w:type="character" w:styleId="EndnoteReference">
    <w:name w:val="endnote reference"/>
    <w:basedOn w:val="DefaultParagraphFont"/>
    <w:uiPriority w:val="99"/>
    <w:semiHidden/>
    <w:unhideWhenUsed/>
    <w:rsid w:val="00A345B5"/>
    <w:rPr>
      <w:vertAlign w:val="superscript"/>
    </w:rPr>
  </w:style>
  <w:style w:type="paragraph" w:styleId="NormalWeb">
    <w:name w:val="Normal (Web)"/>
    <w:basedOn w:val="Normal"/>
    <w:uiPriority w:val="99"/>
    <w:semiHidden/>
    <w:unhideWhenUsed/>
    <w:rsid w:val="00CB73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46B4B"/>
    <w:rPr>
      <w:sz w:val="16"/>
      <w:szCs w:val="16"/>
    </w:rPr>
  </w:style>
  <w:style w:type="paragraph" w:styleId="CommentText">
    <w:name w:val="annotation text"/>
    <w:basedOn w:val="Normal"/>
    <w:link w:val="CommentTextChar"/>
    <w:uiPriority w:val="99"/>
    <w:semiHidden/>
    <w:unhideWhenUsed/>
    <w:rsid w:val="00C46B4B"/>
    <w:pPr>
      <w:spacing w:line="240" w:lineRule="auto"/>
    </w:pPr>
    <w:rPr>
      <w:sz w:val="20"/>
      <w:szCs w:val="20"/>
    </w:rPr>
  </w:style>
  <w:style w:type="character" w:customStyle="1" w:styleId="CommentTextChar">
    <w:name w:val="Comment Text Char"/>
    <w:basedOn w:val="DefaultParagraphFont"/>
    <w:link w:val="CommentText"/>
    <w:uiPriority w:val="99"/>
    <w:semiHidden/>
    <w:rsid w:val="00C46B4B"/>
    <w:rPr>
      <w:sz w:val="20"/>
      <w:szCs w:val="20"/>
    </w:rPr>
  </w:style>
  <w:style w:type="paragraph" w:styleId="CommentSubject">
    <w:name w:val="annotation subject"/>
    <w:basedOn w:val="CommentText"/>
    <w:next w:val="CommentText"/>
    <w:link w:val="CommentSubjectChar"/>
    <w:uiPriority w:val="99"/>
    <w:semiHidden/>
    <w:unhideWhenUsed/>
    <w:rsid w:val="00C46B4B"/>
    <w:rPr>
      <w:b/>
      <w:bCs/>
    </w:rPr>
  </w:style>
  <w:style w:type="character" w:customStyle="1" w:styleId="CommentSubjectChar">
    <w:name w:val="Comment Subject Char"/>
    <w:basedOn w:val="CommentTextChar"/>
    <w:link w:val="CommentSubject"/>
    <w:uiPriority w:val="99"/>
    <w:semiHidden/>
    <w:rsid w:val="00C46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0515">
      <w:bodyDiv w:val="1"/>
      <w:marLeft w:val="0"/>
      <w:marRight w:val="0"/>
      <w:marTop w:val="0"/>
      <w:marBottom w:val="0"/>
      <w:divBdr>
        <w:top w:val="none" w:sz="0" w:space="0" w:color="auto"/>
        <w:left w:val="none" w:sz="0" w:space="0" w:color="auto"/>
        <w:bottom w:val="none" w:sz="0" w:space="0" w:color="auto"/>
        <w:right w:val="none" w:sz="0" w:space="0" w:color="auto"/>
      </w:divBdr>
      <w:divsChild>
        <w:div w:id="1186556071">
          <w:marLeft w:val="0"/>
          <w:marRight w:val="0"/>
          <w:marTop w:val="0"/>
          <w:marBottom w:val="0"/>
          <w:divBdr>
            <w:top w:val="none" w:sz="0" w:space="0" w:color="auto"/>
            <w:left w:val="none" w:sz="0" w:space="0" w:color="auto"/>
            <w:bottom w:val="none" w:sz="0" w:space="0" w:color="auto"/>
            <w:right w:val="none" w:sz="0" w:space="0" w:color="auto"/>
          </w:divBdr>
          <w:divsChild>
            <w:div w:id="1843201046">
              <w:marLeft w:val="0"/>
              <w:marRight w:val="0"/>
              <w:marTop w:val="0"/>
              <w:marBottom w:val="0"/>
              <w:divBdr>
                <w:top w:val="none" w:sz="0" w:space="0" w:color="auto"/>
                <w:left w:val="none" w:sz="0" w:space="0" w:color="auto"/>
                <w:bottom w:val="none" w:sz="0" w:space="0" w:color="auto"/>
                <w:right w:val="none" w:sz="0" w:space="0" w:color="auto"/>
              </w:divBdr>
              <w:divsChild>
                <w:div w:id="4488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0" ma:contentTypeDescription="Create a new document." ma:contentTypeScope="" ma:versionID="f5b5ee8deb0322a75be1563bf1fec093">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e2e524c366445c2c3da9f8adfd7215b4"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357F-EB3F-4834-8578-86EC0AA8DD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824F9-00CE-4E3A-8504-AF64685F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F3AA2-D675-4C51-9BE9-0142FE8ACC6A}">
  <ds:schemaRefs>
    <ds:schemaRef ds:uri="http://schemas.microsoft.com/sharepoint/v3/contenttype/forms"/>
  </ds:schemaRefs>
</ds:datastoreItem>
</file>

<file path=customXml/itemProps4.xml><?xml version="1.0" encoding="utf-8"?>
<ds:datastoreItem xmlns:ds="http://schemas.openxmlformats.org/officeDocument/2006/customXml" ds:itemID="{68C955D8-5821-4612-8472-12020627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Hanne Janes</cp:lastModifiedBy>
  <cp:revision>2</cp:revision>
  <dcterms:created xsi:type="dcterms:W3CDTF">2020-01-20T20:10:00Z</dcterms:created>
  <dcterms:modified xsi:type="dcterms:W3CDTF">2020-01-20T20:10:00Z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