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11D7" w14:textId="423B2204" w:rsidR="00010D54" w:rsidRDefault="00010D54" w:rsidP="00010D54">
      <w:pPr>
        <w:ind w:left="567"/>
        <w:rPr>
          <w:b/>
          <w:bCs/>
        </w:rPr>
      </w:pPr>
      <w:bookmarkStart w:id="0" w:name="_GoBack"/>
      <w:bookmarkEnd w:id="0"/>
      <w:r>
        <w:rPr>
          <w:b/>
          <w:bCs/>
          <w:noProof/>
        </w:rPr>
        <w:drawing>
          <wp:inline distT="0" distB="0" distL="0" distR="0" wp14:anchorId="7194D382" wp14:editId="499582C4">
            <wp:extent cx="5731510" cy="3223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62A97D7E" w14:textId="248151AB" w:rsidR="00010D54" w:rsidRDefault="00010D54" w:rsidP="00010D54">
      <w:pPr>
        <w:ind w:left="567"/>
        <w:rPr>
          <w:b/>
          <w:bCs/>
        </w:rPr>
      </w:pPr>
      <w:r>
        <w:rPr>
          <w:b/>
          <w:bCs/>
        </w:rPr>
        <w:t>_____________________________________________________________________________</w:t>
      </w:r>
    </w:p>
    <w:p w14:paraId="67A8B06D" w14:textId="77777777" w:rsidR="00010D54" w:rsidRDefault="00010D54" w:rsidP="00010D54">
      <w:pPr>
        <w:ind w:left="567"/>
        <w:rPr>
          <w:b/>
          <w:bCs/>
        </w:rPr>
      </w:pPr>
    </w:p>
    <w:p w14:paraId="26CBA1FE" w14:textId="71176371" w:rsidR="005C409F" w:rsidRDefault="0083618B" w:rsidP="00010D54">
      <w:pPr>
        <w:ind w:left="567"/>
        <w:jc w:val="center"/>
        <w:rPr>
          <w:rFonts w:ascii="Arial" w:hAnsi="Arial" w:cs="Arial"/>
          <w:b/>
          <w:bCs/>
          <w:sz w:val="24"/>
          <w:szCs w:val="24"/>
        </w:rPr>
      </w:pPr>
      <w:r>
        <w:rPr>
          <w:rFonts w:ascii="Arial" w:hAnsi="Arial" w:cs="Arial"/>
          <w:b/>
          <w:bCs/>
          <w:sz w:val="24"/>
          <w:szCs w:val="24"/>
        </w:rPr>
        <w:t xml:space="preserve">PUBLIC </w:t>
      </w:r>
      <w:r w:rsidR="00010D54" w:rsidRPr="0083618B">
        <w:rPr>
          <w:rFonts w:ascii="Arial" w:hAnsi="Arial" w:cs="Arial"/>
          <w:b/>
          <w:bCs/>
          <w:sz w:val="24"/>
          <w:szCs w:val="24"/>
        </w:rPr>
        <w:t xml:space="preserve">HEARING </w:t>
      </w:r>
      <w:r>
        <w:rPr>
          <w:rFonts w:ascii="Arial" w:hAnsi="Arial" w:cs="Arial"/>
          <w:b/>
          <w:bCs/>
          <w:sz w:val="24"/>
          <w:szCs w:val="24"/>
        </w:rPr>
        <w:t>– MARCH 2020</w:t>
      </w:r>
      <w:r w:rsidR="005C409F">
        <w:rPr>
          <w:rFonts w:ascii="Arial" w:hAnsi="Arial" w:cs="Arial"/>
          <w:b/>
          <w:bCs/>
          <w:sz w:val="24"/>
          <w:szCs w:val="24"/>
        </w:rPr>
        <w:t xml:space="preserve"> </w:t>
      </w:r>
    </w:p>
    <w:p w14:paraId="10940C15" w14:textId="77777777" w:rsidR="00D0440D" w:rsidRDefault="00D0440D" w:rsidP="00D0440D">
      <w:pPr>
        <w:ind w:left="567"/>
        <w:jc w:val="center"/>
        <w:rPr>
          <w:rFonts w:ascii="Arial" w:hAnsi="Arial" w:cs="Arial"/>
          <w:b/>
          <w:bCs/>
          <w:sz w:val="24"/>
          <w:szCs w:val="24"/>
        </w:rPr>
      </w:pPr>
    </w:p>
    <w:p w14:paraId="58F808FD" w14:textId="4C05AB93" w:rsidR="00D0440D" w:rsidRDefault="00D0440D" w:rsidP="00D0440D">
      <w:pPr>
        <w:ind w:left="567"/>
        <w:jc w:val="center"/>
        <w:rPr>
          <w:rFonts w:ascii="Arial" w:hAnsi="Arial" w:cs="Arial"/>
          <w:b/>
          <w:bCs/>
          <w:sz w:val="24"/>
          <w:szCs w:val="24"/>
        </w:rPr>
      </w:pPr>
      <w:r w:rsidRPr="0083618B">
        <w:rPr>
          <w:rFonts w:ascii="Arial" w:hAnsi="Arial" w:cs="Arial"/>
          <w:b/>
          <w:bCs/>
          <w:sz w:val="24"/>
          <w:szCs w:val="24"/>
        </w:rPr>
        <w:t xml:space="preserve">CIVIL CLAIMS AND CIVIL LITIGATION REDRESS PROCESSES RELATING TO ABUSE IN STATE CARE </w:t>
      </w:r>
    </w:p>
    <w:p w14:paraId="11EDDE48" w14:textId="77777777" w:rsidR="00D0440D" w:rsidRDefault="00D0440D" w:rsidP="005C409F">
      <w:pPr>
        <w:pBdr>
          <w:bottom w:val="single" w:sz="12" w:space="1" w:color="auto"/>
        </w:pBdr>
        <w:ind w:left="567"/>
        <w:jc w:val="center"/>
        <w:rPr>
          <w:b/>
          <w:bCs/>
        </w:rPr>
      </w:pPr>
    </w:p>
    <w:p w14:paraId="44C7F222" w14:textId="77777777" w:rsidR="005C409F" w:rsidRDefault="005C409F" w:rsidP="005C409F">
      <w:pPr>
        <w:ind w:left="567"/>
        <w:rPr>
          <w:b/>
          <w:bCs/>
        </w:rPr>
      </w:pPr>
    </w:p>
    <w:p w14:paraId="5AA03741" w14:textId="24C4F655" w:rsidR="005C409F" w:rsidRDefault="005C409F" w:rsidP="00010D54">
      <w:pPr>
        <w:ind w:left="567"/>
        <w:jc w:val="center"/>
        <w:rPr>
          <w:rFonts w:ascii="Arial" w:hAnsi="Arial" w:cs="Arial"/>
          <w:b/>
          <w:bCs/>
          <w:sz w:val="24"/>
          <w:szCs w:val="24"/>
        </w:rPr>
      </w:pPr>
    </w:p>
    <w:p w14:paraId="166F9B47" w14:textId="646CE91A" w:rsidR="005C409F" w:rsidRDefault="005C409F" w:rsidP="005C409F">
      <w:pPr>
        <w:pStyle w:val="NoSpacing"/>
        <w:jc w:val="center"/>
        <w:rPr>
          <w:rFonts w:ascii="Arial" w:hAnsi="Arial" w:cs="Arial"/>
          <w:b/>
          <w:bCs/>
          <w:sz w:val="24"/>
          <w:szCs w:val="24"/>
        </w:rPr>
      </w:pPr>
      <w:r w:rsidRPr="005C409F">
        <w:rPr>
          <w:rFonts w:ascii="Arial" w:hAnsi="Arial" w:cs="Arial"/>
          <w:b/>
          <w:bCs/>
          <w:sz w:val="24"/>
          <w:szCs w:val="24"/>
        </w:rPr>
        <w:t xml:space="preserve">BRIEFING PAPER </w:t>
      </w:r>
      <w:r>
        <w:rPr>
          <w:rFonts w:ascii="Arial" w:hAnsi="Arial" w:cs="Arial"/>
          <w:b/>
          <w:bCs/>
          <w:sz w:val="24"/>
          <w:szCs w:val="24"/>
        </w:rPr>
        <w:t>:</w:t>
      </w:r>
    </w:p>
    <w:p w14:paraId="4796B35E" w14:textId="028A367C" w:rsidR="005C409F" w:rsidRDefault="005C409F" w:rsidP="005C409F">
      <w:pPr>
        <w:pStyle w:val="NoSpacing"/>
        <w:jc w:val="center"/>
        <w:rPr>
          <w:rFonts w:ascii="Arial" w:hAnsi="Arial" w:cs="Arial"/>
          <w:b/>
          <w:bCs/>
          <w:sz w:val="24"/>
          <w:szCs w:val="24"/>
        </w:rPr>
      </w:pPr>
    </w:p>
    <w:p w14:paraId="6BC17DAA" w14:textId="77777777" w:rsidR="00FB7C0A" w:rsidRDefault="00FB7C0A" w:rsidP="00FB7C0A">
      <w:pPr>
        <w:pStyle w:val="NoSpacing"/>
        <w:jc w:val="center"/>
        <w:rPr>
          <w:rFonts w:ascii="Arial" w:hAnsi="Arial" w:cs="Arial"/>
          <w:b/>
          <w:bCs/>
          <w:sz w:val="24"/>
          <w:szCs w:val="24"/>
        </w:rPr>
      </w:pPr>
      <w:r w:rsidRPr="005C409F">
        <w:rPr>
          <w:rFonts w:ascii="Arial" w:hAnsi="Arial" w:cs="Arial"/>
          <w:b/>
          <w:bCs/>
          <w:sz w:val="24"/>
          <w:szCs w:val="24"/>
        </w:rPr>
        <w:t xml:space="preserve">FINDINGS AND RECOMMENDATIONS ON </w:t>
      </w:r>
    </w:p>
    <w:p w14:paraId="2050AF77" w14:textId="77777777" w:rsidR="00FB7C0A" w:rsidRDefault="00FB7C0A" w:rsidP="00FB7C0A">
      <w:pPr>
        <w:pStyle w:val="NoSpacing"/>
        <w:jc w:val="center"/>
        <w:rPr>
          <w:rFonts w:ascii="Arial" w:hAnsi="Arial" w:cs="Arial"/>
          <w:b/>
          <w:bCs/>
          <w:sz w:val="24"/>
          <w:szCs w:val="24"/>
        </w:rPr>
      </w:pPr>
      <w:r w:rsidRPr="005C409F">
        <w:rPr>
          <w:rFonts w:ascii="Arial" w:hAnsi="Arial" w:cs="Arial"/>
          <w:b/>
          <w:bCs/>
          <w:sz w:val="24"/>
          <w:szCs w:val="24"/>
        </w:rPr>
        <w:t>REDRESS AND REHABILITATION PROCESSES</w:t>
      </w:r>
      <w:r>
        <w:rPr>
          <w:rFonts w:ascii="Arial" w:hAnsi="Arial" w:cs="Arial"/>
          <w:b/>
          <w:bCs/>
          <w:sz w:val="24"/>
          <w:szCs w:val="24"/>
        </w:rPr>
        <w:t xml:space="preserve"> FOR </w:t>
      </w:r>
    </w:p>
    <w:p w14:paraId="78FEC8F3" w14:textId="77876593" w:rsidR="00FB7C0A" w:rsidRDefault="00FB7C0A" w:rsidP="00FB7C0A">
      <w:pPr>
        <w:pStyle w:val="NoSpacing"/>
        <w:jc w:val="center"/>
        <w:rPr>
          <w:rFonts w:ascii="Arial" w:hAnsi="Arial" w:cs="Arial"/>
          <w:b/>
          <w:bCs/>
          <w:sz w:val="24"/>
          <w:szCs w:val="24"/>
        </w:rPr>
      </w:pPr>
      <w:r>
        <w:rPr>
          <w:rFonts w:ascii="Arial" w:hAnsi="Arial" w:cs="Arial"/>
          <w:b/>
          <w:bCs/>
          <w:sz w:val="24"/>
          <w:szCs w:val="24"/>
        </w:rPr>
        <w:t xml:space="preserve">CLAIMS OF ABUSE IN STATE CARE </w:t>
      </w:r>
    </w:p>
    <w:p w14:paraId="616FFA0D" w14:textId="7FB4AF47" w:rsidR="00FB7C0A" w:rsidRDefault="00FB7C0A" w:rsidP="00FB7C0A">
      <w:pPr>
        <w:pStyle w:val="NoSpacing"/>
        <w:jc w:val="center"/>
        <w:rPr>
          <w:rFonts w:ascii="Arial" w:hAnsi="Arial" w:cs="Arial"/>
          <w:b/>
          <w:bCs/>
          <w:sz w:val="24"/>
          <w:szCs w:val="24"/>
        </w:rPr>
      </w:pPr>
      <w:r w:rsidRPr="005C409F">
        <w:rPr>
          <w:rFonts w:ascii="Arial" w:hAnsi="Arial" w:cs="Arial"/>
          <w:b/>
          <w:bCs/>
          <w:sz w:val="24"/>
          <w:szCs w:val="24"/>
        </w:rPr>
        <w:t xml:space="preserve">IDENTIFIED IN RECENT </w:t>
      </w:r>
      <w:r>
        <w:rPr>
          <w:rFonts w:ascii="Arial" w:hAnsi="Arial" w:cs="Arial"/>
          <w:b/>
          <w:bCs/>
          <w:sz w:val="24"/>
          <w:szCs w:val="24"/>
        </w:rPr>
        <w:t xml:space="preserve">NEW ZEALAND </w:t>
      </w:r>
      <w:r w:rsidRPr="005C409F">
        <w:rPr>
          <w:rFonts w:ascii="Arial" w:hAnsi="Arial" w:cs="Arial"/>
          <w:b/>
          <w:bCs/>
          <w:sz w:val="24"/>
          <w:szCs w:val="24"/>
        </w:rPr>
        <w:t>REVIEWS OR INQUIRIES</w:t>
      </w:r>
    </w:p>
    <w:p w14:paraId="1FD8B498" w14:textId="1D8481C0" w:rsidR="00FB7C0A" w:rsidRPr="005C409F" w:rsidRDefault="00FB7C0A" w:rsidP="00FB7C0A">
      <w:pPr>
        <w:pStyle w:val="NoSpacing"/>
        <w:jc w:val="center"/>
        <w:rPr>
          <w:rFonts w:ascii="Arial" w:hAnsi="Arial" w:cs="Arial"/>
          <w:b/>
          <w:bCs/>
          <w:sz w:val="24"/>
          <w:szCs w:val="24"/>
        </w:rPr>
      </w:pPr>
      <w:r w:rsidRPr="005C409F">
        <w:rPr>
          <w:rFonts w:ascii="Arial" w:hAnsi="Arial" w:cs="Arial"/>
          <w:b/>
          <w:bCs/>
          <w:sz w:val="24"/>
          <w:szCs w:val="24"/>
        </w:rPr>
        <w:t xml:space="preserve"> </w:t>
      </w:r>
    </w:p>
    <w:p w14:paraId="5794E5F6" w14:textId="77777777" w:rsidR="00FB7C0A" w:rsidRPr="005C409F" w:rsidRDefault="00FB7C0A" w:rsidP="00FB7C0A">
      <w:pPr>
        <w:ind w:left="567"/>
        <w:jc w:val="center"/>
        <w:rPr>
          <w:rFonts w:ascii="Arial" w:hAnsi="Arial" w:cs="Arial"/>
          <w:sz w:val="24"/>
          <w:szCs w:val="24"/>
        </w:rPr>
      </w:pPr>
    </w:p>
    <w:p w14:paraId="0B58E122" w14:textId="77777777" w:rsidR="00FB7C0A" w:rsidRDefault="00FB7C0A" w:rsidP="005C409F">
      <w:pPr>
        <w:pStyle w:val="NoSpacing"/>
        <w:jc w:val="center"/>
        <w:rPr>
          <w:rFonts w:ascii="Arial" w:hAnsi="Arial" w:cs="Arial"/>
          <w:b/>
          <w:bCs/>
          <w:sz w:val="24"/>
          <w:szCs w:val="24"/>
        </w:rPr>
      </w:pPr>
    </w:p>
    <w:p w14:paraId="46A1B81F" w14:textId="77777777" w:rsidR="005C409F" w:rsidRPr="005C409F" w:rsidRDefault="005C409F" w:rsidP="00010D54">
      <w:pPr>
        <w:ind w:left="567"/>
        <w:jc w:val="center"/>
        <w:rPr>
          <w:rFonts w:ascii="Arial" w:hAnsi="Arial" w:cs="Arial"/>
          <w:sz w:val="24"/>
          <w:szCs w:val="24"/>
        </w:rPr>
      </w:pPr>
    </w:p>
    <w:p w14:paraId="0818C171" w14:textId="38C1B929" w:rsidR="00010D54" w:rsidRDefault="00010D54" w:rsidP="00010D54">
      <w:pPr>
        <w:ind w:left="567"/>
        <w:rPr>
          <w:b/>
          <w:bCs/>
        </w:rPr>
      </w:pPr>
    </w:p>
    <w:p w14:paraId="24ED1269" w14:textId="4E8E44F4" w:rsidR="00A12369" w:rsidRDefault="00010D54" w:rsidP="009E6F30">
      <w:pPr>
        <w:ind w:left="567"/>
        <w:rPr>
          <w:rFonts w:ascii="Arial" w:hAnsi="Arial" w:cs="Arial"/>
          <w:sz w:val="24"/>
          <w:szCs w:val="24"/>
        </w:rPr>
      </w:pPr>
      <w:r>
        <w:rPr>
          <w:b/>
          <w:bCs/>
        </w:rPr>
        <w:br w:type="page"/>
      </w:r>
    </w:p>
    <w:p w14:paraId="41C4DCBB" w14:textId="41F149C6" w:rsidR="009E6F30" w:rsidRPr="009E6F30" w:rsidRDefault="009E6F30" w:rsidP="00D0440D">
      <w:pPr>
        <w:pStyle w:val="NoSpacing"/>
        <w:spacing w:line="360" w:lineRule="auto"/>
        <w:ind w:left="567"/>
        <w:rPr>
          <w:rFonts w:ascii="Arial" w:hAnsi="Arial" w:cs="Arial"/>
          <w:sz w:val="24"/>
          <w:szCs w:val="24"/>
        </w:rPr>
      </w:pPr>
      <w:r>
        <w:rPr>
          <w:rFonts w:ascii="Arial" w:hAnsi="Arial" w:cs="Arial"/>
          <w:b/>
          <w:bCs/>
          <w:sz w:val="24"/>
          <w:szCs w:val="24"/>
        </w:rPr>
        <w:lastRenderedPageBreak/>
        <w:t>INTRODUCTION</w:t>
      </w:r>
    </w:p>
    <w:p w14:paraId="25A4B8ED" w14:textId="77777777" w:rsidR="009E6F30" w:rsidRDefault="009E6F30" w:rsidP="00D0440D">
      <w:pPr>
        <w:pStyle w:val="NoSpacing"/>
        <w:spacing w:line="360" w:lineRule="auto"/>
        <w:ind w:left="567"/>
        <w:rPr>
          <w:rFonts w:ascii="Arial" w:hAnsi="Arial" w:cs="Arial"/>
          <w:sz w:val="24"/>
          <w:szCs w:val="24"/>
        </w:rPr>
      </w:pPr>
    </w:p>
    <w:p w14:paraId="7CE67F03" w14:textId="3854BB5D" w:rsidR="00D0440D" w:rsidRDefault="00D0440D" w:rsidP="00D0440D">
      <w:pPr>
        <w:pStyle w:val="NoSpacing"/>
        <w:spacing w:line="360" w:lineRule="auto"/>
        <w:ind w:left="567"/>
        <w:rPr>
          <w:rFonts w:ascii="Arial" w:hAnsi="Arial" w:cs="Arial"/>
          <w:sz w:val="24"/>
          <w:szCs w:val="24"/>
        </w:rPr>
      </w:pPr>
      <w:r w:rsidRPr="00021EA7">
        <w:rPr>
          <w:rFonts w:ascii="Arial" w:hAnsi="Arial" w:cs="Arial"/>
          <w:sz w:val="24"/>
          <w:szCs w:val="24"/>
        </w:rPr>
        <w:t xml:space="preserve">This briefing paper </w:t>
      </w:r>
      <w:r w:rsidR="009E6F30">
        <w:rPr>
          <w:rFonts w:ascii="Arial" w:hAnsi="Arial" w:cs="Arial"/>
          <w:sz w:val="24"/>
          <w:szCs w:val="24"/>
        </w:rPr>
        <w:t xml:space="preserve">summarises </w:t>
      </w:r>
      <w:r>
        <w:rPr>
          <w:rFonts w:ascii="Arial" w:hAnsi="Arial" w:cs="Arial"/>
          <w:sz w:val="24"/>
          <w:szCs w:val="24"/>
        </w:rPr>
        <w:t xml:space="preserve">findings and recommendations </w:t>
      </w:r>
      <w:r w:rsidR="009E6F30">
        <w:rPr>
          <w:rFonts w:ascii="Arial" w:hAnsi="Arial" w:cs="Arial"/>
          <w:sz w:val="24"/>
          <w:szCs w:val="24"/>
        </w:rPr>
        <w:t xml:space="preserve">relating to redress processes for claims of abuse in state in New Zealand, and, where relevant, the formal Government response to those recommendations. </w:t>
      </w:r>
      <w:r>
        <w:rPr>
          <w:rFonts w:ascii="Arial" w:hAnsi="Arial" w:cs="Arial"/>
          <w:sz w:val="24"/>
          <w:szCs w:val="24"/>
        </w:rPr>
        <w:t xml:space="preserve">This is in accordance with clause 20(d) of the Abuse in Care Royal Commission of Inquiry’s Terms of Reference.  </w:t>
      </w:r>
    </w:p>
    <w:p w14:paraId="31A3A31B" w14:textId="77777777" w:rsidR="00D0440D" w:rsidRDefault="00D0440D" w:rsidP="00D0440D">
      <w:pPr>
        <w:pStyle w:val="NoSpacing"/>
        <w:spacing w:line="360" w:lineRule="auto"/>
        <w:ind w:left="567"/>
        <w:rPr>
          <w:rFonts w:ascii="Arial" w:hAnsi="Arial" w:cs="Arial"/>
          <w:sz w:val="24"/>
          <w:szCs w:val="24"/>
        </w:rPr>
      </w:pPr>
    </w:p>
    <w:p w14:paraId="6DB516F3" w14:textId="77777777" w:rsidR="00D0440D" w:rsidRDefault="00D0440D" w:rsidP="00D0440D">
      <w:pPr>
        <w:pStyle w:val="NoSpacing"/>
        <w:spacing w:line="360" w:lineRule="auto"/>
        <w:ind w:left="567"/>
        <w:rPr>
          <w:rFonts w:ascii="Arial" w:hAnsi="Arial" w:cs="Arial"/>
          <w:sz w:val="24"/>
          <w:szCs w:val="24"/>
        </w:rPr>
      </w:pPr>
      <w:r>
        <w:rPr>
          <w:rFonts w:ascii="Arial" w:hAnsi="Arial" w:cs="Arial"/>
          <w:sz w:val="24"/>
          <w:szCs w:val="24"/>
        </w:rPr>
        <w:t>The information comes from publicly available sources, or information disclosed to the Royal Commission and available for publication.  It has been produced to provide context or other information that may be relevant to the public hearing into civil claims and civil litigation redress processes relating to abuse in State care to be held in March 2020.</w:t>
      </w:r>
    </w:p>
    <w:p w14:paraId="573E67CE" w14:textId="77777777" w:rsidR="00D0440D" w:rsidRDefault="00D0440D" w:rsidP="00D0440D">
      <w:pPr>
        <w:pStyle w:val="ListParagraph"/>
        <w:ind w:left="567"/>
        <w:rPr>
          <w:rFonts w:ascii="Arial" w:hAnsi="Arial" w:cs="Arial"/>
          <w:sz w:val="24"/>
          <w:szCs w:val="24"/>
        </w:rPr>
      </w:pPr>
    </w:p>
    <w:p w14:paraId="102129AC" w14:textId="77777777" w:rsidR="00D0440D" w:rsidRDefault="00D0440D" w:rsidP="00D0440D">
      <w:pPr>
        <w:pStyle w:val="NoSpacing"/>
        <w:spacing w:line="360" w:lineRule="auto"/>
        <w:ind w:left="567"/>
        <w:rPr>
          <w:rFonts w:ascii="Arial" w:hAnsi="Arial" w:cs="Arial"/>
          <w:sz w:val="24"/>
          <w:szCs w:val="24"/>
        </w:rPr>
      </w:pPr>
      <w:r>
        <w:rPr>
          <w:rFonts w:ascii="Arial" w:hAnsi="Arial" w:cs="Arial"/>
          <w:sz w:val="24"/>
          <w:szCs w:val="24"/>
        </w:rPr>
        <w:t>The international reviews or inquiries covered in this briefing paper are the:</w:t>
      </w:r>
    </w:p>
    <w:p w14:paraId="4ADC04A5" w14:textId="5B9AA604" w:rsidR="006133E3" w:rsidRPr="00712660" w:rsidRDefault="00712660" w:rsidP="00D0440D">
      <w:pPr>
        <w:pStyle w:val="ListParagraph"/>
        <w:numPr>
          <w:ilvl w:val="0"/>
          <w:numId w:val="4"/>
        </w:numPr>
        <w:ind w:left="1418" w:hanging="851"/>
        <w:rPr>
          <w:rFonts w:ascii="Arial" w:hAnsi="Arial" w:cs="Arial"/>
          <w:sz w:val="24"/>
          <w:szCs w:val="24"/>
        </w:rPr>
      </w:pPr>
      <w:r w:rsidRPr="00712660">
        <w:rPr>
          <w:rFonts w:ascii="Arial" w:hAnsi="Arial" w:cs="Arial"/>
          <w:sz w:val="24"/>
          <w:szCs w:val="24"/>
        </w:rPr>
        <w:t>Gallen Report, 2001</w:t>
      </w:r>
    </w:p>
    <w:p w14:paraId="56DFD885" w14:textId="674912E5" w:rsidR="00712660" w:rsidRPr="0057544D" w:rsidRDefault="00712660" w:rsidP="00D0440D">
      <w:pPr>
        <w:pStyle w:val="ListParagraph"/>
        <w:numPr>
          <w:ilvl w:val="0"/>
          <w:numId w:val="4"/>
        </w:numPr>
        <w:ind w:left="1418" w:hanging="851"/>
        <w:rPr>
          <w:rFonts w:ascii="Arial" w:hAnsi="Arial" w:cs="Arial"/>
          <w:bCs/>
          <w:sz w:val="24"/>
          <w:szCs w:val="24"/>
        </w:rPr>
      </w:pPr>
      <w:proofErr w:type="spellStart"/>
      <w:r w:rsidRPr="00712660">
        <w:rPr>
          <w:rFonts w:ascii="Arial" w:hAnsi="Arial" w:cs="Arial"/>
          <w:bCs/>
          <w:color w:val="000000" w:themeColor="text1"/>
          <w:sz w:val="24"/>
          <w:szCs w:val="24"/>
        </w:rPr>
        <w:t>Te</w:t>
      </w:r>
      <w:proofErr w:type="spellEnd"/>
      <w:r w:rsidRPr="00712660">
        <w:rPr>
          <w:rFonts w:ascii="Arial" w:hAnsi="Arial" w:cs="Arial"/>
          <w:bCs/>
          <w:color w:val="000000" w:themeColor="text1"/>
          <w:sz w:val="24"/>
          <w:szCs w:val="24"/>
        </w:rPr>
        <w:t xml:space="preserve"> </w:t>
      </w:r>
      <w:proofErr w:type="spellStart"/>
      <w:r w:rsidRPr="00712660">
        <w:rPr>
          <w:rFonts w:ascii="Arial" w:hAnsi="Arial" w:cs="Arial"/>
          <w:bCs/>
          <w:color w:val="000000" w:themeColor="text1"/>
          <w:sz w:val="24"/>
          <w:szCs w:val="24"/>
        </w:rPr>
        <w:t>Āiotanga</w:t>
      </w:r>
      <w:proofErr w:type="spellEnd"/>
      <w:r w:rsidRPr="00712660">
        <w:rPr>
          <w:rFonts w:ascii="Arial" w:hAnsi="Arial" w:cs="Arial"/>
          <w:bCs/>
          <w:color w:val="000000" w:themeColor="text1"/>
          <w:sz w:val="24"/>
          <w:szCs w:val="24"/>
        </w:rPr>
        <w:t xml:space="preserve"> – report of the Confidential Forum for In-Patients of Psychiatric Hospitals, 2007</w:t>
      </w:r>
    </w:p>
    <w:p w14:paraId="7966D53F" w14:textId="6769D29E" w:rsidR="00AC7FDC" w:rsidRPr="0057544D" w:rsidRDefault="00AC7FDC" w:rsidP="00D0440D">
      <w:pPr>
        <w:pStyle w:val="ListParagraph"/>
        <w:numPr>
          <w:ilvl w:val="0"/>
          <w:numId w:val="4"/>
        </w:numPr>
        <w:ind w:left="1418" w:hanging="851"/>
        <w:rPr>
          <w:rFonts w:ascii="Arial" w:hAnsi="Arial" w:cs="Arial"/>
          <w:bCs/>
          <w:sz w:val="24"/>
          <w:szCs w:val="24"/>
        </w:rPr>
      </w:pPr>
      <w:r w:rsidRPr="0057544D">
        <w:rPr>
          <w:rFonts w:ascii="Arial" w:hAnsi="Arial" w:cs="Arial"/>
          <w:bCs/>
          <w:color w:val="000000" w:themeColor="text1"/>
          <w:sz w:val="24"/>
          <w:szCs w:val="24"/>
        </w:rPr>
        <w:t>Legal Aid Review - Transforming the Legal Aid System, 2009</w:t>
      </w:r>
    </w:p>
    <w:p w14:paraId="61C1F4D4" w14:textId="023D29C7" w:rsidR="00AC7FDC" w:rsidRPr="0057544D" w:rsidRDefault="00AC7FDC" w:rsidP="00D0440D">
      <w:pPr>
        <w:pStyle w:val="ListParagraph"/>
        <w:numPr>
          <w:ilvl w:val="0"/>
          <w:numId w:val="4"/>
        </w:numPr>
        <w:ind w:left="1418" w:hanging="851"/>
        <w:rPr>
          <w:rFonts w:ascii="Arial" w:hAnsi="Arial" w:cs="Arial"/>
          <w:bCs/>
          <w:sz w:val="24"/>
          <w:szCs w:val="24"/>
        </w:rPr>
      </w:pPr>
      <w:r w:rsidRPr="0057544D">
        <w:rPr>
          <w:rFonts w:ascii="Arial" w:hAnsi="Arial" w:cs="Arial"/>
          <w:bCs/>
          <w:color w:val="000000" w:themeColor="text1"/>
          <w:sz w:val="24"/>
          <w:szCs w:val="24"/>
        </w:rPr>
        <w:t>Human Rights Commission draft report, 2011</w:t>
      </w:r>
    </w:p>
    <w:p w14:paraId="7F7869DE" w14:textId="7D512807" w:rsidR="00AC7FDC" w:rsidRPr="0057544D" w:rsidRDefault="00917CD0" w:rsidP="00D0440D">
      <w:pPr>
        <w:pStyle w:val="ListParagraph"/>
        <w:numPr>
          <w:ilvl w:val="0"/>
          <w:numId w:val="4"/>
        </w:numPr>
        <w:ind w:left="1418" w:hanging="851"/>
        <w:rPr>
          <w:rFonts w:ascii="Arial" w:hAnsi="Arial" w:cs="Arial"/>
          <w:bCs/>
          <w:sz w:val="24"/>
          <w:szCs w:val="24"/>
        </w:rPr>
      </w:pPr>
      <w:r w:rsidRPr="0057544D">
        <w:rPr>
          <w:rFonts w:ascii="Arial" w:hAnsi="Arial" w:cs="Arial"/>
          <w:bCs/>
          <w:color w:val="000000" w:themeColor="text1"/>
          <w:sz w:val="24"/>
          <w:szCs w:val="24"/>
        </w:rPr>
        <w:t>Some Memories Never Fade – Final Report of the Confidential Listening and Assistance Service, 2015</w:t>
      </w:r>
    </w:p>
    <w:p w14:paraId="2D7980E4" w14:textId="24198C8C" w:rsidR="00917CD0" w:rsidRPr="00141E48" w:rsidRDefault="00FA57F4" w:rsidP="00D0440D">
      <w:pPr>
        <w:pStyle w:val="ListParagraph"/>
        <w:numPr>
          <w:ilvl w:val="0"/>
          <w:numId w:val="4"/>
        </w:numPr>
        <w:ind w:left="1418" w:hanging="851"/>
        <w:rPr>
          <w:rFonts w:ascii="Arial" w:hAnsi="Arial" w:cs="Arial"/>
          <w:bCs/>
          <w:sz w:val="24"/>
          <w:szCs w:val="24"/>
        </w:rPr>
      </w:pPr>
      <w:r w:rsidRPr="00FA57F4">
        <w:rPr>
          <w:rFonts w:ascii="Arial" w:hAnsi="Arial" w:cs="Arial"/>
          <w:bCs/>
          <w:color w:val="000000" w:themeColor="text1"/>
          <w:sz w:val="24"/>
          <w:szCs w:val="24"/>
        </w:rPr>
        <w:t xml:space="preserve">Allen + Clarke “Claimant Engagement on Historic Claims Resolution Process, </w:t>
      </w:r>
      <w:r w:rsidR="00B118B0">
        <w:rPr>
          <w:rFonts w:ascii="Arial" w:hAnsi="Arial" w:cs="Arial"/>
          <w:bCs/>
          <w:color w:val="000000" w:themeColor="text1"/>
          <w:sz w:val="24"/>
          <w:szCs w:val="24"/>
        </w:rPr>
        <w:t>2018</w:t>
      </w:r>
    </w:p>
    <w:p w14:paraId="67108785" w14:textId="77777777" w:rsidR="00D0440D" w:rsidRPr="00712660" w:rsidRDefault="00D0440D" w:rsidP="00D0440D">
      <w:pPr>
        <w:pStyle w:val="NoSpacing"/>
        <w:spacing w:line="360" w:lineRule="auto"/>
        <w:ind w:left="567"/>
        <w:rPr>
          <w:rFonts w:ascii="Arial" w:hAnsi="Arial" w:cs="Arial"/>
          <w:sz w:val="24"/>
          <w:szCs w:val="24"/>
        </w:rPr>
      </w:pPr>
    </w:p>
    <w:p w14:paraId="04F6CDD7" w14:textId="77777777" w:rsidR="006133E3" w:rsidRDefault="006133E3">
      <w:pPr>
        <w:rPr>
          <w:rFonts w:ascii="Arial" w:hAnsi="Arial" w:cs="Arial"/>
          <w:sz w:val="24"/>
          <w:szCs w:val="24"/>
        </w:rPr>
      </w:pPr>
      <w:r>
        <w:rPr>
          <w:rFonts w:ascii="Arial" w:hAnsi="Arial" w:cs="Arial"/>
          <w:sz w:val="24"/>
          <w:szCs w:val="24"/>
        </w:rPr>
        <w:br w:type="page"/>
      </w:r>
    </w:p>
    <w:p w14:paraId="3875BE62" w14:textId="1C699FB2" w:rsidR="005C409F" w:rsidRPr="009E21DE" w:rsidRDefault="002A3C99" w:rsidP="006133E3">
      <w:pPr>
        <w:pStyle w:val="Heading3"/>
        <w:numPr>
          <w:ilvl w:val="0"/>
          <w:numId w:val="14"/>
        </w:numPr>
        <w:spacing w:line="360" w:lineRule="auto"/>
        <w:ind w:left="1134" w:hanging="567"/>
        <w:rPr>
          <w:rFonts w:ascii="Arial" w:hAnsi="Arial" w:cs="Arial"/>
          <w:b/>
          <w:color w:val="000000" w:themeColor="text1"/>
          <w:lang w:val="en-NZ"/>
        </w:rPr>
      </w:pPr>
      <w:r>
        <w:rPr>
          <w:rFonts w:ascii="Arial" w:hAnsi="Arial" w:cs="Arial"/>
          <w:b/>
          <w:color w:val="000000" w:themeColor="text1"/>
          <w:lang w:val="en-NZ"/>
        </w:rPr>
        <w:lastRenderedPageBreak/>
        <w:t>G</w:t>
      </w:r>
      <w:r w:rsidR="00712660">
        <w:rPr>
          <w:rFonts w:ascii="Arial" w:hAnsi="Arial" w:cs="Arial"/>
          <w:b/>
          <w:color w:val="000000" w:themeColor="text1"/>
          <w:lang w:val="en-NZ"/>
        </w:rPr>
        <w:t xml:space="preserve">allen </w:t>
      </w:r>
      <w:r>
        <w:rPr>
          <w:rFonts w:ascii="Arial" w:hAnsi="Arial" w:cs="Arial"/>
          <w:b/>
          <w:color w:val="000000" w:themeColor="text1"/>
          <w:lang w:val="en-NZ"/>
        </w:rPr>
        <w:t>R</w:t>
      </w:r>
      <w:r w:rsidR="00712660">
        <w:rPr>
          <w:rFonts w:ascii="Arial" w:hAnsi="Arial" w:cs="Arial"/>
          <w:b/>
          <w:color w:val="000000" w:themeColor="text1"/>
          <w:lang w:val="en-NZ"/>
        </w:rPr>
        <w:t xml:space="preserve">eport </w:t>
      </w:r>
      <w:r w:rsidR="00AB5BE2">
        <w:rPr>
          <w:rFonts w:ascii="Arial" w:hAnsi="Arial" w:cs="Arial"/>
          <w:b/>
          <w:color w:val="000000" w:themeColor="text1"/>
          <w:lang w:val="en-NZ"/>
        </w:rPr>
        <w:t>(2001)</w:t>
      </w:r>
      <w:r>
        <w:rPr>
          <w:rStyle w:val="FootnoteReference"/>
          <w:rFonts w:ascii="Arial" w:hAnsi="Arial" w:cs="Arial"/>
          <w:b/>
          <w:color w:val="000000" w:themeColor="text1"/>
          <w:lang w:val="en-NZ"/>
        </w:rPr>
        <w:footnoteReference w:id="1"/>
      </w:r>
    </w:p>
    <w:p w14:paraId="51432D0D" w14:textId="77777777" w:rsidR="009E21DE" w:rsidRDefault="009E21DE" w:rsidP="006133E3">
      <w:pPr>
        <w:spacing w:after="0" w:line="360" w:lineRule="auto"/>
        <w:ind w:left="567"/>
        <w:rPr>
          <w:rFonts w:ascii="Calibri" w:eastAsia="Times New Roman" w:hAnsi="Calibri" w:cs="Calibri"/>
          <w:color w:val="000000"/>
          <w:lang w:eastAsia="en-NZ"/>
        </w:rPr>
      </w:pPr>
    </w:p>
    <w:p w14:paraId="2706FAC9" w14:textId="25E135F6" w:rsidR="001410FB" w:rsidRPr="00E61E23" w:rsidRDefault="005C409F" w:rsidP="001410FB">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 xml:space="preserve">The </w:t>
      </w:r>
      <w:r w:rsidR="00AB5BE2" w:rsidRPr="00AB5BE2">
        <w:rPr>
          <w:rFonts w:ascii="Arial" w:eastAsia="Times New Roman" w:hAnsi="Arial" w:cs="Arial"/>
          <w:color w:val="000000"/>
          <w:sz w:val="24"/>
          <w:szCs w:val="24"/>
          <w:lang w:val="en-US" w:eastAsia="en-NZ"/>
        </w:rPr>
        <w:t xml:space="preserve">Gallen Report was written by retired High Court </w:t>
      </w:r>
      <w:r w:rsidR="00DF6127">
        <w:rPr>
          <w:rFonts w:ascii="Arial" w:eastAsia="Times New Roman" w:hAnsi="Arial" w:cs="Arial"/>
          <w:color w:val="000000"/>
          <w:sz w:val="24"/>
          <w:szCs w:val="24"/>
          <w:lang w:val="en-US" w:eastAsia="en-NZ"/>
        </w:rPr>
        <w:t xml:space="preserve">Justice </w:t>
      </w:r>
      <w:r w:rsidR="00AB5BE2" w:rsidRPr="00AB5BE2">
        <w:rPr>
          <w:rFonts w:ascii="Arial" w:eastAsia="Times New Roman" w:hAnsi="Arial" w:cs="Arial"/>
          <w:color w:val="000000"/>
          <w:sz w:val="24"/>
          <w:szCs w:val="24"/>
          <w:lang w:val="en-US" w:eastAsia="en-NZ"/>
        </w:rPr>
        <w:t>Sir Rodney Gallen</w:t>
      </w:r>
      <w:r w:rsidR="00EC60A7">
        <w:rPr>
          <w:rFonts w:ascii="Arial" w:eastAsia="Times New Roman" w:hAnsi="Arial" w:cs="Arial"/>
          <w:color w:val="000000"/>
          <w:sz w:val="24"/>
          <w:szCs w:val="24"/>
          <w:lang w:val="en-US" w:eastAsia="en-NZ"/>
        </w:rPr>
        <w:t xml:space="preserve"> (</w:t>
      </w:r>
      <w:r w:rsidR="00EC60A7">
        <w:rPr>
          <w:rFonts w:ascii="Arial" w:eastAsia="Times New Roman" w:hAnsi="Arial" w:cs="Arial"/>
          <w:b/>
          <w:bCs/>
          <w:color w:val="000000"/>
          <w:sz w:val="24"/>
          <w:szCs w:val="24"/>
          <w:lang w:val="en-US" w:eastAsia="en-NZ"/>
        </w:rPr>
        <w:t>Justice Gallen</w:t>
      </w:r>
      <w:r w:rsidR="00EC60A7">
        <w:rPr>
          <w:rFonts w:ascii="Arial" w:eastAsia="Times New Roman" w:hAnsi="Arial" w:cs="Arial"/>
          <w:color w:val="000000"/>
          <w:sz w:val="24"/>
          <w:szCs w:val="24"/>
          <w:lang w:val="en-US" w:eastAsia="en-NZ"/>
        </w:rPr>
        <w:t>)</w:t>
      </w:r>
      <w:r w:rsidR="00AB5BE2" w:rsidRPr="00AB5BE2">
        <w:rPr>
          <w:rFonts w:ascii="Arial" w:eastAsia="Times New Roman" w:hAnsi="Arial" w:cs="Arial"/>
          <w:color w:val="000000"/>
          <w:sz w:val="24"/>
          <w:szCs w:val="24"/>
          <w:lang w:val="en-US" w:eastAsia="en-NZ"/>
        </w:rPr>
        <w:t xml:space="preserve"> in 2001. It followed </w:t>
      </w:r>
      <w:r w:rsidR="0068148A">
        <w:rPr>
          <w:rFonts w:ascii="Arial" w:eastAsia="Times New Roman" w:hAnsi="Arial" w:cs="Arial"/>
          <w:color w:val="000000"/>
          <w:sz w:val="24"/>
          <w:szCs w:val="24"/>
          <w:lang w:val="en-US" w:eastAsia="en-NZ"/>
        </w:rPr>
        <w:t xml:space="preserve">initial </w:t>
      </w:r>
      <w:r w:rsidR="00AB5BE2" w:rsidRPr="00AB5BE2">
        <w:rPr>
          <w:rFonts w:ascii="Arial" w:eastAsia="Times New Roman" w:hAnsi="Arial" w:cs="Arial"/>
          <w:color w:val="000000"/>
          <w:sz w:val="24"/>
          <w:szCs w:val="24"/>
          <w:lang w:val="en-US" w:eastAsia="en-NZ"/>
        </w:rPr>
        <w:t>claims by</w:t>
      </w:r>
      <w:r w:rsidR="0068148A">
        <w:rPr>
          <w:rFonts w:ascii="Arial" w:eastAsia="Times New Roman" w:hAnsi="Arial" w:cs="Arial"/>
          <w:color w:val="000000"/>
          <w:sz w:val="24"/>
          <w:szCs w:val="24"/>
          <w:lang w:val="en-US" w:eastAsia="en-NZ"/>
        </w:rPr>
        <w:t xml:space="preserve"> 88</w:t>
      </w:r>
      <w:r w:rsidR="00AB5BE2" w:rsidRPr="00AB5BE2">
        <w:rPr>
          <w:rFonts w:ascii="Arial" w:eastAsia="Times New Roman" w:hAnsi="Arial" w:cs="Arial"/>
          <w:color w:val="000000"/>
          <w:sz w:val="24"/>
          <w:szCs w:val="24"/>
          <w:lang w:val="en-US" w:eastAsia="en-NZ"/>
        </w:rPr>
        <w:t xml:space="preserve"> people that they were abused while children at Lake Alice Hospital. A settlement was negotiat</w:t>
      </w:r>
      <w:r w:rsidR="00DF6127">
        <w:rPr>
          <w:rFonts w:ascii="Arial" w:eastAsia="Times New Roman" w:hAnsi="Arial" w:cs="Arial"/>
          <w:color w:val="000000"/>
          <w:sz w:val="24"/>
          <w:szCs w:val="24"/>
          <w:lang w:val="en-US" w:eastAsia="en-NZ"/>
        </w:rPr>
        <w:t>ed</w:t>
      </w:r>
      <w:r w:rsidR="00AB5BE2" w:rsidRPr="00AB5BE2">
        <w:rPr>
          <w:rFonts w:ascii="Arial" w:eastAsia="Times New Roman" w:hAnsi="Arial" w:cs="Arial"/>
          <w:color w:val="000000"/>
          <w:sz w:val="24"/>
          <w:szCs w:val="24"/>
          <w:lang w:val="en-US" w:eastAsia="en-NZ"/>
        </w:rPr>
        <w:t xml:space="preserve"> of $6.5 million</w:t>
      </w:r>
      <w:r w:rsidR="00DF6127">
        <w:rPr>
          <w:rFonts w:ascii="Arial" w:eastAsia="Times New Roman" w:hAnsi="Arial" w:cs="Arial"/>
          <w:color w:val="000000"/>
          <w:sz w:val="24"/>
          <w:szCs w:val="24"/>
          <w:lang w:val="en-US" w:eastAsia="en-NZ"/>
        </w:rPr>
        <w:t>,</w:t>
      </w:r>
      <w:r w:rsidR="005459C0">
        <w:rPr>
          <w:rStyle w:val="FootnoteReference"/>
          <w:rFonts w:ascii="Arial" w:eastAsia="Times New Roman" w:hAnsi="Arial" w:cs="Arial"/>
          <w:color w:val="000000"/>
          <w:sz w:val="24"/>
          <w:szCs w:val="24"/>
          <w:lang w:val="en-US" w:eastAsia="en-NZ"/>
        </w:rPr>
        <w:footnoteReference w:id="2"/>
      </w:r>
      <w:r w:rsidR="00AB5BE2" w:rsidRPr="00AB5BE2">
        <w:rPr>
          <w:rFonts w:ascii="Arial" w:eastAsia="Times New Roman" w:hAnsi="Arial" w:cs="Arial"/>
          <w:color w:val="000000"/>
          <w:sz w:val="24"/>
          <w:szCs w:val="24"/>
          <w:lang w:val="en-US" w:eastAsia="en-NZ"/>
        </w:rPr>
        <w:t xml:space="preserve"> and Justice Gallen was appointed to make a division of the settlement between the claimants. Justice Gallen spoke to </w:t>
      </w:r>
      <w:r w:rsidR="00AB5BE2">
        <w:rPr>
          <w:rFonts w:ascii="Arial" w:eastAsia="Times New Roman" w:hAnsi="Arial" w:cs="Arial"/>
          <w:color w:val="000000"/>
          <w:sz w:val="24"/>
          <w:szCs w:val="24"/>
          <w:lang w:val="en-US" w:eastAsia="en-NZ"/>
        </w:rPr>
        <w:t xml:space="preserve">or read statements of over 80 </w:t>
      </w:r>
      <w:r w:rsidR="00AB5BE2" w:rsidRPr="00AB5BE2">
        <w:rPr>
          <w:rFonts w:ascii="Arial" w:eastAsia="Times New Roman" w:hAnsi="Arial" w:cs="Arial"/>
          <w:color w:val="000000"/>
          <w:sz w:val="24"/>
          <w:szCs w:val="24"/>
          <w:lang w:val="en-US" w:eastAsia="en-NZ"/>
        </w:rPr>
        <w:t>claimants. As well as deciding the division of money, he completed a report which gave a description of the evidence that he heard from complainants, and described his methodology for allocating payment. The report accepted the truth of the allegations, and in particular accepted that both ECT and paraldehyde injections had been used for punishment. He described the experience of the claimants as living in a state of extreme fear and hopelessness during the period they spent as children at Lake Alice.</w:t>
      </w:r>
    </w:p>
    <w:p w14:paraId="1769EA4F" w14:textId="77777777" w:rsidR="00E61E23" w:rsidRPr="00E61E23" w:rsidRDefault="00E61E23" w:rsidP="00E61E23">
      <w:pPr>
        <w:pStyle w:val="ListParagraph"/>
        <w:spacing w:after="0" w:line="360" w:lineRule="auto"/>
        <w:ind w:left="1134"/>
        <w:rPr>
          <w:rFonts w:ascii="Arial" w:eastAsia="Times New Roman" w:hAnsi="Arial" w:cs="Arial"/>
          <w:color w:val="000000"/>
          <w:sz w:val="24"/>
          <w:szCs w:val="24"/>
          <w:lang w:eastAsia="en-NZ"/>
        </w:rPr>
      </w:pPr>
    </w:p>
    <w:p w14:paraId="264987E7" w14:textId="6B0E9F44" w:rsidR="00E61E23" w:rsidRPr="001410FB" w:rsidRDefault="006377DF" w:rsidP="001410FB">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val="en-US" w:eastAsia="en-NZ"/>
        </w:rPr>
        <w:t xml:space="preserve">In terms of </w:t>
      </w:r>
      <w:r w:rsidR="00AB54F6">
        <w:rPr>
          <w:rFonts w:ascii="Arial" w:eastAsia="Times New Roman" w:hAnsi="Arial" w:cs="Arial"/>
          <w:color w:val="000000"/>
          <w:sz w:val="24"/>
          <w:szCs w:val="24"/>
          <w:lang w:val="en-US" w:eastAsia="en-NZ"/>
        </w:rPr>
        <w:t>compensation</w:t>
      </w:r>
      <w:r>
        <w:rPr>
          <w:rFonts w:ascii="Arial" w:eastAsia="Times New Roman" w:hAnsi="Arial" w:cs="Arial"/>
          <w:color w:val="000000"/>
          <w:sz w:val="24"/>
          <w:szCs w:val="24"/>
          <w:lang w:val="en-US" w:eastAsia="en-NZ"/>
        </w:rPr>
        <w:t xml:space="preserve">, </w:t>
      </w:r>
      <w:r w:rsidR="00FE5F48">
        <w:rPr>
          <w:rFonts w:ascii="Arial" w:eastAsia="Times New Roman" w:hAnsi="Arial" w:cs="Arial"/>
          <w:color w:val="000000"/>
          <w:sz w:val="24"/>
          <w:szCs w:val="24"/>
          <w:lang w:val="en-US" w:eastAsia="en-NZ"/>
        </w:rPr>
        <w:t xml:space="preserve">the sole question was how </w:t>
      </w:r>
      <w:r w:rsidRPr="006377DF">
        <w:rPr>
          <w:rFonts w:ascii="Arial" w:eastAsia="Times New Roman" w:hAnsi="Arial" w:cs="Arial"/>
          <w:color w:val="000000"/>
          <w:sz w:val="24"/>
          <w:szCs w:val="24"/>
          <w:lang w:val="en-US" w:eastAsia="en-NZ"/>
        </w:rPr>
        <w:t xml:space="preserve">to allocate the total amount that had </w:t>
      </w:r>
      <w:r>
        <w:rPr>
          <w:rFonts w:ascii="Arial" w:eastAsia="Times New Roman" w:hAnsi="Arial" w:cs="Arial"/>
          <w:color w:val="000000"/>
          <w:sz w:val="24"/>
          <w:szCs w:val="24"/>
          <w:lang w:val="en-US" w:eastAsia="en-NZ"/>
        </w:rPr>
        <w:t xml:space="preserve">already </w:t>
      </w:r>
      <w:r w:rsidRPr="006377DF">
        <w:rPr>
          <w:rFonts w:ascii="Arial" w:eastAsia="Times New Roman" w:hAnsi="Arial" w:cs="Arial"/>
          <w:color w:val="000000"/>
          <w:sz w:val="24"/>
          <w:szCs w:val="24"/>
          <w:lang w:val="en-US" w:eastAsia="en-NZ"/>
        </w:rPr>
        <w:t>been agreed between the claimants of the class action. Sir Rodney decided to allocate a substantial proportion of the amount equally between all claimants</w:t>
      </w:r>
      <w:r w:rsidR="00FE5F48">
        <w:rPr>
          <w:rFonts w:ascii="Arial" w:eastAsia="Times New Roman" w:hAnsi="Arial" w:cs="Arial"/>
          <w:color w:val="000000"/>
          <w:sz w:val="24"/>
          <w:szCs w:val="24"/>
          <w:lang w:val="en-US" w:eastAsia="en-NZ"/>
        </w:rPr>
        <w:t xml:space="preserve">, on the basis that </w:t>
      </w:r>
      <w:r w:rsidR="00214C18">
        <w:rPr>
          <w:rFonts w:ascii="Arial" w:eastAsia="Times New Roman" w:hAnsi="Arial" w:cs="Arial"/>
          <w:color w:val="000000"/>
          <w:sz w:val="24"/>
          <w:szCs w:val="24"/>
          <w:lang w:val="en-US" w:eastAsia="en-NZ"/>
        </w:rPr>
        <w:t>every child had lived in a state of fear while there</w:t>
      </w:r>
      <w:r w:rsidRPr="006377DF">
        <w:rPr>
          <w:rFonts w:ascii="Arial" w:eastAsia="Times New Roman" w:hAnsi="Arial" w:cs="Arial"/>
          <w:color w:val="000000"/>
          <w:sz w:val="24"/>
          <w:szCs w:val="24"/>
          <w:lang w:val="en-US" w:eastAsia="en-NZ"/>
        </w:rPr>
        <w:t>. The balance was divided unequally to recognize the different experiences of the claimants, taking into account the age of the claimant when admitted to Lake Alice, the number of admissions, the length of stay, the administration of ECT and the way in which it was administered, the administration of paraldehyde, the use of isolation and other parts of the individual’s experience.</w:t>
      </w:r>
    </w:p>
    <w:p w14:paraId="2A0B1E17" w14:textId="77777777" w:rsidR="001410FB" w:rsidRPr="001410FB" w:rsidRDefault="001410FB" w:rsidP="001410FB">
      <w:pPr>
        <w:pStyle w:val="ListParagraph"/>
        <w:spacing w:after="0" w:line="360" w:lineRule="auto"/>
        <w:ind w:left="1134"/>
        <w:rPr>
          <w:rFonts w:ascii="Arial" w:eastAsia="Times New Roman" w:hAnsi="Arial" w:cs="Arial"/>
          <w:color w:val="000000"/>
          <w:sz w:val="24"/>
          <w:szCs w:val="24"/>
          <w:lang w:eastAsia="en-NZ"/>
        </w:rPr>
      </w:pPr>
    </w:p>
    <w:p w14:paraId="239E9E69" w14:textId="79B87A8E" w:rsidR="001410FB" w:rsidRPr="001410FB" w:rsidRDefault="001410FB" w:rsidP="001410FB">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sidRPr="001410FB">
        <w:rPr>
          <w:rFonts w:ascii="Arial" w:eastAsia="Times New Roman" w:hAnsi="Arial" w:cs="Arial"/>
          <w:color w:val="000000"/>
          <w:sz w:val="24"/>
          <w:szCs w:val="24"/>
          <w:lang w:eastAsia="en-NZ"/>
        </w:rPr>
        <w:t xml:space="preserve">The Government response to the Gallen Report and Lake Alice Hospital claimant redress processes </w:t>
      </w:r>
      <w:r>
        <w:rPr>
          <w:rFonts w:ascii="Arial" w:eastAsia="Times New Roman" w:hAnsi="Arial" w:cs="Arial"/>
          <w:color w:val="000000"/>
          <w:sz w:val="24"/>
          <w:szCs w:val="24"/>
          <w:lang w:eastAsia="en-NZ"/>
        </w:rPr>
        <w:t xml:space="preserve">is outlined </w:t>
      </w:r>
      <w:r w:rsidRPr="001410FB">
        <w:rPr>
          <w:rFonts w:ascii="Arial" w:eastAsia="Times New Roman" w:hAnsi="Arial" w:cs="Arial"/>
          <w:color w:val="000000"/>
          <w:sz w:val="24"/>
          <w:szCs w:val="24"/>
          <w:lang w:eastAsia="en-NZ"/>
        </w:rPr>
        <w:t xml:space="preserve">in the </w:t>
      </w:r>
      <w:r>
        <w:rPr>
          <w:rFonts w:ascii="Arial" w:eastAsia="Times New Roman" w:hAnsi="Arial" w:cs="Arial"/>
          <w:color w:val="000000"/>
          <w:sz w:val="24"/>
          <w:szCs w:val="24"/>
          <w:lang w:eastAsia="en-NZ"/>
        </w:rPr>
        <w:t xml:space="preserve">Royal Commission’s </w:t>
      </w:r>
      <w:r w:rsidRPr="001410FB">
        <w:rPr>
          <w:rFonts w:ascii="Arial" w:eastAsia="Times New Roman" w:hAnsi="Arial" w:cs="Arial"/>
          <w:color w:val="000000"/>
          <w:sz w:val="24"/>
          <w:szCs w:val="24"/>
          <w:lang w:eastAsia="en-NZ"/>
        </w:rPr>
        <w:t xml:space="preserve">briefing </w:t>
      </w:r>
      <w:r w:rsidRPr="001410FB">
        <w:rPr>
          <w:rFonts w:ascii="Arial" w:eastAsia="Times New Roman" w:hAnsi="Arial" w:cs="Arial"/>
          <w:color w:val="000000"/>
          <w:sz w:val="24"/>
          <w:szCs w:val="24"/>
          <w:lang w:eastAsia="en-NZ"/>
        </w:rPr>
        <w:lastRenderedPageBreak/>
        <w:t xml:space="preserve">paper titled “Government Policy Between 2000 and 2017”, </w:t>
      </w:r>
      <w:r>
        <w:rPr>
          <w:rFonts w:ascii="Arial" w:eastAsia="Times New Roman" w:hAnsi="Arial" w:cs="Arial"/>
          <w:color w:val="000000"/>
          <w:sz w:val="24"/>
          <w:szCs w:val="24"/>
          <w:lang w:eastAsia="en-NZ"/>
        </w:rPr>
        <w:t xml:space="preserve">so </w:t>
      </w:r>
      <w:r w:rsidRPr="001410FB">
        <w:rPr>
          <w:rFonts w:ascii="Arial" w:eastAsia="Times New Roman" w:hAnsi="Arial" w:cs="Arial"/>
          <w:color w:val="000000"/>
          <w:sz w:val="24"/>
          <w:szCs w:val="24"/>
          <w:lang w:eastAsia="en-NZ"/>
        </w:rPr>
        <w:t xml:space="preserve">is not repeated here. </w:t>
      </w:r>
    </w:p>
    <w:p w14:paraId="1D10C932" w14:textId="77777777" w:rsidR="001D75A1" w:rsidRPr="00AB5BE2" w:rsidRDefault="001D75A1" w:rsidP="006133E3">
      <w:pPr>
        <w:pStyle w:val="ListParagraph"/>
        <w:spacing w:after="0" w:line="360" w:lineRule="auto"/>
        <w:ind w:left="1134"/>
        <w:rPr>
          <w:rFonts w:ascii="Arial" w:eastAsia="Times New Roman" w:hAnsi="Arial" w:cs="Arial"/>
          <w:color w:val="000000"/>
          <w:sz w:val="24"/>
          <w:szCs w:val="24"/>
          <w:lang w:eastAsia="en-NZ"/>
        </w:rPr>
      </w:pPr>
    </w:p>
    <w:p w14:paraId="78FD82E0" w14:textId="42078653" w:rsidR="005C5000" w:rsidRPr="005C5000" w:rsidRDefault="005C5000" w:rsidP="006133E3">
      <w:pPr>
        <w:pStyle w:val="Heading3"/>
        <w:numPr>
          <w:ilvl w:val="0"/>
          <w:numId w:val="14"/>
        </w:numPr>
        <w:spacing w:line="360" w:lineRule="auto"/>
        <w:ind w:left="1134" w:hanging="567"/>
        <w:rPr>
          <w:rFonts w:ascii="Arial" w:hAnsi="Arial" w:cs="Arial"/>
          <w:b/>
          <w:color w:val="000000" w:themeColor="text1"/>
          <w:lang w:val="en-NZ"/>
        </w:rPr>
      </w:pPr>
      <w:proofErr w:type="spellStart"/>
      <w:r>
        <w:rPr>
          <w:rFonts w:ascii="Arial" w:hAnsi="Arial" w:cs="Arial"/>
          <w:b/>
          <w:color w:val="000000" w:themeColor="text1"/>
          <w:lang w:val="en-NZ"/>
        </w:rPr>
        <w:t>Te</w:t>
      </w:r>
      <w:proofErr w:type="spellEnd"/>
      <w:r>
        <w:rPr>
          <w:rFonts w:ascii="Arial" w:hAnsi="Arial" w:cs="Arial"/>
          <w:b/>
          <w:color w:val="000000" w:themeColor="text1"/>
          <w:lang w:val="en-NZ"/>
        </w:rPr>
        <w:t xml:space="preserve"> </w:t>
      </w:r>
      <w:proofErr w:type="spellStart"/>
      <w:r>
        <w:rPr>
          <w:rFonts w:ascii="Arial" w:hAnsi="Arial" w:cs="Arial"/>
          <w:b/>
          <w:color w:val="000000" w:themeColor="text1"/>
          <w:lang w:val="en-NZ"/>
        </w:rPr>
        <w:t>Āiotanga</w:t>
      </w:r>
      <w:proofErr w:type="spellEnd"/>
      <w:r>
        <w:rPr>
          <w:rFonts w:ascii="Arial" w:hAnsi="Arial" w:cs="Arial"/>
          <w:b/>
          <w:color w:val="000000" w:themeColor="text1"/>
          <w:lang w:val="en-NZ"/>
        </w:rPr>
        <w:t xml:space="preserve"> – report of the Confidential Forum for In-Pati</w:t>
      </w:r>
      <w:r w:rsidR="002A3C99">
        <w:rPr>
          <w:rFonts w:ascii="Arial" w:hAnsi="Arial" w:cs="Arial"/>
          <w:b/>
          <w:color w:val="000000" w:themeColor="text1"/>
          <w:lang w:val="en-NZ"/>
        </w:rPr>
        <w:t>e</w:t>
      </w:r>
      <w:r>
        <w:rPr>
          <w:rFonts w:ascii="Arial" w:hAnsi="Arial" w:cs="Arial"/>
          <w:b/>
          <w:color w:val="000000" w:themeColor="text1"/>
          <w:lang w:val="en-NZ"/>
        </w:rPr>
        <w:t>nts of Psychiatric Hospitals (2007)</w:t>
      </w:r>
      <w:r w:rsidR="002B340F">
        <w:rPr>
          <w:rStyle w:val="FootnoteReference"/>
          <w:rFonts w:ascii="Arial" w:hAnsi="Arial" w:cs="Arial"/>
          <w:b/>
          <w:color w:val="000000" w:themeColor="text1"/>
          <w:lang w:val="en-NZ"/>
        </w:rPr>
        <w:footnoteReference w:id="3"/>
      </w:r>
    </w:p>
    <w:p w14:paraId="420F0634" w14:textId="77777777" w:rsidR="005C5000" w:rsidRPr="005C5000" w:rsidRDefault="005C5000" w:rsidP="006133E3">
      <w:pPr>
        <w:pStyle w:val="ListParagraph"/>
        <w:spacing w:line="360" w:lineRule="auto"/>
        <w:rPr>
          <w:rFonts w:ascii="Arial" w:eastAsia="Times New Roman" w:hAnsi="Arial" w:cs="Arial"/>
          <w:color w:val="000000"/>
          <w:sz w:val="24"/>
          <w:szCs w:val="24"/>
          <w:lang w:eastAsia="en-NZ"/>
        </w:rPr>
      </w:pPr>
    </w:p>
    <w:p w14:paraId="7BECAF53" w14:textId="1592F673" w:rsidR="005C5000" w:rsidRDefault="00904E21"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Confidential Forum </w:t>
      </w:r>
      <w:r w:rsidR="00712660">
        <w:rPr>
          <w:rFonts w:ascii="Arial" w:eastAsia="Times New Roman" w:hAnsi="Arial" w:cs="Arial"/>
          <w:color w:val="000000"/>
          <w:sz w:val="24"/>
          <w:szCs w:val="24"/>
          <w:lang w:eastAsia="en-NZ"/>
        </w:rPr>
        <w:t>for In-Patients of Psychiatric Hospitals (</w:t>
      </w:r>
      <w:r w:rsidR="00712660">
        <w:rPr>
          <w:rFonts w:ascii="Arial" w:eastAsia="Times New Roman" w:hAnsi="Arial" w:cs="Arial"/>
          <w:b/>
          <w:bCs/>
          <w:color w:val="000000"/>
          <w:sz w:val="24"/>
          <w:szCs w:val="24"/>
          <w:lang w:eastAsia="en-NZ"/>
        </w:rPr>
        <w:t xml:space="preserve">Confidential </w:t>
      </w:r>
      <w:r w:rsidR="00712660" w:rsidRPr="00712660">
        <w:rPr>
          <w:rFonts w:ascii="Arial" w:eastAsia="Times New Roman" w:hAnsi="Arial" w:cs="Arial"/>
          <w:b/>
          <w:bCs/>
          <w:color w:val="000000"/>
          <w:sz w:val="24"/>
          <w:szCs w:val="24"/>
          <w:lang w:eastAsia="en-NZ"/>
        </w:rPr>
        <w:t>Forum</w:t>
      </w:r>
      <w:r w:rsidR="00712660">
        <w:rPr>
          <w:rFonts w:ascii="Arial" w:eastAsia="Times New Roman" w:hAnsi="Arial" w:cs="Arial"/>
          <w:color w:val="000000"/>
          <w:sz w:val="24"/>
          <w:szCs w:val="24"/>
          <w:lang w:eastAsia="en-NZ"/>
        </w:rPr>
        <w:t xml:space="preserve">) </w:t>
      </w:r>
      <w:r w:rsidRPr="00712660">
        <w:rPr>
          <w:rFonts w:ascii="Arial" w:eastAsia="Times New Roman" w:hAnsi="Arial" w:cs="Arial"/>
          <w:color w:val="000000"/>
          <w:sz w:val="24"/>
          <w:szCs w:val="24"/>
          <w:lang w:eastAsia="en-NZ"/>
        </w:rPr>
        <w:t>was</w:t>
      </w:r>
      <w:r>
        <w:rPr>
          <w:rFonts w:ascii="Arial" w:eastAsia="Times New Roman" w:hAnsi="Arial" w:cs="Arial"/>
          <w:color w:val="000000"/>
          <w:sz w:val="24"/>
          <w:szCs w:val="24"/>
          <w:lang w:eastAsia="en-NZ"/>
        </w:rPr>
        <w:t xml:space="preserve"> established in 2005 to provide a listening ad assistance service for people claiming abuse in psychiatric hospitals. The Forum heard from over 550 registered participants.</w:t>
      </w:r>
      <w:r w:rsidR="006F5329">
        <w:rPr>
          <w:rFonts w:ascii="Arial" w:eastAsia="Times New Roman" w:hAnsi="Arial" w:cs="Arial"/>
          <w:color w:val="000000"/>
          <w:sz w:val="24"/>
          <w:szCs w:val="24"/>
          <w:lang w:eastAsia="en-NZ"/>
        </w:rPr>
        <w:t xml:space="preserve"> </w:t>
      </w:r>
      <w:r w:rsidR="00246364">
        <w:rPr>
          <w:rFonts w:ascii="Arial" w:eastAsia="Times New Roman" w:hAnsi="Arial" w:cs="Arial"/>
          <w:color w:val="000000"/>
          <w:sz w:val="24"/>
          <w:szCs w:val="24"/>
          <w:lang w:eastAsia="en-NZ"/>
        </w:rPr>
        <w:t xml:space="preserve">The Forum did not determine liability or truth, and did not deal with compensation. </w:t>
      </w:r>
      <w:r w:rsidR="006F5329">
        <w:rPr>
          <w:rFonts w:ascii="Arial" w:eastAsia="Times New Roman" w:hAnsi="Arial" w:cs="Arial"/>
          <w:color w:val="000000"/>
          <w:sz w:val="24"/>
          <w:szCs w:val="24"/>
          <w:lang w:eastAsia="en-NZ"/>
        </w:rPr>
        <w:t xml:space="preserve">The Forum’s terms of reference included that it was not to make public any information relating to what it heard, but it nevertheless reported </w:t>
      </w:r>
      <w:r w:rsidR="003307D7">
        <w:rPr>
          <w:rFonts w:ascii="Arial" w:eastAsia="Times New Roman" w:hAnsi="Arial" w:cs="Arial"/>
          <w:color w:val="000000"/>
          <w:sz w:val="24"/>
          <w:szCs w:val="24"/>
          <w:lang w:eastAsia="en-NZ"/>
        </w:rPr>
        <w:t>on general themes.</w:t>
      </w:r>
    </w:p>
    <w:p w14:paraId="16905CC2" w14:textId="77777777" w:rsidR="00904E21" w:rsidRDefault="00904E21" w:rsidP="006133E3">
      <w:pPr>
        <w:pStyle w:val="ListParagraph"/>
        <w:spacing w:after="0" w:line="360" w:lineRule="auto"/>
        <w:ind w:left="1134"/>
        <w:rPr>
          <w:rFonts w:ascii="Arial" w:eastAsia="Times New Roman" w:hAnsi="Arial" w:cs="Arial"/>
          <w:color w:val="000000"/>
          <w:sz w:val="24"/>
          <w:szCs w:val="24"/>
          <w:lang w:eastAsia="en-NZ"/>
        </w:rPr>
      </w:pPr>
    </w:p>
    <w:p w14:paraId="32318510" w14:textId="08BD2C93" w:rsidR="00904E21" w:rsidRDefault="00942C2C"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In relation to redress, t</w:t>
      </w:r>
      <w:r w:rsidR="00904E21">
        <w:rPr>
          <w:rFonts w:ascii="Arial" w:eastAsia="Times New Roman" w:hAnsi="Arial" w:cs="Arial"/>
          <w:color w:val="000000"/>
          <w:sz w:val="24"/>
          <w:szCs w:val="24"/>
          <w:lang w:eastAsia="en-NZ"/>
        </w:rPr>
        <w:t xml:space="preserve">he Report </w:t>
      </w:r>
      <w:proofErr w:type="spellStart"/>
      <w:r w:rsidR="00904E21">
        <w:rPr>
          <w:rFonts w:ascii="Arial" w:eastAsia="Times New Roman" w:hAnsi="Arial" w:cs="Arial"/>
          <w:color w:val="000000"/>
          <w:sz w:val="24"/>
          <w:szCs w:val="24"/>
          <w:lang w:eastAsia="en-NZ"/>
        </w:rPr>
        <w:t>Te</w:t>
      </w:r>
      <w:proofErr w:type="spellEnd"/>
      <w:r w:rsidR="00904E21">
        <w:rPr>
          <w:rFonts w:ascii="Arial" w:eastAsia="Times New Roman" w:hAnsi="Arial" w:cs="Arial"/>
          <w:color w:val="000000"/>
          <w:sz w:val="24"/>
          <w:szCs w:val="24"/>
          <w:lang w:eastAsia="en-NZ"/>
        </w:rPr>
        <w:t xml:space="preserve"> </w:t>
      </w:r>
      <w:proofErr w:type="spellStart"/>
      <w:r w:rsidR="00904E21">
        <w:rPr>
          <w:rFonts w:ascii="Arial" w:eastAsia="Times New Roman" w:hAnsi="Arial" w:cs="Arial"/>
          <w:color w:val="000000"/>
          <w:sz w:val="24"/>
          <w:szCs w:val="24"/>
          <w:lang w:eastAsia="en-NZ"/>
        </w:rPr>
        <w:t>Āiotanga</w:t>
      </w:r>
      <w:proofErr w:type="spellEnd"/>
      <w:r w:rsidR="00904E21">
        <w:rPr>
          <w:rFonts w:ascii="Arial" w:eastAsia="Times New Roman" w:hAnsi="Arial" w:cs="Arial"/>
          <w:color w:val="000000"/>
          <w:sz w:val="24"/>
          <w:szCs w:val="24"/>
          <w:lang w:eastAsia="en-NZ"/>
        </w:rPr>
        <w:t xml:space="preserve"> noted a “hope of many former patients who came to the Forum was that the Government would give a public acknowledgment or apology showing that the Government understood that many former in-patients of psychiatric hospitals had had experiences that were deeply humiliating and demeaning, often taking a lifelong toll. Many who spoke of this said that a public acknowledgment/apology would make them feel valued and accepted in a way that was very important for them, often saying that such recognition of the experiences of former patients would help bring closure.”</w:t>
      </w:r>
    </w:p>
    <w:p w14:paraId="7826AA83" w14:textId="77777777" w:rsidR="00696F1D" w:rsidRPr="00696F1D" w:rsidRDefault="00696F1D" w:rsidP="006133E3">
      <w:pPr>
        <w:pStyle w:val="ListParagraph"/>
        <w:spacing w:line="360" w:lineRule="auto"/>
        <w:rPr>
          <w:rFonts w:ascii="Arial" w:eastAsia="Times New Roman" w:hAnsi="Arial" w:cs="Arial"/>
          <w:color w:val="000000"/>
          <w:sz w:val="24"/>
          <w:szCs w:val="24"/>
          <w:lang w:eastAsia="en-NZ"/>
        </w:rPr>
      </w:pPr>
    </w:p>
    <w:p w14:paraId="2697EE14" w14:textId="7D3B0C08" w:rsidR="008C45AE" w:rsidRPr="00DD3FEB" w:rsidRDefault="008C45AE" w:rsidP="006133E3">
      <w:pPr>
        <w:pStyle w:val="Heading3"/>
        <w:numPr>
          <w:ilvl w:val="0"/>
          <w:numId w:val="14"/>
        </w:numPr>
        <w:spacing w:line="360" w:lineRule="auto"/>
        <w:ind w:left="1134" w:hanging="567"/>
        <w:rPr>
          <w:rFonts w:ascii="Arial" w:hAnsi="Arial" w:cs="Arial"/>
          <w:b/>
          <w:color w:val="000000" w:themeColor="text1"/>
          <w:lang w:val="en-NZ"/>
        </w:rPr>
      </w:pPr>
      <w:r>
        <w:rPr>
          <w:rFonts w:ascii="Arial" w:hAnsi="Arial" w:cs="Arial"/>
          <w:b/>
          <w:color w:val="000000" w:themeColor="text1"/>
          <w:lang w:val="en-NZ"/>
        </w:rPr>
        <w:t>Legal Aid Review - Trans</w:t>
      </w:r>
      <w:r w:rsidR="00AE51A4">
        <w:rPr>
          <w:rFonts w:ascii="Arial" w:hAnsi="Arial" w:cs="Arial"/>
          <w:b/>
          <w:color w:val="000000" w:themeColor="text1"/>
          <w:lang w:val="en-NZ"/>
        </w:rPr>
        <w:t>f</w:t>
      </w:r>
      <w:r>
        <w:rPr>
          <w:rFonts w:ascii="Arial" w:hAnsi="Arial" w:cs="Arial"/>
          <w:b/>
          <w:color w:val="000000" w:themeColor="text1"/>
          <w:lang w:val="en-NZ"/>
        </w:rPr>
        <w:t>orming the Legal Aid System</w:t>
      </w:r>
      <w:r w:rsidR="00DB7E96">
        <w:rPr>
          <w:rFonts w:ascii="Arial" w:hAnsi="Arial" w:cs="Arial"/>
          <w:b/>
          <w:color w:val="000000" w:themeColor="text1"/>
          <w:lang w:val="en-NZ"/>
        </w:rPr>
        <w:t xml:space="preserve"> </w:t>
      </w:r>
      <w:r>
        <w:rPr>
          <w:rFonts w:ascii="Arial" w:hAnsi="Arial" w:cs="Arial"/>
          <w:b/>
          <w:color w:val="000000" w:themeColor="text1"/>
          <w:lang w:val="en-NZ"/>
        </w:rPr>
        <w:t>(2009)</w:t>
      </w:r>
      <w:r w:rsidR="009A7DF4">
        <w:rPr>
          <w:rStyle w:val="FootnoteReference"/>
          <w:rFonts w:ascii="Arial" w:hAnsi="Arial" w:cs="Arial"/>
          <w:b/>
          <w:color w:val="000000" w:themeColor="text1"/>
          <w:lang w:val="en-NZ"/>
        </w:rPr>
        <w:footnoteReference w:id="4"/>
      </w:r>
    </w:p>
    <w:p w14:paraId="4E72930D" w14:textId="77777777" w:rsidR="008A166F" w:rsidRPr="008A166F" w:rsidRDefault="008A166F" w:rsidP="006133E3">
      <w:pPr>
        <w:pStyle w:val="ListParagraph"/>
        <w:spacing w:line="360" w:lineRule="auto"/>
        <w:rPr>
          <w:rFonts w:ascii="Arial" w:eastAsia="Times New Roman" w:hAnsi="Arial" w:cs="Arial"/>
          <w:color w:val="000000"/>
          <w:sz w:val="24"/>
          <w:szCs w:val="24"/>
          <w:lang w:eastAsia="en-NZ"/>
        </w:rPr>
      </w:pPr>
    </w:p>
    <w:p w14:paraId="474573A6" w14:textId="0315C009" w:rsidR="008A166F" w:rsidRDefault="00DD3FEB"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This was a review by </w:t>
      </w:r>
      <w:r w:rsidR="00AE34A2">
        <w:rPr>
          <w:rFonts w:ascii="Arial" w:eastAsia="Times New Roman" w:hAnsi="Arial" w:cs="Arial"/>
          <w:color w:val="000000"/>
          <w:sz w:val="24"/>
          <w:szCs w:val="24"/>
          <w:lang w:eastAsia="en-NZ"/>
        </w:rPr>
        <w:t xml:space="preserve">Margaret </w:t>
      </w:r>
      <w:proofErr w:type="spellStart"/>
      <w:r w:rsidR="00AE34A2">
        <w:rPr>
          <w:rFonts w:ascii="Arial" w:eastAsia="Times New Roman" w:hAnsi="Arial" w:cs="Arial"/>
          <w:color w:val="000000"/>
          <w:sz w:val="24"/>
          <w:szCs w:val="24"/>
          <w:lang w:eastAsia="en-NZ"/>
        </w:rPr>
        <w:t>Bazley</w:t>
      </w:r>
      <w:proofErr w:type="spellEnd"/>
      <w:r w:rsidR="00AE34A2">
        <w:rPr>
          <w:rFonts w:ascii="Arial" w:eastAsia="Times New Roman" w:hAnsi="Arial" w:cs="Arial"/>
          <w:color w:val="000000"/>
          <w:sz w:val="24"/>
          <w:szCs w:val="24"/>
          <w:lang w:eastAsia="en-NZ"/>
        </w:rPr>
        <w:t xml:space="preserve"> </w:t>
      </w:r>
      <w:r w:rsidR="00AE51A4">
        <w:rPr>
          <w:rFonts w:ascii="Arial" w:eastAsia="Times New Roman" w:hAnsi="Arial" w:cs="Arial"/>
          <w:color w:val="000000"/>
          <w:sz w:val="24"/>
          <w:szCs w:val="24"/>
          <w:lang w:eastAsia="en-NZ"/>
        </w:rPr>
        <w:t xml:space="preserve">of the </w:t>
      </w:r>
      <w:r w:rsidR="00535FC1">
        <w:rPr>
          <w:rFonts w:ascii="Arial" w:eastAsia="Times New Roman" w:hAnsi="Arial" w:cs="Arial"/>
          <w:color w:val="000000"/>
          <w:sz w:val="24"/>
          <w:szCs w:val="24"/>
          <w:lang w:eastAsia="en-NZ"/>
        </w:rPr>
        <w:t xml:space="preserve">wider </w:t>
      </w:r>
      <w:r w:rsidR="00AE51A4">
        <w:rPr>
          <w:rFonts w:ascii="Arial" w:eastAsia="Times New Roman" w:hAnsi="Arial" w:cs="Arial"/>
          <w:color w:val="000000"/>
          <w:sz w:val="24"/>
          <w:szCs w:val="24"/>
          <w:lang w:eastAsia="en-NZ"/>
        </w:rPr>
        <w:t xml:space="preserve">Legal Aid </w:t>
      </w:r>
      <w:r w:rsidR="00535FC1">
        <w:rPr>
          <w:rFonts w:ascii="Arial" w:eastAsia="Times New Roman" w:hAnsi="Arial" w:cs="Arial"/>
          <w:color w:val="000000"/>
          <w:sz w:val="24"/>
          <w:szCs w:val="24"/>
          <w:lang w:eastAsia="en-NZ"/>
        </w:rPr>
        <w:t xml:space="preserve">system, looking at its overall viability and sustainability. </w:t>
      </w:r>
      <w:r w:rsidR="00B8115A">
        <w:rPr>
          <w:rFonts w:ascii="Arial" w:eastAsia="Times New Roman" w:hAnsi="Arial" w:cs="Arial"/>
          <w:color w:val="000000"/>
          <w:sz w:val="24"/>
          <w:szCs w:val="24"/>
          <w:lang w:eastAsia="en-NZ"/>
        </w:rPr>
        <w:t xml:space="preserve">In the course of that work </w:t>
      </w:r>
      <w:r w:rsidR="00B8115A">
        <w:rPr>
          <w:rFonts w:ascii="Arial" w:eastAsia="Times New Roman" w:hAnsi="Arial" w:cs="Arial"/>
          <w:color w:val="000000"/>
          <w:sz w:val="24"/>
          <w:szCs w:val="24"/>
          <w:lang w:eastAsia="en-NZ"/>
        </w:rPr>
        <w:lastRenderedPageBreak/>
        <w:t xml:space="preserve">there was specific </w:t>
      </w:r>
      <w:r w:rsidR="00B407CD">
        <w:rPr>
          <w:rFonts w:ascii="Arial" w:eastAsia="Times New Roman" w:hAnsi="Arial" w:cs="Arial"/>
          <w:color w:val="000000"/>
          <w:sz w:val="24"/>
          <w:szCs w:val="24"/>
          <w:lang w:eastAsia="en-NZ"/>
        </w:rPr>
        <w:t xml:space="preserve">consideration </w:t>
      </w:r>
      <w:r w:rsidR="00B8115A">
        <w:rPr>
          <w:rFonts w:ascii="Arial" w:eastAsia="Times New Roman" w:hAnsi="Arial" w:cs="Arial"/>
          <w:color w:val="000000"/>
          <w:sz w:val="24"/>
          <w:szCs w:val="24"/>
          <w:lang w:eastAsia="en-NZ"/>
        </w:rPr>
        <w:t xml:space="preserve">of the approach to </w:t>
      </w:r>
      <w:r w:rsidR="00A11983">
        <w:rPr>
          <w:rFonts w:ascii="Arial" w:eastAsia="Times New Roman" w:hAnsi="Arial" w:cs="Arial"/>
          <w:color w:val="000000"/>
          <w:sz w:val="24"/>
          <w:szCs w:val="24"/>
          <w:lang w:eastAsia="en-NZ"/>
        </w:rPr>
        <w:t>historic sexual abuse claims</w:t>
      </w:r>
      <w:r w:rsidR="00B407CD">
        <w:rPr>
          <w:rFonts w:ascii="Arial" w:eastAsia="Times New Roman" w:hAnsi="Arial" w:cs="Arial"/>
          <w:color w:val="000000"/>
          <w:sz w:val="24"/>
          <w:szCs w:val="24"/>
          <w:lang w:eastAsia="en-NZ"/>
        </w:rPr>
        <w:t>, on the basis that there w</w:t>
      </w:r>
      <w:r w:rsidR="006F2930">
        <w:rPr>
          <w:rFonts w:ascii="Arial" w:eastAsia="Times New Roman" w:hAnsi="Arial" w:cs="Arial"/>
          <w:color w:val="000000"/>
          <w:sz w:val="24"/>
          <w:szCs w:val="24"/>
          <w:lang w:eastAsia="en-NZ"/>
        </w:rPr>
        <w:t>ere</w:t>
      </w:r>
      <w:r w:rsidR="00B407CD">
        <w:rPr>
          <w:rFonts w:ascii="Arial" w:eastAsia="Times New Roman" w:hAnsi="Arial" w:cs="Arial"/>
          <w:color w:val="000000"/>
          <w:sz w:val="24"/>
          <w:szCs w:val="24"/>
          <w:lang w:eastAsia="en-NZ"/>
        </w:rPr>
        <w:t xml:space="preserve"> a large number of </w:t>
      </w:r>
      <w:r w:rsidR="00B65601">
        <w:rPr>
          <w:rFonts w:ascii="Arial" w:eastAsia="Times New Roman" w:hAnsi="Arial" w:cs="Arial"/>
          <w:color w:val="000000"/>
          <w:sz w:val="24"/>
          <w:szCs w:val="24"/>
          <w:lang w:eastAsia="en-NZ"/>
        </w:rPr>
        <w:t xml:space="preserve">legal aid </w:t>
      </w:r>
      <w:r w:rsidR="00B407CD">
        <w:rPr>
          <w:rFonts w:ascii="Arial" w:eastAsia="Times New Roman" w:hAnsi="Arial" w:cs="Arial"/>
          <w:color w:val="000000"/>
          <w:sz w:val="24"/>
          <w:szCs w:val="24"/>
          <w:lang w:eastAsia="en-NZ"/>
        </w:rPr>
        <w:t>applications</w:t>
      </w:r>
      <w:r w:rsidR="00B65601">
        <w:rPr>
          <w:rFonts w:ascii="Arial" w:eastAsia="Times New Roman" w:hAnsi="Arial" w:cs="Arial"/>
          <w:color w:val="000000"/>
          <w:sz w:val="24"/>
          <w:szCs w:val="24"/>
          <w:lang w:eastAsia="en-NZ"/>
        </w:rPr>
        <w:t xml:space="preserve"> for these claims</w:t>
      </w:r>
      <w:r w:rsidR="00470E93">
        <w:rPr>
          <w:rFonts w:ascii="Arial" w:eastAsia="Times New Roman" w:hAnsi="Arial" w:cs="Arial"/>
          <w:color w:val="000000"/>
          <w:sz w:val="24"/>
          <w:szCs w:val="24"/>
          <w:lang w:eastAsia="en-NZ"/>
        </w:rPr>
        <w:t>, which ha</w:t>
      </w:r>
      <w:r w:rsidR="006F2930">
        <w:rPr>
          <w:rFonts w:ascii="Arial" w:eastAsia="Times New Roman" w:hAnsi="Arial" w:cs="Arial"/>
          <w:color w:val="000000"/>
          <w:sz w:val="24"/>
          <w:szCs w:val="24"/>
          <w:lang w:eastAsia="en-NZ"/>
        </w:rPr>
        <w:t>d</w:t>
      </w:r>
      <w:r w:rsidR="00470E93">
        <w:rPr>
          <w:rFonts w:ascii="Arial" w:eastAsia="Times New Roman" w:hAnsi="Arial" w:cs="Arial"/>
          <w:color w:val="000000"/>
          <w:sz w:val="24"/>
          <w:szCs w:val="24"/>
          <w:lang w:eastAsia="en-NZ"/>
        </w:rPr>
        <w:t xml:space="preserve"> the potential to be costly and complex. </w:t>
      </w:r>
      <w:r w:rsidR="00516C27">
        <w:rPr>
          <w:rFonts w:ascii="Arial" w:eastAsia="Times New Roman" w:hAnsi="Arial" w:cs="Arial"/>
          <w:color w:val="000000"/>
          <w:sz w:val="24"/>
          <w:szCs w:val="24"/>
          <w:lang w:eastAsia="en-NZ"/>
        </w:rPr>
        <w:t>It noted that legal aid on the four cases to date had amounted to $1.4</w:t>
      </w:r>
      <w:r w:rsidR="006F2930">
        <w:rPr>
          <w:rFonts w:ascii="Arial" w:eastAsia="Times New Roman" w:hAnsi="Arial" w:cs="Arial"/>
          <w:color w:val="000000"/>
          <w:sz w:val="24"/>
          <w:szCs w:val="24"/>
          <w:lang w:eastAsia="en-NZ"/>
        </w:rPr>
        <w:t xml:space="preserve"> </w:t>
      </w:r>
      <w:r w:rsidR="00516C27">
        <w:rPr>
          <w:rFonts w:ascii="Arial" w:eastAsia="Times New Roman" w:hAnsi="Arial" w:cs="Arial"/>
          <w:color w:val="000000"/>
          <w:sz w:val="24"/>
          <w:szCs w:val="24"/>
          <w:lang w:eastAsia="en-NZ"/>
        </w:rPr>
        <w:t>million, and that although legal aid ha</w:t>
      </w:r>
      <w:r w:rsidR="006F2930">
        <w:rPr>
          <w:rFonts w:ascii="Arial" w:eastAsia="Times New Roman" w:hAnsi="Arial" w:cs="Arial"/>
          <w:color w:val="000000"/>
          <w:sz w:val="24"/>
          <w:szCs w:val="24"/>
          <w:lang w:eastAsia="en-NZ"/>
        </w:rPr>
        <w:t>d</w:t>
      </w:r>
      <w:r w:rsidR="00516C27">
        <w:rPr>
          <w:rFonts w:ascii="Arial" w:eastAsia="Times New Roman" w:hAnsi="Arial" w:cs="Arial"/>
          <w:color w:val="000000"/>
          <w:sz w:val="24"/>
          <w:szCs w:val="24"/>
          <w:lang w:eastAsia="en-NZ"/>
        </w:rPr>
        <w:t xml:space="preserve"> been withdrawn in many remaining cases following the lack of success in the initial cases, this was still under review. </w:t>
      </w:r>
    </w:p>
    <w:p w14:paraId="7F04B02E" w14:textId="77777777" w:rsidR="00B407CD" w:rsidRDefault="00B407CD" w:rsidP="006133E3">
      <w:pPr>
        <w:pStyle w:val="ListParagraph"/>
        <w:spacing w:after="0" w:line="360" w:lineRule="auto"/>
        <w:ind w:left="1134"/>
        <w:rPr>
          <w:rFonts w:ascii="Arial" w:eastAsia="Times New Roman" w:hAnsi="Arial" w:cs="Arial"/>
          <w:color w:val="000000"/>
          <w:sz w:val="24"/>
          <w:szCs w:val="24"/>
          <w:lang w:eastAsia="en-NZ"/>
        </w:rPr>
      </w:pPr>
    </w:p>
    <w:p w14:paraId="07F00491" w14:textId="7474BAC2" w:rsidR="00B407CD" w:rsidRDefault="00B407CD"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final report states that “</w:t>
      </w:r>
      <w:r w:rsidR="00E05E6A">
        <w:rPr>
          <w:rFonts w:ascii="Arial" w:eastAsia="Times New Roman" w:hAnsi="Arial" w:cs="Arial"/>
          <w:color w:val="000000"/>
          <w:sz w:val="24"/>
          <w:szCs w:val="24"/>
          <w:lang w:eastAsia="en-NZ"/>
        </w:rPr>
        <w:t>The historic abuse claims in particular have the potential to place enormous pressure on the [Legal Services Agency’s] granting process and on legal aid expenditure</w:t>
      </w:r>
      <w:r w:rsidR="00B165EE">
        <w:rPr>
          <w:rFonts w:ascii="Arial" w:eastAsia="Times New Roman" w:hAnsi="Arial" w:cs="Arial"/>
          <w:color w:val="000000"/>
          <w:sz w:val="24"/>
          <w:szCs w:val="24"/>
          <w:lang w:eastAsia="en-NZ"/>
        </w:rPr>
        <w:t>, both because of the large number of claims and the high costs involved. Urgent consideration should be given to alternative ways of resolving these claims: the Crown’s strategy of addressing these cases through the courts places pressure on the courts and benefits lawyers rather than claimants. It also leave</w:t>
      </w:r>
      <w:r w:rsidR="006F2930">
        <w:rPr>
          <w:rFonts w:ascii="Arial" w:eastAsia="Times New Roman" w:hAnsi="Arial" w:cs="Arial"/>
          <w:color w:val="000000"/>
          <w:sz w:val="24"/>
          <w:szCs w:val="24"/>
          <w:lang w:eastAsia="en-NZ"/>
        </w:rPr>
        <w:t>s</w:t>
      </w:r>
      <w:r w:rsidR="00B165EE">
        <w:rPr>
          <w:rFonts w:ascii="Arial" w:eastAsia="Times New Roman" w:hAnsi="Arial" w:cs="Arial"/>
          <w:color w:val="000000"/>
          <w:sz w:val="24"/>
          <w:szCs w:val="24"/>
          <w:lang w:eastAsia="en-NZ"/>
        </w:rPr>
        <w:t xml:space="preserve"> the problem to fester: the claimants are likely to consider that the Crown has won on a legal technicality. They will be left feeling aggrieved and that the Crown is not prepared to treat them or their claims with respect and compassion.”</w:t>
      </w:r>
    </w:p>
    <w:p w14:paraId="0AF5EBFF" w14:textId="77777777" w:rsidR="0046465C" w:rsidRPr="0046465C" w:rsidRDefault="0046465C" w:rsidP="006133E3">
      <w:pPr>
        <w:pStyle w:val="ListParagraph"/>
        <w:spacing w:line="360" w:lineRule="auto"/>
        <w:rPr>
          <w:rFonts w:ascii="Arial" w:eastAsia="Times New Roman" w:hAnsi="Arial" w:cs="Arial"/>
          <w:color w:val="000000"/>
          <w:sz w:val="24"/>
          <w:szCs w:val="24"/>
          <w:lang w:eastAsia="en-NZ"/>
        </w:rPr>
      </w:pPr>
    </w:p>
    <w:p w14:paraId="5138CBF9" w14:textId="3D2DAC1A" w:rsidR="0046465C" w:rsidRDefault="0046465C"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One of the final recommendations of the review was that “the government should give urgent consideration to alternative ways of resolving the claims of historic abuse of people who were in the care of government agencies.”</w:t>
      </w:r>
    </w:p>
    <w:p w14:paraId="7DC19AD5" w14:textId="77777777" w:rsidR="006F2930" w:rsidRPr="006F2930" w:rsidRDefault="006F2930" w:rsidP="006F2930">
      <w:pPr>
        <w:pStyle w:val="ListParagraph"/>
        <w:rPr>
          <w:rFonts w:ascii="Arial" w:eastAsia="Times New Roman" w:hAnsi="Arial" w:cs="Arial"/>
          <w:color w:val="000000"/>
          <w:sz w:val="24"/>
          <w:szCs w:val="24"/>
          <w:lang w:eastAsia="en-NZ"/>
        </w:rPr>
      </w:pPr>
    </w:p>
    <w:p w14:paraId="395F2E8B" w14:textId="5C804E16" w:rsidR="006F2930" w:rsidRPr="001410FB" w:rsidRDefault="006F2930" w:rsidP="006F2930">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Government’s policies and actions in relation to these matters is described in </w:t>
      </w:r>
      <w:r w:rsidRPr="001410FB">
        <w:rPr>
          <w:rFonts w:ascii="Arial" w:eastAsia="Times New Roman" w:hAnsi="Arial" w:cs="Arial"/>
          <w:color w:val="000000"/>
          <w:sz w:val="24"/>
          <w:szCs w:val="24"/>
          <w:lang w:eastAsia="en-NZ"/>
        </w:rPr>
        <w:t xml:space="preserve">the </w:t>
      </w:r>
      <w:r>
        <w:rPr>
          <w:rFonts w:ascii="Arial" w:eastAsia="Times New Roman" w:hAnsi="Arial" w:cs="Arial"/>
          <w:color w:val="000000"/>
          <w:sz w:val="24"/>
          <w:szCs w:val="24"/>
          <w:lang w:eastAsia="en-NZ"/>
        </w:rPr>
        <w:t xml:space="preserve">Royal Commission’s </w:t>
      </w:r>
      <w:r w:rsidRPr="001410FB">
        <w:rPr>
          <w:rFonts w:ascii="Arial" w:eastAsia="Times New Roman" w:hAnsi="Arial" w:cs="Arial"/>
          <w:color w:val="000000"/>
          <w:sz w:val="24"/>
          <w:szCs w:val="24"/>
          <w:lang w:eastAsia="en-NZ"/>
        </w:rPr>
        <w:t xml:space="preserve">briefing paper titled “Government Policy Between 2000 and 2017”, </w:t>
      </w:r>
      <w:r>
        <w:rPr>
          <w:rFonts w:ascii="Arial" w:eastAsia="Times New Roman" w:hAnsi="Arial" w:cs="Arial"/>
          <w:color w:val="000000"/>
          <w:sz w:val="24"/>
          <w:szCs w:val="24"/>
          <w:lang w:eastAsia="en-NZ"/>
        </w:rPr>
        <w:t xml:space="preserve">so </w:t>
      </w:r>
      <w:r w:rsidRPr="001410FB">
        <w:rPr>
          <w:rFonts w:ascii="Arial" w:eastAsia="Times New Roman" w:hAnsi="Arial" w:cs="Arial"/>
          <w:color w:val="000000"/>
          <w:sz w:val="24"/>
          <w:szCs w:val="24"/>
          <w:lang w:eastAsia="en-NZ"/>
        </w:rPr>
        <w:t xml:space="preserve">is not repeated here. </w:t>
      </w:r>
    </w:p>
    <w:p w14:paraId="5EA22AB3" w14:textId="77777777" w:rsidR="00B9288C" w:rsidRPr="00B9288C" w:rsidRDefault="00B9288C" w:rsidP="006133E3">
      <w:pPr>
        <w:spacing w:line="360" w:lineRule="auto"/>
      </w:pPr>
    </w:p>
    <w:p w14:paraId="64E3BF57" w14:textId="77777777" w:rsidR="0017098F" w:rsidRDefault="0017098F">
      <w:pPr>
        <w:rPr>
          <w:rFonts w:ascii="Arial" w:eastAsiaTheme="majorEastAsia" w:hAnsi="Arial" w:cs="Arial"/>
          <w:b/>
          <w:color w:val="000000" w:themeColor="text1"/>
          <w:sz w:val="24"/>
          <w:szCs w:val="24"/>
        </w:rPr>
      </w:pPr>
      <w:r>
        <w:rPr>
          <w:rFonts w:ascii="Arial" w:hAnsi="Arial" w:cs="Arial"/>
          <w:b/>
          <w:color w:val="000000" w:themeColor="text1"/>
        </w:rPr>
        <w:br w:type="page"/>
      </w:r>
    </w:p>
    <w:p w14:paraId="5EE06679" w14:textId="7064C4EE" w:rsidR="00A366D4" w:rsidRPr="005C5000" w:rsidRDefault="00A366D4" w:rsidP="006133E3">
      <w:pPr>
        <w:pStyle w:val="Heading3"/>
        <w:numPr>
          <w:ilvl w:val="0"/>
          <w:numId w:val="14"/>
        </w:numPr>
        <w:spacing w:line="360" w:lineRule="auto"/>
        <w:ind w:left="1134" w:hanging="567"/>
        <w:rPr>
          <w:rFonts w:ascii="Arial" w:hAnsi="Arial" w:cs="Arial"/>
          <w:b/>
          <w:color w:val="000000" w:themeColor="text1"/>
          <w:lang w:val="en-NZ"/>
        </w:rPr>
      </w:pPr>
      <w:r>
        <w:rPr>
          <w:rFonts w:ascii="Arial" w:hAnsi="Arial" w:cs="Arial"/>
          <w:b/>
          <w:color w:val="000000" w:themeColor="text1"/>
          <w:lang w:val="en-NZ"/>
        </w:rPr>
        <w:lastRenderedPageBreak/>
        <w:t>Human Rights Commission draft report (2011)</w:t>
      </w:r>
      <w:r w:rsidR="00555632">
        <w:rPr>
          <w:rStyle w:val="FootnoteReference"/>
          <w:rFonts w:ascii="Arial" w:hAnsi="Arial" w:cs="Arial"/>
          <w:b/>
          <w:color w:val="000000" w:themeColor="text1"/>
          <w:lang w:val="en-NZ"/>
        </w:rPr>
        <w:footnoteReference w:id="5"/>
      </w:r>
    </w:p>
    <w:p w14:paraId="748D91BE" w14:textId="77777777" w:rsidR="00A366D4" w:rsidRPr="001C1C1B" w:rsidRDefault="00A366D4" w:rsidP="006133E3">
      <w:pPr>
        <w:spacing w:line="360" w:lineRule="auto"/>
        <w:rPr>
          <w:rFonts w:ascii="Arial" w:eastAsia="Times New Roman" w:hAnsi="Arial" w:cs="Arial"/>
          <w:color w:val="000000"/>
          <w:sz w:val="24"/>
          <w:szCs w:val="24"/>
          <w:lang w:eastAsia="en-NZ"/>
        </w:rPr>
      </w:pPr>
    </w:p>
    <w:p w14:paraId="38461B2E" w14:textId="7B418CAA" w:rsidR="00A366D4" w:rsidRDefault="003E147A"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In 2011, the Human Rights Commission conducted a review of the State’s response to historic claims of abuse and mistreatment suffered while under the care of the State. </w:t>
      </w:r>
      <w:r w:rsidR="00F26F07">
        <w:rPr>
          <w:rFonts w:ascii="Arial" w:eastAsia="Times New Roman" w:hAnsi="Arial" w:cs="Arial"/>
          <w:color w:val="000000"/>
          <w:sz w:val="24"/>
          <w:szCs w:val="24"/>
          <w:lang w:eastAsia="en-NZ"/>
        </w:rPr>
        <w:t>The Human Rights Commission determined to undertake the review</w:t>
      </w:r>
      <w:r w:rsidR="00F26F07">
        <w:rPr>
          <w:rStyle w:val="FootnoteReference"/>
          <w:rFonts w:ascii="Arial" w:eastAsia="Times New Roman" w:hAnsi="Arial" w:cs="Arial"/>
          <w:color w:val="000000"/>
          <w:sz w:val="24"/>
          <w:szCs w:val="24"/>
          <w:lang w:eastAsia="en-NZ"/>
        </w:rPr>
        <w:footnoteReference w:id="6"/>
      </w:r>
      <w:r w:rsidR="00F26F07">
        <w:rPr>
          <w:rFonts w:ascii="Arial" w:eastAsia="Times New Roman" w:hAnsi="Arial" w:cs="Arial"/>
          <w:color w:val="000000"/>
          <w:sz w:val="24"/>
          <w:szCs w:val="24"/>
          <w:lang w:eastAsia="en-NZ"/>
        </w:rPr>
        <w:t xml:space="preserve"> in light of a 2009 recommendation by the UN Committee against Torture, and the representations received from counsel</w:t>
      </w:r>
      <w:r w:rsidR="009B5DCE">
        <w:rPr>
          <w:rFonts w:ascii="Arial" w:eastAsia="Times New Roman" w:hAnsi="Arial" w:cs="Arial"/>
          <w:color w:val="000000"/>
          <w:sz w:val="24"/>
          <w:szCs w:val="24"/>
          <w:lang w:eastAsia="en-NZ"/>
        </w:rPr>
        <w:t xml:space="preserve"> representing claimants</w:t>
      </w:r>
      <w:r w:rsidR="00F26F07">
        <w:rPr>
          <w:rFonts w:ascii="Arial" w:eastAsia="Times New Roman" w:hAnsi="Arial" w:cs="Arial"/>
          <w:color w:val="000000"/>
          <w:sz w:val="24"/>
          <w:szCs w:val="24"/>
          <w:lang w:eastAsia="en-NZ"/>
        </w:rPr>
        <w:t xml:space="preserve">. </w:t>
      </w:r>
    </w:p>
    <w:p w14:paraId="3235F18E" w14:textId="77777777" w:rsidR="00F26F07" w:rsidRDefault="00F26F07" w:rsidP="006133E3">
      <w:pPr>
        <w:pStyle w:val="ListParagraph"/>
        <w:spacing w:after="0" w:line="360" w:lineRule="auto"/>
        <w:ind w:left="1134"/>
        <w:rPr>
          <w:rFonts w:ascii="Arial" w:eastAsia="Times New Roman" w:hAnsi="Arial" w:cs="Arial"/>
          <w:color w:val="000000"/>
          <w:sz w:val="24"/>
          <w:szCs w:val="24"/>
          <w:lang w:eastAsia="en-NZ"/>
        </w:rPr>
      </w:pPr>
    </w:p>
    <w:p w14:paraId="78877617" w14:textId="0EB6EB6E" w:rsidR="00E367BF" w:rsidRDefault="00F7592B"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review focused on processes</w:t>
      </w:r>
      <w:r w:rsidR="00501956">
        <w:rPr>
          <w:rFonts w:ascii="Arial" w:eastAsia="Times New Roman" w:hAnsi="Arial" w:cs="Arial"/>
          <w:color w:val="000000"/>
          <w:sz w:val="24"/>
          <w:szCs w:val="24"/>
          <w:lang w:eastAsia="en-NZ"/>
        </w:rPr>
        <w:t xml:space="preserve"> and procedures for responding to historic claims of abuse and not the merits of any claim. </w:t>
      </w:r>
      <w:r w:rsidR="0070063F">
        <w:rPr>
          <w:rFonts w:ascii="Arial" w:eastAsia="Times New Roman" w:hAnsi="Arial" w:cs="Arial"/>
          <w:color w:val="000000"/>
          <w:sz w:val="24"/>
          <w:szCs w:val="24"/>
          <w:lang w:eastAsia="en-NZ"/>
        </w:rPr>
        <w:t xml:space="preserve">It </w:t>
      </w:r>
      <w:r w:rsidR="00B23EEE">
        <w:rPr>
          <w:rFonts w:ascii="Arial" w:eastAsia="Times New Roman" w:hAnsi="Arial" w:cs="Arial"/>
          <w:color w:val="000000"/>
          <w:sz w:val="24"/>
          <w:szCs w:val="24"/>
          <w:lang w:eastAsia="en-NZ"/>
        </w:rPr>
        <w:t>outlined the various measures implemented by the NZ government, including the Confidential Forum; the Confidential Listening and Assistance Service</w:t>
      </w:r>
      <w:r w:rsidR="0021335A">
        <w:rPr>
          <w:rFonts w:ascii="Arial" w:eastAsia="Times New Roman" w:hAnsi="Arial" w:cs="Arial"/>
          <w:color w:val="000000"/>
          <w:sz w:val="24"/>
          <w:szCs w:val="24"/>
          <w:lang w:eastAsia="en-NZ"/>
        </w:rPr>
        <w:t xml:space="preserve"> (</w:t>
      </w:r>
      <w:r w:rsidR="0021335A">
        <w:rPr>
          <w:rFonts w:ascii="Arial" w:eastAsia="Times New Roman" w:hAnsi="Arial" w:cs="Arial"/>
          <w:b/>
          <w:bCs/>
          <w:color w:val="000000"/>
          <w:sz w:val="24"/>
          <w:szCs w:val="24"/>
          <w:lang w:eastAsia="en-NZ"/>
        </w:rPr>
        <w:t>CLAS</w:t>
      </w:r>
      <w:r w:rsidR="0021335A">
        <w:rPr>
          <w:rFonts w:ascii="Arial" w:eastAsia="Times New Roman" w:hAnsi="Arial" w:cs="Arial"/>
          <w:color w:val="000000"/>
          <w:sz w:val="24"/>
          <w:szCs w:val="24"/>
          <w:lang w:eastAsia="en-NZ"/>
        </w:rPr>
        <w:t>)</w:t>
      </w:r>
      <w:r w:rsidR="00B23EEE">
        <w:rPr>
          <w:rFonts w:ascii="Arial" w:eastAsia="Times New Roman" w:hAnsi="Arial" w:cs="Arial"/>
          <w:color w:val="000000"/>
          <w:sz w:val="24"/>
          <w:szCs w:val="24"/>
          <w:lang w:eastAsia="en-NZ"/>
        </w:rPr>
        <w:t xml:space="preserve">; </w:t>
      </w:r>
      <w:r w:rsidR="0021335A">
        <w:rPr>
          <w:rFonts w:ascii="Arial" w:eastAsia="Times New Roman" w:hAnsi="Arial" w:cs="Arial"/>
          <w:color w:val="000000"/>
          <w:sz w:val="24"/>
          <w:szCs w:val="24"/>
          <w:lang w:eastAsia="en-NZ"/>
        </w:rPr>
        <w:t xml:space="preserve">the </w:t>
      </w:r>
      <w:r w:rsidR="00B23EEE">
        <w:rPr>
          <w:rFonts w:ascii="Arial" w:eastAsia="Times New Roman" w:hAnsi="Arial" w:cs="Arial"/>
          <w:color w:val="000000"/>
          <w:sz w:val="24"/>
          <w:szCs w:val="24"/>
          <w:lang w:eastAsia="en-NZ"/>
        </w:rPr>
        <w:t>M</w:t>
      </w:r>
      <w:r w:rsidR="0021335A">
        <w:rPr>
          <w:rFonts w:ascii="Arial" w:eastAsia="Times New Roman" w:hAnsi="Arial" w:cs="Arial"/>
          <w:color w:val="000000"/>
          <w:sz w:val="24"/>
          <w:szCs w:val="24"/>
          <w:lang w:eastAsia="en-NZ"/>
        </w:rPr>
        <w:t xml:space="preserve">inistry of </w:t>
      </w:r>
      <w:r w:rsidR="00B23EEE">
        <w:rPr>
          <w:rFonts w:ascii="Arial" w:eastAsia="Times New Roman" w:hAnsi="Arial" w:cs="Arial"/>
          <w:color w:val="000000"/>
          <w:sz w:val="24"/>
          <w:szCs w:val="24"/>
          <w:lang w:eastAsia="en-NZ"/>
        </w:rPr>
        <w:t>S</w:t>
      </w:r>
      <w:r w:rsidR="0021335A">
        <w:rPr>
          <w:rFonts w:ascii="Arial" w:eastAsia="Times New Roman" w:hAnsi="Arial" w:cs="Arial"/>
          <w:color w:val="000000"/>
          <w:sz w:val="24"/>
          <w:szCs w:val="24"/>
          <w:lang w:eastAsia="en-NZ"/>
        </w:rPr>
        <w:t xml:space="preserve">ocial </w:t>
      </w:r>
      <w:r w:rsidR="00B23EEE">
        <w:rPr>
          <w:rFonts w:ascii="Arial" w:eastAsia="Times New Roman" w:hAnsi="Arial" w:cs="Arial"/>
          <w:color w:val="000000"/>
          <w:sz w:val="24"/>
          <w:szCs w:val="24"/>
          <w:lang w:eastAsia="en-NZ"/>
        </w:rPr>
        <w:t>D</w:t>
      </w:r>
      <w:r w:rsidR="0021335A">
        <w:rPr>
          <w:rFonts w:ascii="Arial" w:eastAsia="Times New Roman" w:hAnsi="Arial" w:cs="Arial"/>
          <w:color w:val="000000"/>
          <w:sz w:val="24"/>
          <w:szCs w:val="24"/>
          <w:lang w:eastAsia="en-NZ"/>
        </w:rPr>
        <w:t>evelopment</w:t>
      </w:r>
      <w:r w:rsidR="00B23EEE">
        <w:rPr>
          <w:rFonts w:ascii="Arial" w:eastAsia="Times New Roman" w:hAnsi="Arial" w:cs="Arial"/>
          <w:color w:val="000000"/>
          <w:sz w:val="24"/>
          <w:szCs w:val="24"/>
          <w:lang w:eastAsia="en-NZ"/>
        </w:rPr>
        <w:t>’s</w:t>
      </w:r>
      <w:r w:rsidR="0021335A">
        <w:rPr>
          <w:rFonts w:ascii="Arial" w:eastAsia="Times New Roman" w:hAnsi="Arial" w:cs="Arial"/>
          <w:color w:val="000000"/>
          <w:sz w:val="24"/>
          <w:szCs w:val="24"/>
          <w:lang w:eastAsia="en-NZ"/>
        </w:rPr>
        <w:t xml:space="preserve"> (</w:t>
      </w:r>
      <w:r w:rsidR="0021335A">
        <w:rPr>
          <w:rFonts w:ascii="Arial" w:eastAsia="Times New Roman" w:hAnsi="Arial" w:cs="Arial"/>
          <w:b/>
          <w:bCs/>
          <w:color w:val="000000"/>
          <w:sz w:val="24"/>
          <w:szCs w:val="24"/>
          <w:lang w:eastAsia="en-NZ"/>
        </w:rPr>
        <w:t>MSD</w:t>
      </w:r>
      <w:r w:rsidR="0021335A">
        <w:rPr>
          <w:rFonts w:ascii="Arial" w:eastAsia="Times New Roman" w:hAnsi="Arial" w:cs="Arial"/>
          <w:color w:val="000000"/>
          <w:sz w:val="24"/>
          <w:szCs w:val="24"/>
          <w:lang w:eastAsia="en-NZ"/>
        </w:rPr>
        <w:t>’s)</w:t>
      </w:r>
      <w:r w:rsidR="00B23EEE">
        <w:rPr>
          <w:rFonts w:ascii="Arial" w:eastAsia="Times New Roman" w:hAnsi="Arial" w:cs="Arial"/>
          <w:color w:val="000000"/>
          <w:sz w:val="24"/>
          <w:szCs w:val="24"/>
          <w:lang w:eastAsia="en-NZ"/>
        </w:rPr>
        <w:t xml:space="preserve"> Care, Claims and Resolution process; the Crown Health Financing Agency</w:t>
      </w:r>
      <w:r w:rsidR="0021335A">
        <w:rPr>
          <w:rFonts w:ascii="Arial" w:eastAsia="Times New Roman" w:hAnsi="Arial" w:cs="Arial"/>
          <w:color w:val="000000"/>
          <w:sz w:val="24"/>
          <w:szCs w:val="24"/>
          <w:lang w:eastAsia="en-NZ"/>
        </w:rPr>
        <w:t xml:space="preserve"> (</w:t>
      </w:r>
      <w:r w:rsidR="0021335A">
        <w:rPr>
          <w:rFonts w:ascii="Arial" w:eastAsia="Times New Roman" w:hAnsi="Arial" w:cs="Arial"/>
          <w:b/>
          <w:bCs/>
          <w:color w:val="000000"/>
          <w:sz w:val="24"/>
          <w:szCs w:val="24"/>
          <w:lang w:eastAsia="en-NZ"/>
        </w:rPr>
        <w:t>CHFA</w:t>
      </w:r>
      <w:r w:rsidR="0021335A">
        <w:rPr>
          <w:rFonts w:ascii="Arial" w:eastAsia="Times New Roman" w:hAnsi="Arial" w:cs="Arial"/>
          <w:color w:val="000000"/>
          <w:sz w:val="24"/>
          <w:szCs w:val="24"/>
          <w:lang w:eastAsia="en-NZ"/>
        </w:rPr>
        <w:t>)</w:t>
      </w:r>
      <w:r w:rsidR="00B23EEE">
        <w:rPr>
          <w:rFonts w:ascii="Arial" w:eastAsia="Times New Roman" w:hAnsi="Arial" w:cs="Arial"/>
          <w:color w:val="000000"/>
          <w:sz w:val="24"/>
          <w:szCs w:val="24"/>
          <w:lang w:eastAsia="en-NZ"/>
        </w:rPr>
        <w:t>; civil litigation; judicial settlement conferences; direct negotiation;  and criminal prosecutions.</w:t>
      </w:r>
      <w:r w:rsidR="00DA1940">
        <w:rPr>
          <w:rFonts w:ascii="Arial" w:eastAsia="Times New Roman" w:hAnsi="Arial" w:cs="Arial"/>
          <w:color w:val="000000"/>
          <w:sz w:val="24"/>
          <w:szCs w:val="24"/>
          <w:lang w:eastAsia="en-NZ"/>
        </w:rPr>
        <w:t xml:space="preserve"> It compared these to measures taken in other jurisdictions.</w:t>
      </w:r>
      <w:r w:rsidR="00B23EEE">
        <w:rPr>
          <w:rFonts w:ascii="Arial" w:eastAsia="Times New Roman" w:hAnsi="Arial" w:cs="Arial"/>
          <w:color w:val="000000"/>
          <w:sz w:val="24"/>
          <w:szCs w:val="24"/>
          <w:lang w:eastAsia="en-NZ"/>
        </w:rPr>
        <w:t xml:space="preserve"> </w:t>
      </w:r>
    </w:p>
    <w:p w14:paraId="7FCA3C2C" w14:textId="77777777" w:rsidR="00E367BF" w:rsidRPr="00E367BF" w:rsidRDefault="00E367BF" w:rsidP="006133E3">
      <w:pPr>
        <w:pStyle w:val="ListParagraph"/>
        <w:spacing w:line="360" w:lineRule="auto"/>
        <w:rPr>
          <w:rFonts w:ascii="Arial" w:eastAsia="Times New Roman" w:hAnsi="Arial" w:cs="Arial"/>
          <w:color w:val="000000"/>
          <w:sz w:val="24"/>
          <w:szCs w:val="24"/>
          <w:lang w:eastAsia="en-NZ"/>
        </w:rPr>
      </w:pPr>
    </w:p>
    <w:p w14:paraId="07672DDC" w14:textId="03DD0917" w:rsidR="00591288" w:rsidRDefault="00E367BF"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report </w:t>
      </w:r>
      <w:r w:rsidR="0070063F">
        <w:rPr>
          <w:rFonts w:ascii="Arial" w:eastAsia="Times New Roman" w:hAnsi="Arial" w:cs="Arial"/>
          <w:color w:val="000000"/>
          <w:sz w:val="24"/>
          <w:szCs w:val="24"/>
          <w:lang w:eastAsia="en-NZ"/>
        </w:rPr>
        <w:t xml:space="preserve">found that those whose rights had been breached </w:t>
      </w:r>
      <w:r w:rsidR="00E46578">
        <w:rPr>
          <w:rFonts w:ascii="Arial" w:eastAsia="Times New Roman" w:hAnsi="Arial" w:cs="Arial"/>
          <w:color w:val="000000"/>
          <w:sz w:val="24"/>
          <w:szCs w:val="24"/>
          <w:lang w:eastAsia="en-NZ"/>
        </w:rPr>
        <w:t xml:space="preserve">through abuse in care have a number of options available to them, including complaining to the NZ police, seeking informal resolution through MSD’s process or CHFA, in some cases </w:t>
      </w:r>
      <w:r w:rsidR="0021335A">
        <w:rPr>
          <w:rFonts w:ascii="Arial" w:eastAsia="Times New Roman" w:hAnsi="Arial" w:cs="Arial"/>
          <w:color w:val="000000"/>
          <w:sz w:val="24"/>
          <w:szCs w:val="24"/>
          <w:lang w:eastAsia="en-NZ"/>
        </w:rPr>
        <w:t>cover under the accident compensation legislation</w:t>
      </w:r>
      <w:r w:rsidR="00E46578">
        <w:rPr>
          <w:rFonts w:ascii="Arial" w:eastAsia="Times New Roman" w:hAnsi="Arial" w:cs="Arial"/>
          <w:color w:val="000000"/>
          <w:sz w:val="24"/>
          <w:szCs w:val="24"/>
          <w:lang w:eastAsia="en-NZ"/>
        </w:rPr>
        <w:t>, or bring</w:t>
      </w:r>
      <w:r w:rsidR="0021335A">
        <w:rPr>
          <w:rFonts w:ascii="Arial" w:eastAsia="Times New Roman" w:hAnsi="Arial" w:cs="Arial"/>
          <w:color w:val="000000"/>
          <w:sz w:val="24"/>
          <w:szCs w:val="24"/>
          <w:lang w:eastAsia="en-NZ"/>
        </w:rPr>
        <w:t>ing</w:t>
      </w:r>
      <w:r w:rsidR="00E46578">
        <w:rPr>
          <w:rFonts w:ascii="Arial" w:eastAsia="Times New Roman" w:hAnsi="Arial" w:cs="Arial"/>
          <w:color w:val="000000"/>
          <w:sz w:val="24"/>
          <w:szCs w:val="24"/>
          <w:lang w:eastAsia="en-NZ"/>
        </w:rPr>
        <w:t xml:space="preserve"> civil proceedings. </w:t>
      </w:r>
      <w:r w:rsidR="008E5D1B">
        <w:rPr>
          <w:rFonts w:ascii="Arial" w:eastAsia="Times New Roman" w:hAnsi="Arial" w:cs="Arial"/>
          <w:color w:val="000000"/>
          <w:sz w:val="24"/>
          <w:szCs w:val="24"/>
          <w:lang w:eastAsia="en-NZ"/>
        </w:rPr>
        <w:t>It found th</w:t>
      </w:r>
      <w:r w:rsidR="0021335A">
        <w:rPr>
          <w:rFonts w:ascii="Arial" w:eastAsia="Times New Roman" w:hAnsi="Arial" w:cs="Arial"/>
          <w:color w:val="000000"/>
          <w:sz w:val="24"/>
          <w:szCs w:val="24"/>
          <w:lang w:eastAsia="en-NZ"/>
        </w:rPr>
        <w:t>at</w:t>
      </w:r>
      <w:r w:rsidR="008E5D1B">
        <w:rPr>
          <w:rFonts w:ascii="Arial" w:eastAsia="Times New Roman" w:hAnsi="Arial" w:cs="Arial"/>
          <w:color w:val="000000"/>
          <w:sz w:val="24"/>
          <w:szCs w:val="24"/>
          <w:lang w:eastAsia="en-NZ"/>
        </w:rPr>
        <w:t xml:space="preserve"> “In this regard New Zealand generally meets the human rights standards that apply to historic claims of abuse and mistreatment while under the care of the State.” </w:t>
      </w:r>
    </w:p>
    <w:p w14:paraId="1C570560" w14:textId="77777777" w:rsidR="00591288" w:rsidRPr="00591288" w:rsidRDefault="00591288" w:rsidP="006133E3">
      <w:pPr>
        <w:pStyle w:val="ListParagraph"/>
        <w:spacing w:line="360" w:lineRule="auto"/>
        <w:rPr>
          <w:rFonts w:ascii="Arial" w:eastAsia="Times New Roman" w:hAnsi="Arial" w:cs="Arial"/>
          <w:color w:val="000000"/>
          <w:sz w:val="24"/>
          <w:szCs w:val="24"/>
          <w:lang w:eastAsia="en-NZ"/>
        </w:rPr>
      </w:pPr>
    </w:p>
    <w:p w14:paraId="7F67B28F" w14:textId="45C218AF" w:rsidR="0046790D" w:rsidRDefault="008E5D1B"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However, it </w:t>
      </w:r>
      <w:r w:rsidR="00591288">
        <w:rPr>
          <w:rFonts w:ascii="Arial" w:eastAsia="Times New Roman" w:hAnsi="Arial" w:cs="Arial"/>
          <w:color w:val="000000"/>
          <w:sz w:val="24"/>
          <w:szCs w:val="24"/>
          <w:lang w:eastAsia="en-NZ"/>
        </w:rPr>
        <w:t>noted t</w:t>
      </w:r>
      <w:r w:rsidR="0046790D" w:rsidRPr="00591288">
        <w:rPr>
          <w:rFonts w:ascii="Arial" w:eastAsia="Times New Roman" w:hAnsi="Arial" w:cs="Arial"/>
          <w:color w:val="000000"/>
          <w:sz w:val="24"/>
          <w:szCs w:val="24"/>
          <w:lang w:eastAsia="en-NZ"/>
        </w:rPr>
        <w:t xml:space="preserve">he </w:t>
      </w:r>
      <w:r w:rsidR="00CE224D" w:rsidRPr="00591288">
        <w:rPr>
          <w:rFonts w:ascii="Arial" w:eastAsia="Times New Roman" w:hAnsi="Arial" w:cs="Arial"/>
          <w:color w:val="000000"/>
          <w:sz w:val="24"/>
          <w:szCs w:val="24"/>
          <w:lang w:eastAsia="en-NZ"/>
        </w:rPr>
        <w:t xml:space="preserve">absence of </w:t>
      </w:r>
      <w:r w:rsidR="0046790D" w:rsidRPr="00591288">
        <w:rPr>
          <w:rFonts w:ascii="Arial" w:eastAsia="Times New Roman" w:hAnsi="Arial" w:cs="Arial"/>
          <w:color w:val="000000"/>
          <w:sz w:val="24"/>
          <w:szCs w:val="24"/>
          <w:lang w:eastAsia="en-NZ"/>
        </w:rPr>
        <w:t>a comprehensive, independent investigation into the services for children or young people, or the mental health services covering the period of the claim</w:t>
      </w:r>
      <w:r w:rsidR="0009049B">
        <w:rPr>
          <w:rFonts w:ascii="Arial" w:eastAsia="Times New Roman" w:hAnsi="Arial" w:cs="Arial"/>
          <w:color w:val="000000"/>
          <w:sz w:val="24"/>
          <w:szCs w:val="24"/>
          <w:lang w:eastAsia="en-NZ"/>
        </w:rPr>
        <w:t>, stating that</w:t>
      </w:r>
      <w:r w:rsidR="00CE224D" w:rsidRPr="00591288">
        <w:rPr>
          <w:rFonts w:ascii="Arial" w:eastAsia="Times New Roman" w:hAnsi="Arial" w:cs="Arial"/>
          <w:color w:val="000000"/>
          <w:sz w:val="24"/>
          <w:szCs w:val="24"/>
          <w:lang w:eastAsia="en-NZ"/>
        </w:rPr>
        <w:t xml:space="preserve"> “there is </w:t>
      </w:r>
      <w:r w:rsidR="00CE224D" w:rsidRPr="00591288">
        <w:rPr>
          <w:rFonts w:ascii="Arial" w:eastAsia="Times New Roman" w:hAnsi="Arial" w:cs="Arial"/>
          <w:color w:val="000000"/>
          <w:sz w:val="24"/>
          <w:szCs w:val="24"/>
          <w:lang w:eastAsia="en-NZ"/>
        </w:rPr>
        <w:lastRenderedPageBreak/>
        <w:t>sufficient material in relation to both children’s services and psychiatric institutions in the historic inquiries and current research to at least question the Government’s perception that the claims generally cannot be taken as indicative of systemic or institutional failure. It is not unreasonable to question whether the abuse and mistreatment that is acknowledged by Government to have occurred can be dismissed as simply the work of a few bad or misguided individuals or an unfortunate product of generally accepted practices of the day.</w:t>
      </w:r>
      <w:r w:rsidR="00F53C38" w:rsidRPr="00591288">
        <w:rPr>
          <w:rFonts w:ascii="Arial" w:eastAsia="Times New Roman" w:hAnsi="Arial" w:cs="Arial"/>
          <w:color w:val="000000"/>
          <w:sz w:val="24"/>
          <w:szCs w:val="24"/>
          <w:lang w:eastAsia="en-NZ"/>
        </w:rPr>
        <w:t xml:space="preserve"> Or whether it is, at least in part, the result of poor policy, or a failure of the State to meet its fundamental duty of care through inadequate oversight at the national regional or institutional level.”</w:t>
      </w:r>
    </w:p>
    <w:p w14:paraId="3E0F7540" w14:textId="77777777" w:rsidR="003D60C9" w:rsidRPr="003D60C9" w:rsidRDefault="003D60C9" w:rsidP="006133E3">
      <w:pPr>
        <w:pStyle w:val="ListParagraph"/>
        <w:spacing w:line="360" w:lineRule="auto"/>
        <w:rPr>
          <w:rFonts w:ascii="Arial" w:eastAsia="Times New Roman" w:hAnsi="Arial" w:cs="Arial"/>
          <w:color w:val="000000"/>
          <w:sz w:val="24"/>
          <w:szCs w:val="24"/>
          <w:lang w:eastAsia="en-NZ"/>
        </w:rPr>
      </w:pPr>
    </w:p>
    <w:p w14:paraId="088DF3DF" w14:textId="525F5CC9" w:rsidR="002C1E42" w:rsidRDefault="003D60C9"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report notes that t</w:t>
      </w:r>
      <w:r w:rsidR="002C1E42" w:rsidRPr="003D60C9">
        <w:rPr>
          <w:rFonts w:ascii="Arial" w:eastAsia="Times New Roman" w:hAnsi="Arial" w:cs="Arial"/>
          <w:color w:val="000000"/>
          <w:sz w:val="24"/>
          <w:szCs w:val="24"/>
          <w:lang w:eastAsia="en-NZ"/>
        </w:rPr>
        <w:t>he courts have not proven to be an appropriate forum for the resolution of historic claims of abuse</w:t>
      </w:r>
      <w:r w:rsidR="00C66E15" w:rsidRPr="003D60C9">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and that while</w:t>
      </w:r>
      <w:r w:rsidR="00571282">
        <w:rPr>
          <w:rFonts w:ascii="Arial" w:eastAsia="Times New Roman" w:hAnsi="Arial" w:cs="Arial"/>
          <w:color w:val="000000"/>
          <w:sz w:val="24"/>
          <w:szCs w:val="24"/>
          <w:lang w:eastAsia="en-NZ"/>
        </w:rPr>
        <w:t xml:space="preserve"> alternative</w:t>
      </w:r>
      <w:r>
        <w:rPr>
          <w:rFonts w:ascii="Arial" w:eastAsia="Times New Roman" w:hAnsi="Arial" w:cs="Arial"/>
          <w:color w:val="000000"/>
          <w:sz w:val="24"/>
          <w:szCs w:val="24"/>
          <w:lang w:eastAsia="en-NZ"/>
        </w:rPr>
        <w:t xml:space="preserve">s including </w:t>
      </w:r>
      <w:r w:rsidR="00571282">
        <w:rPr>
          <w:rFonts w:ascii="Arial" w:eastAsia="Times New Roman" w:hAnsi="Arial" w:cs="Arial"/>
          <w:color w:val="000000"/>
          <w:sz w:val="24"/>
          <w:szCs w:val="24"/>
          <w:lang w:eastAsia="en-NZ"/>
        </w:rPr>
        <w:t xml:space="preserve">CLAS </w:t>
      </w:r>
      <w:r>
        <w:rPr>
          <w:rFonts w:ascii="Arial" w:eastAsia="Times New Roman" w:hAnsi="Arial" w:cs="Arial"/>
          <w:color w:val="000000"/>
          <w:sz w:val="24"/>
          <w:szCs w:val="24"/>
          <w:lang w:eastAsia="en-NZ"/>
        </w:rPr>
        <w:t xml:space="preserve">and MSD’s process meet many </w:t>
      </w:r>
      <w:r w:rsidR="00571282">
        <w:rPr>
          <w:rFonts w:ascii="Arial" w:eastAsia="Times New Roman" w:hAnsi="Arial" w:cs="Arial"/>
          <w:color w:val="000000"/>
          <w:sz w:val="24"/>
          <w:szCs w:val="24"/>
          <w:lang w:eastAsia="en-NZ"/>
        </w:rPr>
        <w:t xml:space="preserve">international standards </w:t>
      </w:r>
      <w:r>
        <w:rPr>
          <w:rFonts w:ascii="Arial" w:eastAsia="Times New Roman" w:hAnsi="Arial" w:cs="Arial"/>
          <w:color w:val="000000"/>
          <w:sz w:val="24"/>
          <w:szCs w:val="24"/>
          <w:lang w:eastAsia="en-NZ"/>
        </w:rPr>
        <w:t>they are not a full solution.</w:t>
      </w:r>
    </w:p>
    <w:p w14:paraId="159CED86" w14:textId="77777777" w:rsidR="000A07C3" w:rsidRDefault="000A07C3" w:rsidP="006133E3">
      <w:pPr>
        <w:pStyle w:val="ListParagraph"/>
        <w:spacing w:after="0" w:line="360" w:lineRule="auto"/>
        <w:ind w:left="1134"/>
        <w:rPr>
          <w:rFonts w:ascii="Arial" w:eastAsia="Times New Roman" w:hAnsi="Arial" w:cs="Arial"/>
          <w:color w:val="000000"/>
          <w:sz w:val="24"/>
          <w:szCs w:val="24"/>
          <w:lang w:eastAsia="en-NZ"/>
        </w:rPr>
      </w:pPr>
    </w:p>
    <w:p w14:paraId="6C058102" w14:textId="3B82E577" w:rsidR="000A07C3" w:rsidRDefault="003D60C9"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report recommends that “the priority must be to establish an independent and impartial (in the fullest sense of the word) process to hear, investigate, evaluate and offer redress to claimants</w:t>
      </w:r>
      <w:r w:rsidR="00677990">
        <w:rPr>
          <w:rFonts w:ascii="Arial" w:eastAsia="Times New Roman" w:hAnsi="Arial" w:cs="Arial"/>
          <w:color w:val="000000"/>
          <w:sz w:val="24"/>
          <w:szCs w:val="24"/>
          <w:lang w:eastAsia="en-NZ"/>
        </w:rPr>
        <w:t>”, whi</w:t>
      </w:r>
      <w:r w:rsidR="000B7C31">
        <w:rPr>
          <w:rFonts w:ascii="Arial" w:eastAsia="Times New Roman" w:hAnsi="Arial" w:cs="Arial"/>
          <w:color w:val="000000"/>
          <w:sz w:val="24"/>
          <w:szCs w:val="24"/>
          <w:lang w:eastAsia="en-NZ"/>
        </w:rPr>
        <w:t>ch</w:t>
      </w:r>
      <w:r w:rsidR="00677990">
        <w:rPr>
          <w:rFonts w:ascii="Arial" w:eastAsia="Times New Roman" w:hAnsi="Arial" w:cs="Arial"/>
          <w:color w:val="000000"/>
          <w:sz w:val="24"/>
          <w:szCs w:val="24"/>
          <w:lang w:eastAsia="en-NZ"/>
        </w:rPr>
        <w:t xml:space="preserve"> applies to all claimants in any care setting</w:t>
      </w:r>
      <w:r w:rsidR="00855E69">
        <w:rPr>
          <w:rFonts w:ascii="Arial" w:eastAsia="Times New Roman" w:hAnsi="Arial" w:cs="Arial"/>
          <w:color w:val="000000"/>
          <w:sz w:val="24"/>
          <w:szCs w:val="24"/>
          <w:lang w:eastAsia="en-NZ"/>
        </w:rPr>
        <w:t xml:space="preserve"> and has the power to provide support for rehabilitation, compensation and an apology</w:t>
      </w:r>
      <w:r w:rsidR="00434B5F">
        <w:rPr>
          <w:rFonts w:ascii="Arial" w:eastAsia="Times New Roman" w:hAnsi="Arial" w:cs="Arial"/>
          <w:color w:val="000000"/>
          <w:sz w:val="24"/>
          <w:szCs w:val="24"/>
          <w:lang w:eastAsia="en-NZ"/>
        </w:rPr>
        <w:t>.</w:t>
      </w:r>
      <w:r w:rsidR="003D74B0">
        <w:rPr>
          <w:rFonts w:ascii="Arial" w:eastAsia="Times New Roman" w:hAnsi="Arial" w:cs="Arial"/>
          <w:color w:val="000000"/>
          <w:sz w:val="24"/>
          <w:szCs w:val="24"/>
          <w:lang w:eastAsia="en-NZ"/>
        </w:rPr>
        <w:t xml:space="preserve"> It further recommends that the </w:t>
      </w:r>
      <w:r w:rsidR="00F27ED9">
        <w:rPr>
          <w:rFonts w:ascii="Arial" w:eastAsia="Times New Roman" w:hAnsi="Arial" w:cs="Arial"/>
          <w:color w:val="000000"/>
          <w:sz w:val="24"/>
          <w:szCs w:val="24"/>
          <w:lang w:eastAsia="en-NZ"/>
        </w:rPr>
        <w:t>Crown should cease, as far as is possible, invoking time-bar defences in relation to claims of historic abuse and ill-treatment whilst in the care of the State.</w:t>
      </w:r>
    </w:p>
    <w:p w14:paraId="3CA3D197" w14:textId="77777777" w:rsidR="00AF5114" w:rsidRPr="00AF5114" w:rsidRDefault="00AF5114" w:rsidP="006133E3">
      <w:pPr>
        <w:pStyle w:val="ListParagraph"/>
        <w:spacing w:line="360" w:lineRule="auto"/>
        <w:rPr>
          <w:rFonts w:ascii="Arial" w:eastAsia="Times New Roman" w:hAnsi="Arial" w:cs="Arial"/>
          <w:color w:val="000000"/>
          <w:sz w:val="24"/>
          <w:szCs w:val="24"/>
          <w:lang w:eastAsia="en-NZ"/>
        </w:rPr>
      </w:pPr>
    </w:p>
    <w:p w14:paraId="3CE8037F" w14:textId="314EE494" w:rsidR="007A59FA" w:rsidRPr="00874D91" w:rsidRDefault="000E73B4"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In correspondence during the consultation process, the then Attorney-General Chris Finlayson expressed concern with the conclusions of the report. </w:t>
      </w:r>
      <w:r w:rsidR="00AF5114">
        <w:rPr>
          <w:rFonts w:ascii="Arial" w:eastAsia="Times New Roman" w:hAnsi="Arial" w:cs="Arial"/>
          <w:color w:val="000000"/>
          <w:sz w:val="24"/>
          <w:szCs w:val="24"/>
          <w:lang w:eastAsia="en-NZ"/>
        </w:rPr>
        <w:t xml:space="preserve">The </w:t>
      </w:r>
      <w:r w:rsidR="001F32FD">
        <w:rPr>
          <w:rFonts w:ascii="Arial" w:eastAsia="Times New Roman" w:hAnsi="Arial" w:cs="Arial"/>
          <w:color w:val="000000"/>
          <w:sz w:val="24"/>
          <w:szCs w:val="24"/>
          <w:lang w:eastAsia="en-NZ"/>
        </w:rPr>
        <w:t xml:space="preserve">final </w:t>
      </w:r>
      <w:r w:rsidR="00AF5114">
        <w:rPr>
          <w:rFonts w:ascii="Arial" w:eastAsia="Times New Roman" w:hAnsi="Arial" w:cs="Arial"/>
          <w:color w:val="000000"/>
          <w:sz w:val="24"/>
          <w:szCs w:val="24"/>
          <w:lang w:eastAsia="en-NZ"/>
        </w:rPr>
        <w:t>Draft Report was provided to government Ministers on 20 September 2011, noting that “the Commission has agreed to consult on this final draft with the Attorney General and will do so…The review will not be released to the public until it is finalised following this final consultation.”</w:t>
      </w:r>
      <w:r w:rsidR="00874D91">
        <w:rPr>
          <w:rFonts w:ascii="Arial" w:eastAsia="Times New Roman" w:hAnsi="Arial" w:cs="Arial"/>
          <w:color w:val="000000"/>
          <w:sz w:val="24"/>
          <w:szCs w:val="24"/>
          <w:lang w:eastAsia="en-NZ"/>
        </w:rPr>
        <w:t xml:space="preserve"> </w:t>
      </w:r>
      <w:r w:rsidR="007A59FA" w:rsidRPr="00874D91">
        <w:rPr>
          <w:rFonts w:ascii="Arial" w:eastAsia="Times New Roman" w:hAnsi="Arial" w:cs="Arial"/>
          <w:color w:val="000000"/>
          <w:sz w:val="24"/>
          <w:szCs w:val="24"/>
          <w:lang w:eastAsia="en-NZ"/>
        </w:rPr>
        <w:t xml:space="preserve">It was never released. </w:t>
      </w:r>
    </w:p>
    <w:p w14:paraId="02A1D101" w14:textId="77777777" w:rsidR="000A07C3" w:rsidRPr="000A07C3" w:rsidRDefault="000A07C3" w:rsidP="006133E3">
      <w:pPr>
        <w:pStyle w:val="ListParagraph"/>
        <w:spacing w:line="360" w:lineRule="auto"/>
        <w:rPr>
          <w:rFonts w:ascii="Arial" w:eastAsia="Times New Roman" w:hAnsi="Arial" w:cs="Arial"/>
          <w:color w:val="000000"/>
          <w:sz w:val="24"/>
          <w:szCs w:val="24"/>
          <w:lang w:eastAsia="en-NZ"/>
        </w:rPr>
      </w:pPr>
    </w:p>
    <w:p w14:paraId="3593D010" w14:textId="7E9D451F" w:rsidR="000A07C3" w:rsidRPr="00A06316" w:rsidRDefault="000A07C3" w:rsidP="006133E3">
      <w:pPr>
        <w:pStyle w:val="Heading3"/>
        <w:numPr>
          <w:ilvl w:val="0"/>
          <w:numId w:val="14"/>
        </w:numPr>
        <w:spacing w:line="360" w:lineRule="auto"/>
        <w:ind w:left="1134" w:hanging="567"/>
        <w:rPr>
          <w:rFonts w:ascii="Arial" w:hAnsi="Arial" w:cs="Arial"/>
          <w:b/>
          <w:color w:val="000000" w:themeColor="text1"/>
          <w:lang w:val="en-NZ"/>
        </w:rPr>
      </w:pPr>
      <w:r>
        <w:rPr>
          <w:rFonts w:ascii="Arial" w:hAnsi="Arial" w:cs="Arial"/>
          <w:b/>
          <w:color w:val="000000" w:themeColor="text1"/>
          <w:lang w:val="en-NZ"/>
        </w:rPr>
        <w:lastRenderedPageBreak/>
        <w:t>Some Memories Never Fade – Final Report of the Confidential Listening and Assistance Service (2015)</w:t>
      </w:r>
      <w:r w:rsidR="00394CE4">
        <w:rPr>
          <w:rStyle w:val="FootnoteReference"/>
          <w:rFonts w:ascii="Arial" w:hAnsi="Arial" w:cs="Arial"/>
          <w:b/>
          <w:color w:val="000000" w:themeColor="text1"/>
          <w:lang w:val="en-NZ"/>
        </w:rPr>
        <w:footnoteReference w:id="7"/>
      </w:r>
    </w:p>
    <w:p w14:paraId="577F9FB8" w14:textId="77777777" w:rsidR="000A07C3" w:rsidRPr="000A07C3" w:rsidRDefault="000A07C3" w:rsidP="006133E3">
      <w:pPr>
        <w:pStyle w:val="ListParagraph"/>
        <w:spacing w:line="360" w:lineRule="auto"/>
        <w:rPr>
          <w:rFonts w:ascii="Arial" w:eastAsia="Times New Roman" w:hAnsi="Arial" w:cs="Arial"/>
          <w:color w:val="000000"/>
          <w:sz w:val="24"/>
          <w:szCs w:val="24"/>
          <w:lang w:eastAsia="en-NZ"/>
        </w:rPr>
      </w:pPr>
    </w:p>
    <w:p w14:paraId="047023BB" w14:textId="1E51D7A4" w:rsidR="00FA6BCC" w:rsidRDefault="00FA6BCC"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sidRPr="00FA6BCC">
        <w:rPr>
          <w:rFonts w:ascii="Arial" w:eastAsia="Times New Roman" w:hAnsi="Arial" w:cs="Arial"/>
          <w:color w:val="000000"/>
          <w:sz w:val="24"/>
          <w:szCs w:val="24"/>
          <w:lang w:eastAsia="en-NZ"/>
        </w:rPr>
        <w:t xml:space="preserve">The Confidential Listening and Advice Service was established in 2008 </w:t>
      </w:r>
      <w:r w:rsidR="005E4AFF">
        <w:rPr>
          <w:rFonts w:ascii="Arial" w:eastAsia="Times New Roman" w:hAnsi="Arial" w:cs="Arial"/>
          <w:color w:val="000000"/>
          <w:sz w:val="24"/>
          <w:szCs w:val="24"/>
          <w:lang w:eastAsia="en-NZ"/>
        </w:rPr>
        <w:t xml:space="preserve">and ran </w:t>
      </w:r>
      <w:r w:rsidRPr="00FA6BCC">
        <w:rPr>
          <w:rFonts w:ascii="Arial" w:eastAsia="Times New Roman" w:hAnsi="Arial" w:cs="Arial"/>
          <w:color w:val="000000"/>
          <w:sz w:val="24"/>
          <w:szCs w:val="24"/>
          <w:lang w:eastAsia="en-NZ"/>
        </w:rPr>
        <w:t xml:space="preserve">until June 2015. As with the Confidential Forum, it was outside the scope of CLAS to determine liability or truth; pay or recommend compensation; </w:t>
      </w:r>
      <w:r w:rsidR="002C4758">
        <w:rPr>
          <w:rFonts w:ascii="Arial" w:eastAsia="Times New Roman" w:hAnsi="Arial" w:cs="Arial"/>
          <w:color w:val="000000"/>
          <w:sz w:val="24"/>
          <w:szCs w:val="24"/>
          <w:lang w:eastAsia="en-NZ"/>
        </w:rPr>
        <w:t xml:space="preserve">or </w:t>
      </w:r>
      <w:r w:rsidRPr="00FA6BCC">
        <w:rPr>
          <w:rFonts w:ascii="Arial" w:eastAsia="Times New Roman" w:hAnsi="Arial" w:cs="Arial"/>
          <w:color w:val="000000"/>
          <w:sz w:val="24"/>
          <w:szCs w:val="24"/>
          <w:lang w:eastAsia="en-NZ"/>
        </w:rPr>
        <w:t>acknowledge liability or make an apology</w:t>
      </w:r>
      <w:r w:rsidR="002C4758">
        <w:rPr>
          <w:rFonts w:ascii="Arial" w:eastAsia="Times New Roman" w:hAnsi="Arial" w:cs="Arial"/>
          <w:color w:val="000000"/>
          <w:sz w:val="24"/>
          <w:szCs w:val="24"/>
          <w:lang w:eastAsia="en-NZ"/>
        </w:rPr>
        <w:t>.</w:t>
      </w:r>
    </w:p>
    <w:p w14:paraId="24E641F9" w14:textId="77777777" w:rsidR="002C4CB1" w:rsidRPr="00FA6BCC" w:rsidRDefault="002C4CB1" w:rsidP="006133E3">
      <w:pPr>
        <w:pStyle w:val="ListParagraph"/>
        <w:spacing w:after="0" w:line="360" w:lineRule="auto"/>
        <w:ind w:left="1134"/>
        <w:rPr>
          <w:rFonts w:ascii="Arial" w:eastAsia="Times New Roman" w:hAnsi="Arial" w:cs="Arial"/>
          <w:color w:val="000000"/>
          <w:sz w:val="24"/>
          <w:szCs w:val="24"/>
          <w:lang w:eastAsia="en-NZ"/>
        </w:rPr>
      </w:pPr>
    </w:p>
    <w:p w14:paraId="15102A38" w14:textId="1D5BF4FE" w:rsidR="00FA6BCC" w:rsidRDefault="00FA6BCC"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sidRPr="002C4CB1">
        <w:rPr>
          <w:rFonts w:ascii="Arial" w:eastAsia="Times New Roman" w:hAnsi="Arial" w:cs="Arial"/>
          <w:color w:val="000000"/>
          <w:sz w:val="24"/>
          <w:szCs w:val="24"/>
          <w:lang w:eastAsia="en-NZ"/>
        </w:rPr>
        <w:t>The Service met with over 1100 participants, who had been in</w:t>
      </w:r>
      <w:r w:rsidR="00530CF6">
        <w:rPr>
          <w:rFonts w:ascii="Arial" w:eastAsia="Times New Roman" w:hAnsi="Arial" w:cs="Arial"/>
          <w:color w:val="000000"/>
          <w:sz w:val="24"/>
          <w:szCs w:val="24"/>
          <w:lang w:eastAsia="en-NZ"/>
        </w:rPr>
        <w:t xml:space="preserve"> </w:t>
      </w:r>
      <w:r w:rsidR="00287851">
        <w:rPr>
          <w:rFonts w:ascii="Arial" w:eastAsia="Times New Roman" w:hAnsi="Arial" w:cs="Arial"/>
          <w:color w:val="000000"/>
          <w:sz w:val="24"/>
          <w:szCs w:val="24"/>
          <w:lang w:eastAsia="en-NZ"/>
        </w:rPr>
        <w:t>state</w:t>
      </w:r>
      <w:r w:rsidRPr="002C4CB1">
        <w:rPr>
          <w:rFonts w:ascii="Arial" w:eastAsia="Times New Roman" w:hAnsi="Arial" w:cs="Arial"/>
          <w:color w:val="000000"/>
          <w:sz w:val="24"/>
          <w:szCs w:val="24"/>
          <w:lang w:eastAsia="en-NZ"/>
        </w:rPr>
        <w:t xml:space="preserve"> care prior to 1992. Participants were given the opportunity to meet with the Panel and have their story recorded, and where requested to identify assistance required. Assistance given included requesting of the participants’ files held by state agencies including their record of care and treatment, counselling, </w:t>
      </w:r>
      <w:r w:rsidR="00401507">
        <w:rPr>
          <w:rFonts w:ascii="Arial" w:eastAsia="Times New Roman" w:hAnsi="Arial" w:cs="Arial"/>
          <w:color w:val="000000"/>
          <w:sz w:val="24"/>
          <w:szCs w:val="24"/>
          <w:lang w:eastAsia="en-NZ"/>
        </w:rPr>
        <w:t xml:space="preserve">and/or </w:t>
      </w:r>
      <w:r w:rsidRPr="002C4CB1">
        <w:rPr>
          <w:rFonts w:ascii="Arial" w:eastAsia="Times New Roman" w:hAnsi="Arial" w:cs="Arial"/>
          <w:color w:val="000000"/>
          <w:sz w:val="24"/>
          <w:szCs w:val="24"/>
          <w:lang w:eastAsia="en-NZ"/>
        </w:rPr>
        <w:t>referrals to the appropriate agency (most commonly MSD, but also Health, Education, Police, and Health Camps, as well as church agencies and non-governmental agencies) for further investigation of their claim. This included referring 514 people to the Historic Claims process of MSD, and 89 referrals to police for investigation of offending.</w:t>
      </w:r>
    </w:p>
    <w:p w14:paraId="46F73F2C" w14:textId="77777777" w:rsidR="00966A2F" w:rsidRPr="00966A2F" w:rsidRDefault="00966A2F" w:rsidP="006133E3">
      <w:pPr>
        <w:pStyle w:val="ListParagraph"/>
        <w:spacing w:line="360" w:lineRule="auto"/>
        <w:rPr>
          <w:rFonts w:ascii="Arial" w:eastAsia="Times New Roman" w:hAnsi="Arial" w:cs="Arial"/>
          <w:color w:val="000000"/>
          <w:sz w:val="24"/>
          <w:szCs w:val="24"/>
          <w:lang w:eastAsia="en-NZ"/>
        </w:rPr>
      </w:pPr>
    </w:p>
    <w:p w14:paraId="798A0F4F" w14:textId="3EA5FF77" w:rsidR="00966A2F" w:rsidRPr="00966A2F" w:rsidRDefault="00966A2F"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sidRPr="00966A2F">
        <w:rPr>
          <w:rFonts w:ascii="Arial" w:eastAsia="Times New Roman" w:hAnsi="Arial" w:cs="Arial"/>
          <w:color w:val="000000"/>
          <w:sz w:val="24"/>
          <w:szCs w:val="24"/>
          <w:lang w:eastAsia="en-NZ"/>
        </w:rPr>
        <w:t xml:space="preserve">The CLAS Report made several recommendations relating to redress </w:t>
      </w:r>
      <w:r w:rsidR="00D1691B">
        <w:rPr>
          <w:rFonts w:ascii="Arial" w:eastAsia="Times New Roman" w:hAnsi="Arial" w:cs="Arial"/>
          <w:color w:val="000000"/>
          <w:sz w:val="24"/>
          <w:szCs w:val="24"/>
          <w:lang w:eastAsia="en-NZ"/>
        </w:rPr>
        <w:t xml:space="preserve">for </w:t>
      </w:r>
      <w:r w:rsidRPr="00966A2F">
        <w:rPr>
          <w:rFonts w:ascii="Arial" w:eastAsia="Times New Roman" w:hAnsi="Arial" w:cs="Arial"/>
          <w:color w:val="000000"/>
          <w:sz w:val="24"/>
          <w:szCs w:val="24"/>
          <w:lang w:eastAsia="en-NZ"/>
        </w:rPr>
        <w:t>claims of abuse in care. These included</w:t>
      </w:r>
      <w:r w:rsidR="00401507">
        <w:rPr>
          <w:rFonts w:ascii="Arial" w:eastAsia="Times New Roman" w:hAnsi="Arial" w:cs="Arial"/>
          <w:color w:val="000000"/>
          <w:sz w:val="24"/>
          <w:szCs w:val="24"/>
          <w:lang w:eastAsia="en-NZ"/>
        </w:rPr>
        <w:t xml:space="preserve"> to</w:t>
      </w:r>
      <w:r w:rsidRPr="00966A2F">
        <w:rPr>
          <w:rFonts w:ascii="Arial" w:eastAsia="Times New Roman" w:hAnsi="Arial" w:cs="Arial"/>
          <w:color w:val="000000"/>
          <w:sz w:val="24"/>
          <w:szCs w:val="24"/>
          <w:lang w:eastAsia="en-NZ"/>
        </w:rPr>
        <w:t>:</w:t>
      </w:r>
    </w:p>
    <w:p w14:paraId="000100A9" w14:textId="77777777" w:rsidR="0021698F" w:rsidRDefault="0021698F" w:rsidP="0021698F">
      <w:pPr>
        <w:pStyle w:val="ListParagraph"/>
        <w:spacing w:after="0" w:line="360" w:lineRule="auto"/>
        <w:ind w:left="1647"/>
        <w:rPr>
          <w:rFonts w:ascii="Arial" w:hAnsi="Arial" w:cs="Arial"/>
          <w:sz w:val="24"/>
          <w:szCs w:val="24"/>
          <w:lang w:val="en-US"/>
        </w:rPr>
      </w:pPr>
    </w:p>
    <w:p w14:paraId="4468BABD" w14:textId="580313E6" w:rsidR="00196ED3" w:rsidRDefault="00966A2F" w:rsidP="006133E3">
      <w:pPr>
        <w:pStyle w:val="ListParagraph"/>
        <w:numPr>
          <w:ilvl w:val="0"/>
          <w:numId w:val="25"/>
        </w:numPr>
        <w:spacing w:after="0" w:line="360" w:lineRule="auto"/>
        <w:rPr>
          <w:rFonts w:ascii="Arial" w:hAnsi="Arial" w:cs="Arial"/>
          <w:sz w:val="24"/>
          <w:szCs w:val="24"/>
          <w:lang w:val="en-US"/>
        </w:rPr>
      </w:pPr>
      <w:r w:rsidRPr="00F51111">
        <w:rPr>
          <w:rFonts w:ascii="Arial" w:hAnsi="Arial" w:cs="Arial"/>
          <w:sz w:val="24"/>
          <w:szCs w:val="24"/>
          <w:lang w:val="en-US"/>
        </w:rPr>
        <w:t>Tak</w:t>
      </w:r>
      <w:r w:rsidR="00401507">
        <w:rPr>
          <w:rFonts w:ascii="Arial" w:hAnsi="Arial" w:cs="Arial"/>
          <w:sz w:val="24"/>
          <w:szCs w:val="24"/>
          <w:lang w:val="en-US"/>
        </w:rPr>
        <w:t>e</w:t>
      </w:r>
      <w:r w:rsidRPr="00F51111">
        <w:rPr>
          <w:rFonts w:ascii="Arial" w:hAnsi="Arial" w:cs="Arial"/>
          <w:sz w:val="24"/>
          <w:szCs w:val="24"/>
          <w:lang w:val="en-US"/>
        </w:rPr>
        <w:t xml:space="preserve"> urgent steps to complete the task of resolving the claims of abuse and neglect of people in care before 1992, including claims in the High Court</w:t>
      </w:r>
      <w:r w:rsidR="00401507">
        <w:rPr>
          <w:rFonts w:ascii="Arial" w:hAnsi="Arial" w:cs="Arial"/>
          <w:sz w:val="24"/>
          <w:szCs w:val="24"/>
          <w:lang w:val="en-US"/>
        </w:rPr>
        <w:t>;</w:t>
      </w:r>
    </w:p>
    <w:p w14:paraId="69212B57" w14:textId="77777777" w:rsidR="00401507" w:rsidRPr="00F51111" w:rsidRDefault="00401507" w:rsidP="00401507">
      <w:pPr>
        <w:pStyle w:val="ListParagraph"/>
        <w:spacing w:after="0" w:line="360" w:lineRule="auto"/>
        <w:ind w:left="1647"/>
        <w:rPr>
          <w:rFonts w:ascii="Arial" w:hAnsi="Arial" w:cs="Arial"/>
          <w:sz w:val="24"/>
          <w:szCs w:val="24"/>
          <w:lang w:val="en-US"/>
        </w:rPr>
      </w:pPr>
    </w:p>
    <w:p w14:paraId="7202D9AF" w14:textId="6DB29685" w:rsidR="00196ED3" w:rsidRDefault="00966A2F" w:rsidP="006133E3">
      <w:pPr>
        <w:pStyle w:val="ListParagraph"/>
        <w:numPr>
          <w:ilvl w:val="0"/>
          <w:numId w:val="25"/>
        </w:numPr>
        <w:spacing w:after="0" w:line="360" w:lineRule="auto"/>
        <w:rPr>
          <w:rFonts w:ascii="Arial" w:hAnsi="Arial" w:cs="Arial"/>
          <w:sz w:val="24"/>
          <w:szCs w:val="24"/>
          <w:lang w:val="en-US"/>
        </w:rPr>
      </w:pPr>
      <w:r w:rsidRPr="00F51111">
        <w:rPr>
          <w:rFonts w:ascii="Arial" w:hAnsi="Arial" w:cs="Arial"/>
          <w:sz w:val="24"/>
          <w:szCs w:val="24"/>
          <w:lang w:val="en-US"/>
        </w:rPr>
        <w:t>Design and implement an independent body to resolve historic and current complaints in order to hold the sector to account</w:t>
      </w:r>
      <w:r w:rsidR="00401507">
        <w:rPr>
          <w:rFonts w:ascii="Arial" w:hAnsi="Arial" w:cs="Arial"/>
          <w:sz w:val="24"/>
          <w:szCs w:val="24"/>
          <w:lang w:val="en-US"/>
        </w:rPr>
        <w:t>;</w:t>
      </w:r>
    </w:p>
    <w:p w14:paraId="394AAB23" w14:textId="77777777" w:rsidR="00401507" w:rsidRPr="00401507" w:rsidRDefault="00401507" w:rsidP="00401507">
      <w:pPr>
        <w:pStyle w:val="ListParagraph"/>
        <w:rPr>
          <w:rFonts w:ascii="Arial" w:hAnsi="Arial" w:cs="Arial"/>
          <w:sz w:val="24"/>
          <w:szCs w:val="24"/>
          <w:lang w:val="en-US"/>
        </w:rPr>
      </w:pPr>
    </w:p>
    <w:p w14:paraId="38F3D136" w14:textId="2AF0D6BF" w:rsidR="00196ED3" w:rsidRPr="00F51111" w:rsidRDefault="00966A2F" w:rsidP="006133E3">
      <w:pPr>
        <w:pStyle w:val="ListParagraph"/>
        <w:numPr>
          <w:ilvl w:val="0"/>
          <w:numId w:val="25"/>
        </w:numPr>
        <w:spacing w:after="0" w:line="360" w:lineRule="auto"/>
        <w:rPr>
          <w:rFonts w:ascii="Arial" w:hAnsi="Arial" w:cs="Arial"/>
          <w:sz w:val="24"/>
          <w:szCs w:val="24"/>
          <w:lang w:val="en-US"/>
        </w:rPr>
      </w:pPr>
      <w:r w:rsidRPr="00F51111">
        <w:rPr>
          <w:rFonts w:ascii="Arial" w:hAnsi="Arial" w:cs="Arial"/>
          <w:sz w:val="24"/>
          <w:szCs w:val="24"/>
          <w:lang w:val="en-US"/>
        </w:rPr>
        <w:t>Offer a public statement to the people of NZ about what happened to those who suffered abuse and neglect in state care</w:t>
      </w:r>
      <w:r w:rsidR="00401507">
        <w:rPr>
          <w:rFonts w:ascii="Arial" w:hAnsi="Arial" w:cs="Arial"/>
          <w:sz w:val="24"/>
          <w:szCs w:val="24"/>
          <w:lang w:val="en-US"/>
        </w:rPr>
        <w:t>;</w:t>
      </w:r>
    </w:p>
    <w:p w14:paraId="742AD9C2" w14:textId="77777777" w:rsidR="00401507" w:rsidRDefault="00401507" w:rsidP="00401507">
      <w:pPr>
        <w:pStyle w:val="ListParagraph"/>
        <w:spacing w:after="0" w:line="360" w:lineRule="auto"/>
        <w:ind w:left="1647"/>
        <w:rPr>
          <w:rFonts w:ascii="Arial" w:hAnsi="Arial" w:cs="Arial"/>
          <w:sz w:val="24"/>
          <w:szCs w:val="24"/>
          <w:lang w:val="en-US"/>
        </w:rPr>
      </w:pPr>
    </w:p>
    <w:p w14:paraId="40DECCA5" w14:textId="0FE58BA4" w:rsidR="00966A2F" w:rsidRPr="00F51111" w:rsidRDefault="00966A2F" w:rsidP="006133E3">
      <w:pPr>
        <w:pStyle w:val="ListParagraph"/>
        <w:numPr>
          <w:ilvl w:val="0"/>
          <w:numId w:val="25"/>
        </w:numPr>
        <w:spacing w:after="0" w:line="360" w:lineRule="auto"/>
        <w:rPr>
          <w:rFonts w:ascii="Arial" w:hAnsi="Arial" w:cs="Arial"/>
          <w:sz w:val="24"/>
          <w:szCs w:val="24"/>
          <w:lang w:val="en-US"/>
        </w:rPr>
      </w:pPr>
      <w:r w:rsidRPr="00F51111">
        <w:rPr>
          <w:rFonts w:ascii="Arial" w:hAnsi="Arial" w:cs="Arial"/>
          <w:sz w:val="24"/>
          <w:szCs w:val="24"/>
          <w:lang w:val="en-US"/>
        </w:rPr>
        <w:t>Create an independent listening and advice service for prisoners who have concerns about abuse and neglect of them as children in state care.</w:t>
      </w:r>
    </w:p>
    <w:p w14:paraId="5A2BEAD6" w14:textId="77777777" w:rsidR="00C146AB" w:rsidRPr="00196ED3" w:rsidRDefault="00C146AB" w:rsidP="006133E3">
      <w:pPr>
        <w:pStyle w:val="ListParagraph"/>
        <w:spacing w:after="0" w:line="360" w:lineRule="auto"/>
        <w:ind w:left="1647"/>
        <w:rPr>
          <w:lang w:val="en-US"/>
        </w:rPr>
      </w:pPr>
    </w:p>
    <w:p w14:paraId="3A721E0A" w14:textId="3D5B9411" w:rsidR="00966A2F" w:rsidRPr="009E2E23" w:rsidRDefault="009E2E23" w:rsidP="006133E3">
      <w:pPr>
        <w:pStyle w:val="ListParagraph"/>
        <w:numPr>
          <w:ilvl w:val="0"/>
          <w:numId w:val="15"/>
        </w:numPr>
        <w:spacing w:after="0" w:line="36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Government response to the report is contained in a paper to the Cabinet Social Policy Committee by the then-Minister for Social Development Anne Tolley</w:t>
      </w:r>
      <w:r w:rsidR="00401507">
        <w:rPr>
          <w:rStyle w:val="FootnoteReference"/>
          <w:rFonts w:ascii="Arial" w:eastAsia="Times New Roman" w:hAnsi="Arial" w:cs="Arial"/>
          <w:color w:val="000000"/>
          <w:sz w:val="24"/>
          <w:szCs w:val="24"/>
          <w:lang w:eastAsia="en-NZ"/>
        </w:rPr>
        <w:footnoteReference w:id="8"/>
      </w:r>
      <w:r>
        <w:rPr>
          <w:rFonts w:ascii="Arial" w:eastAsia="Times New Roman" w:hAnsi="Arial" w:cs="Arial"/>
          <w:color w:val="000000"/>
          <w:sz w:val="24"/>
          <w:szCs w:val="24"/>
          <w:lang w:eastAsia="en-NZ"/>
        </w:rPr>
        <w:t xml:space="preserve">. </w:t>
      </w:r>
      <w:r w:rsidRPr="009E2E23">
        <w:rPr>
          <w:rFonts w:ascii="Arial" w:eastAsia="Times New Roman" w:hAnsi="Arial" w:cs="Arial"/>
          <w:color w:val="000000"/>
          <w:sz w:val="24"/>
          <w:szCs w:val="24"/>
          <w:lang w:val="en-US" w:eastAsia="en-NZ"/>
        </w:rPr>
        <w:t xml:space="preserve">In the response, it is noted that the final report is written from the experience and knowledge of </w:t>
      </w:r>
      <w:r w:rsidR="000A1C24">
        <w:rPr>
          <w:rFonts w:ascii="Arial" w:eastAsia="Times New Roman" w:hAnsi="Arial" w:cs="Arial"/>
          <w:color w:val="000000"/>
          <w:sz w:val="24"/>
          <w:szCs w:val="24"/>
          <w:lang w:val="en-US" w:eastAsia="en-NZ"/>
        </w:rPr>
        <w:t>CLAS</w:t>
      </w:r>
      <w:r w:rsidRPr="009E2E23">
        <w:rPr>
          <w:rFonts w:ascii="Arial" w:eastAsia="Times New Roman" w:hAnsi="Arial" w:cs="Arial"/>
          <w:color w:val="000000"/>
          <w:sz w:val="24"/>
          <w:szCs w:val="24"/>
          <w:lang w:val="en-US" w:eastAsia="en-NZ"/>
        </w:rPr>
        <w:t xml:space="preserve">, and that </w:t>
      </w:r>
      <w:r w:rsidR="000A1C24">
        <w:rPr>
          <w:rFonts w:ascii="Arial" w:eastAsia="Times New Roman" w:hAnsi="Arial" w:cs="Arial"/>
          <w:color w:val="000000"/>
          <w:sz w:val="24"/>
          <w:szCs w:val="24"/>
          <w:lang w:val="en-US" w:eastAsia="en-NZ"/>
        </w:rPr>
        <w:t xml:space="preserve">CLAS </w:t>
      </w:r>
      <w:r w:rsidRPr="009E2E23">
        <w:rPr>
          <w:rFonts w:ascii="Arial" w:eastAsia="Times New Roman" w:hAnsi="Arial" w:cs="Arial"/>
          <w:color w:val="000000"/>
          <w:sz w:val="24"/>
          <w:szCs w:val="24"/>
          <w:lang w:val="en-US" w:eastAsia="en-NZ"/>
        </w:rPr>
        <w:t>did not undertake any consultation with agencies to validate the report’s findings or provide an opportunity to correct any inaccuracies.</w:t>
      </w:r>
    </w:p>
    <w:p w14:paraId="3CE3ECE0" w14:textId="77777777" w:rsidR="009E2E23" w:rsidRPr="009E2E23" w:rsidRDefault="009E2E23" w:rsidP="006133E3">
      <w:pPr>
        <w:pStyle w:val="ListParagraph"/>
        <w:spacing w:after="0" w:line="360" w:lineRule="auto"/>
        <w:ind w:left="1134"/>
        <w:rPr>
          <w:rFonts w:ascii="Arial" w:eastAsia="Times New Roman" w:hAnsi="Arial" w:cs="Arial"/>
          <w:color w:val="000000"/>
          <w:sz w:val="24"/>
          <w:szCs w:val="24"/>
          <w:lang w:eastAsia="en-NZ"/>
        </w:rPr>
      </w:pPr>
    </w:p>
    <w:p w14:paraId="2F2E7B89" w14:textId="76171853" w:rsidR="009E2E23" w:rsidRDefault="009E2E23" w:rsidP="006133E3">
      <w:pPr>
        <w:pStyle w:val="ListParagraph"/>
        <w:numPr>
          <w:ilvl w:val="0"/>
          <w:numId w:val="15"/>
        </w:numPr>
        <w:spacing w:after="0" w:line="360" w:lineRule="auto"/>
        <w:ind w:left="1134" w:hanging="567"/>
        <w:rPr>
          <w:rFonts w:ascii="Arial" w:eastAsia="Times New Roman" w:hAnsi="Arial" w:cs="Arial"/>
          <w:color w:val="000000"/>
          <w:sz w:val="24"/>
          <w:szCs w:val="24"/>
          <w:lang w:val="en-US" w:eastAsia="en-NZ"/>
        </w:rPr>
      </w:pPr>
      <w:r w:rsidRPr="009E2E23">
        <w:rPr>
          <w:rFonts w:ascii="Arial" w:eastAsia="Times New Roman" w:hAnsi="Arial" w:cs="Arial"/>
          <w:color w:val="000000"/>
          <w:sz w:val="24"/>
          <w:szCs w:val="24"/>
          <w:lang w:val="en-US" w:eastAsia="en-NZ"/>
        </w:rPr>
        <w:t xml:space="preserve">The Government noted that </w:t>
      </w:r>
      <w:r w:rsidR="000A1C24">
        <w:rPr>
          <w:rFonts w:ascii="Arial" w:eastAsia="Times New Roman" w:hAnsi="Arial" w:cs="Arial"/>
          <w:color w:val="000000"/>
          <w:sz w:val="24"/>
          <w:szCs w:val="24"/>
          <w:lang w:val="en-US" w:eastAsia="en-NZ"/>
        </w:rPr>
        <w:t xml:space="preserve">MSD </w:t>
      </w:r>
      <w:r w:rsidRPr="009E2E23">
        <w:rPr>
          <w:rFonts w:ascii="Arial" w:eastAsia="Times New Roman" w:hAnsi="Arial" w:cs="Arial"/>
          <w:color w:val="000000"/>
          <w:sz w:val="24"/>
          <w:szCs w:val="24"/>
          <w:lang w:val="en-US" w:eastAsia="en-NZ"/>
        </w:rPr>
        <w:t>was at that time “refining its approach in order to provide people with timely resolution of their claims in a way that is restorative and continues to allow claimants to share their story.” It acknowledged its commitment to resolve all historic abuse claims by 2020, and noted that the Fast Track process was implemented in 2015, and offers had been made to all eligible claimants that were not legally represented (85% of which were accepted). The process in relation to legally represented claimants was put on hold due to the judicial review proceeding pursued on behalf of those claimants, which had recently been dismissed.</w:t>
      </w:r>
    </w:p>
    <w:p w14:paraId="2F2D49B4" w14:textId="77777777" w:rsidR="00400063" w:rsidRPr="00400063" w:rsidRDefault="00400063" w:rsidP="006133E3">
      <w:pPr>
        <w:spacing w:after="0" w:line="360" w:lineRule="auto"/>
        <w:rPr>
          <w:rFonts w:ascii="Arial" w:eastAsia="Times New Roman" w:hAnsi="Arial" w:cs="Arial"/>
          <w:color w:val="000000"/>
          <w:sz w:val="24"/>
          <w:szCs w:val="24"/>
          <w:lang w:val="en-US" w:eastAsia="en-NZ"/>
        </w:rPr>
      </w:pPr>
    </w:p>
    <w:p w14:paraId="2545F689" w14:textId="70F206D3" w:rsidR="009E2E23" w:rsidRPr="009E2E23" w:rsidRDefault="009E2E23" w:rsidP="006133E3">
      <w:pPr>
        <w:pStyle w:val="ListParagraph"/>
        <w:numPr>
          <w:ilvl w:val="0"/>
          <w:numId w:val="15"/>
        </w:numPr>
        <w:spacing w:after="0" w:line="360" w:lineRule="auto"/>
        <w:ind w:left="1134" w:hanging="567"/>
        <w:rPr>
          <w:rFonts w:ascii="Arial" w:eastAsia="Times New Roman" w:hAnsi="Arial" w:cs="Arial"/>
          <w:color w:val="000000"/>
          <w:sz w:val="24"/>
          <w:szCs w:val="24"/>
          <w:lang w:val="en-US" w:eastAsia="en-NZ"/>
        </w:rPr>
      </w:pPr>
      <w:r w:rsidRPr="009E2E23">
        <w:rPr>
          <w:rFonts w:ascii="Arial" w:eastAsia="Times New Roman" w:hAnsi="Arial" w:cs="Arial"/>
          <w:color w:val="000000"/>
          <w:sz w:val="24"/>
          <w:szCs w:val="24"/>
          <w:lang w:val="en-US" w:eastAsia="en-NZ"/>
        </w:rPr>
        <w:t xml:space="preserve">The Government did not accept the recommendation to create an independent body to resolve historic and current complaints to hold the sector to account, stating that the concurrent review </w:t>
      </w:r>
      <w:r w:rsidR="00400063">
        <w:rPr>
          <w:rFonts w:ascii="Arial" w:eastAsia="Times New Roman" w:hAnsi="Arial" w:cs="Arial"/>
          <w:color w:val="000000"/>
          <w:sz w:val="24"/>
          <w:szCs w:val="24"/>
          <w:lang w:val="en-US" w:eastAsia="en-NZ"/>
        </w:rPr>
        <w:t xml:space="preserve">by </w:t>
      </w:r>
      <w:r w:rsidR="00832564">
        <w:rPr>
          <w:rFonts w:ascii="Arial" w:eastAsia="Times New Roman" w:hAnsi="Arial" w:cs="Arial"/>
          <w:color w:val="000000"/>
          <w:sz w:val="24"/>
          <w:szCs w:val="24"/>
          <w:lang w:val="en-US" w:eastAsia="en-NZ"/>
        </w:rPr>
        <w:t xml:space="preserve">an expert panel </w:t>
      </w:r>
      <w:r w:rsidRPr="009E2E23">
        <w:rPr>
          <w:rFonts w:ascii="Arial" w:eastAsia="Times New Roman" w:hAnsi="Arial" w:cs="Arial"/>
          <w:color w:val="000000"/>
          <w:sz w:val="24"/>
          <w:szCs w:val="24"/>
          <w:lang w:val="en-US" w:eastAsia="en-NZ"/>
        </w:rPr>
        <w:t xml:space="preserve">of </w:t>
      </w:r>
      <w:r w:rsidR="00400063">
        <w:rPr>
          <w:rFonts w:ascii="Arial" w:eastAsia="Times New Roman" w:hAnsi="Arial" w:cs="Arial"/>
          <w:color w:val="000000"/>
          <w:sz w:val="24"/>
          <w:szCs w:val="24"/>
          <w:lang w:val="en-US" w:eastAsia="en-NZ"/>
        </w:rPr>
        <w:t xml:space="preserve">the </w:t>
      </w:r>
      <w:r w:rsidRPr="009E2E23">
        <w:rPr>
          <w:rFonts w:ascii="Arial" w:eastAsia="Times New Roman" w:hAnsi="Arial" w:cs="Arial"/>
          <w:color w:val="000000"/>
          <w:sz w:val="24"/>
          <w:szCs w:val="24"/>
          <w:lang w:val="en-US" w:eastAsia="en-NZ"/>
        </w:rPr>
        <w:t xml:space="preserve">operating model for provision of services to children, young people and their families would address the concerns raised in the report. </w:t>
      </w:r>
    </w:p>
    <w:p w14:paraId="080FAF5A" w14:textId="23419D9D" w:rsidR="009E2E23" w:rsidRPr="009E2E23" w:rsidRDefault="009E2E23" w:rsidP="006133E3">
      <w:pPr>
        <w:pStyle w:val="ListParagraph"/>
        <w:spacing w:after="0" w:line="360" w:lineRule="auto"/>
        <w:ind w:left="1134"/>
        <w:rPr>
          <w:rFonts w:ascii="Arial" w:eastAsia="Times New Roman" w:hAnsi="Arial" w:cs="Arial"/>
          <w:color w:val="000000"/>
          <w:sz w:val="24"/>
          <w:szCs w:val="24"/>
          <w:lang w:val="en-US" w:eastAsia="en-NZ"/>
        </w:rPr>
      </w:pPr>
    </w:p>
    <w:p w14:paraId="5CC6D168" w14:textId="77777777" w:rsidR="009E2E23" w:rsidRPr="009E2E23" w:rsidRDefault="009E2E23" w:rsidP="006133E3">
      <w:pPr>
        <w:pStyle w:val="ListParagraph"/>
        <w:numPr>
          <w:ilvl w:val="0"/>
          <w:numId w:val="15"/>
        </w:numPr>
        <w:spacing w:after="0" w:line="360" w:lineRule="auto"/>
        <w:ind w:left="1134" w:hanging="567"/>
        <w:rPr>
          <w:rFonts w:ascii="Arial" w:eastAsia="Times New Roman" w:hAnsi="Arial" w:cs="Arial"/>
          <w:color w:val="000000"/>
          <w:sz w:val="24"/>
          <w:szCs w:val="24"/>
          <w:lang w:val="en-US" w:eastAsia="en-NZ"/>
        </w:rPr>
      </w:pPr>
      <w:r w:rsidRPr="009E2E23">
        <w:rPr>
          <w:rFonts w:ascii="Arial" w:eastAsia="Times New Roman" w:hAnsi="Arial" w:cs="Arial"/>
          <w:color w:val="000000"/>
          <w:sz w:val="24"/>
          <w:szCs w:val="24"/>
          <w:lang w:val="en-US" w:eastAsia="en-NZ"/>
        </w:rPr>
        <w:lastRenderedPageBreak/>
        <w:t>In response to the</w:t>
      </w:r>
      <w:r>
        <w:rPr>
          <w:lang w:val="en-US"/>
        </w:rPr>
        <w:t xml:space="preserve"> </w:t>
      </w:r>
      <w:r w:rsidRPr="009E2E23">
        <w:rPr>
          <w:rFonts w:ascii="Arial" w:eastAsia="Times New Roman" w:hAnsi="Arial" w:cs="Arial"/>
          <w:color w:val="000000"/>
          <w:sz w:val="24"/>
          <w:szCs w:val="24"/>
          <w:lang w:val="en-US" w:eastAsia="en-NZ"/>
        </w:rPr>
        <w:t>recommendation of a public statement the Government response states:</w:t>
      </w:r>
    </w:p>
    <w:p w14:paraId="0C84381B" w14:textId="77777777" w:rsidR="00E43F0B" w:rsidRDefault="00E43F0B" w:rsidP="006133E3">
      <w:pPr>
        <w:spacing w:line="360" w:lineRule="auto"/>
        <w:ind w:left="2160"/>
        <w:rPr>
          <w:lang w:val="en-US"/>
        </w:rPr>
      </w:pPr>
    </w:p>
    <w:p w14:paraId="59D5DE8C" w14:textId="58A9FE0E" w:rsidR="00C67529" w:rsidRDefault="009E2E23" w:rsidP="006133E3">
      <w:pPr>
        <w:spacing w:line="360" w:lineRule="auto"/>
        <w:ind w:left="2160"/>
        <w:rPr>
          <w:lang w:val="en-US"/>
        </w:rPr>
      </w:pPr>
      <w:r>
        <w:rPr>
          <w:lang w:val="en-US"/>
        </w:rPr>
        <w:t>[10] The Service recommends a public statement to the people of New Zealand acknowledging those who suffered abuse in care. This recommendation is not supported on the basis that the Government considers that the majority of children in care did not suffer abuse, so a universal apology is not warranted. However, apologies are made to individual claimants whose claims are accepted.</w:t>
      </w:r>
    </w:p>
    <w:p w14:paraId="1748C598" w14:textId="5E22ED6B" w:rsidR="00966A2F" w:rsidRPr="00E43F0B" w:rsidRDefault="00E43F0B" w:rsidP="00E43F0B">
      <w:pPr>
        <w:spacing w:after="0" w:line="360" w:lineRule="auto"/>
        <w:ind w:left="1134" w:hanging="567"/>
        <w:rPr>
          <w:rFonts w:ascii="Arial" w:eastAsia="Times New Roman" w:hAnsi="Arial" w:cs="Arial"/>
          <w:color w:val="000000"/>
          <w:sz w:val="24"/>
          <w:szCs w:val="24"/>
          <w:lang w:val="en-US" w:eastAsia="en-NZ"/>
        </w:rPr>
      </w:pPr>
      <w:r>
        <w:rPr>
          <w:rFonts w:ascii="Arial" w:eastAsia="Times New Roman" w:hAnsi="Arial" w:cs="Arial"/>
          <w:color w:val="000000"/>
          <w:sz w:val="24"/>
          <w:szCs w:val="24"/>
          <w:lang w:val="en-US" w:eastAsia="en-NZ"/>
        </w:rPr>
        <w:t>23.</w:t>
      </w:r>
      <w:r>
        <w:rPr>
          <w:rFonts w:ascii="Arial" w:eastAsia="Times New Roman" w:hAnsi="Arial" w:cs="Arial"/>
          <w:color w:val="000000"/>
          <w:sz w:val="24"/>
          <w:szCs w:val="24"/>
          <w:lang w:val="en-US" w:eastAsia="en-NZ"/>
        </w:rPr>
        <w:tab/>
      </w:r>
      <w:r w:rsidR="00832564" w:rsidRPr="00E43F0B">
        <w:rPr>
          <w:rFonts w:ascii="Arial" w:eastAsia="Times New Roman" w:hAnsi="Arial" w:cs="Arial"/>
          <w:color w:val="000000"/>
          <w:sz w:val="24"/>
          <w:szCs w:val="24"/>
          <w:lang w:val="en-US" w:eastAsia="en-NZ"/>
        </w:rPr>
        <w:t>The Expert Panel Final Report “Investing in New Zealand’s Children and their Families”</w:t>
      </w:r>
      <w:r w:rsidR="0055627B" w:rsidRPr="00E43F0B">
        <w:rPr>
          <w:rFonts w:ascii="Arial" w:eastAsia="Times New Roman" w:hAnsi="Arial" w:cs="Arial"/>
          <w:color w:val="000000"/>
          <w:sz w:val="24"/>
          <w:szCs w:val="24"/>
          <w:lang w:val="en-US" w:eastAsia="en-NZ"/>
        </w:rPr>
        <w:t xml:space="preserve"> (April 2016)</w:t>
      </w:r>
      <w:r w:rsidR="00944C41">
        <w:rPr>
          <w:rStyle w:val="FootnoteReference"/>
          <w:rFonts w:ascii="Arial" w:eastAsia="Times New Roman" w:hAnsi="Arial" w:cs="Arial"/>
          <w:color w:val="000000"/>
          <w:sz w:val="24"/>
          <w:szCs w:val="24"/>
          <w:lang w:val="en-US" w:eastAsia="en-NZ"/>
        </w:rPr>
        <w:footnoteReference w:id="9"/>
      </w:r>
      <w:r w:rsidR="0055627B" w:rsidRPr="00E43F0B">
        <w:rPr>
          <w:rFonts w:ascii="Arial" w:eastAsia="Times New Roman" w:hAnsi="Arial" w:cs="Arial"/>
          <w:color w:val="000000"/>
          <w:sz w:val="24"/>
          <w:szCs w:val="24"/>
          <w:lang w:val="en-US" w:eastAsia="en-NZ"/>
        </w:rPr>
        <w:t xml:space="preserve"> did not directly address any mechanism for dealing with historic complaints.</w:t>
      </w:r>
    </w:p>
    <w:p w14:paraId="6BC7CC88" w14:textId="10D59A04" w:rsidR="00021EA7" w:rsidRDefault="00021EA7" w:rsidP="006133E3">
      <w:pPr>
        <w:pStyle w:val="NoSpacing"/>
        <w:spacing w:line="360" w:lineRule="auto"/>
        <w:ind w:left="567"/>
        <w:rPr>
          <w:rFonts w:ascii="Arial" w:hAnsi="Arial" w:cs="Arial"/>
          <w:sz w:val="24"/>
          <w:szCs w:val="24"/>
        </w:rPr>
      </w:pPr>
    </w:p>
    <w:p w14:paraId="21CDCD9D" w14:textId="71B28EE1" w:rsidR="0053085B" w:rsidRDefault="008E5E1F" w:rsidP="006133E3">
      <w:pPr>
        <w:pStyle w:val="Heading3"/>
        <w:numPr>
          <w:ilvl w:val="0"/>
          <w:numId w:val="14"/>
        </w:numPr>
        <w:spacing w:line="360" w:lineRule="auto"/>
        <w:ind w:left="1134" w:hanging="567"/>
        <w:rPr>
          <w:rFonts w:ascii="Arial" w:hAnsi="Arial" w:cs="Arial"/>
          <w:b/>
          <w:color w:val="000000" w:themeColor="text1"/>
          <w:lang w:val="en-NZ"/>
        </w:rPr>
      </w:pPr>
      <w:r>
        <w:rPr>
          <w:rFonts w:ascii="Arial" w:hAnsi="Arial" w:cs="Arial"/>
          <w:b/>
          <w:color w:val="000000" w:themeColor="text1"/>
          <w:lang w:val="en-NZ"/>
        </w:rPr>
        <w:t xml:space="preserve">Allen + Clarke </w:t>
      </w:r>
      <w:r w:rsidR="00F8196B">
        <w:rPr>
          <w:rFonts w:ascii="Arial" w:hAnsi="Arial" w:cs="Arial"/>
          <w:b/>
          <w:color w:val="000000" w:themeColor="text1"/>
          <w:lang w:val="en-NZ"/>
        </w:rPr>
        <w:t>“Claimant Engagement on Historic Claims Resolution Process (June 2018)</w:t>
      </w:r>
      <w:r w:rsidR="00AA7021">
        <w:rPr>
          <w:rStyle w:val="FootnoteReference"/>
          <w:rFonts w:ascii="Arial" w:hAnsi="Arial" w:cs="Arial"/>
          <w:b/>
          <w:color w:val="000000" w:themeColor="text1"/>
          <w:lang w:val="en-NZ"/>
        </w:rPr>
        <w:footnoteReference w:id="10"/>
      </w:r>
      <w:r w:rsidR="00547336">
        <w:rPr>
          <w:rFonts w:ascii="Arial" w:hAnsi="Arial" w:cs="Arial"/>
          <w:b/>
          <w:color w:val="000000" w:themeColor="text1"/>
          <w:lang w:val="en-NZ"/>
        </w:rPr>
        <w:t xml:space="preserve"> </w:t>
      </w:r>
    </w:p>
    <w:p w14:paraId="7C72DFB4" w14:textId="77777777" w:rsidR="00245D60" w:rsidRDefault="00245D60" w:rsidP="00245D60">
      <w:pPr>
        <w:pStyle w:val="ListParagraph"/>
        <w:spacing w:after="0" w:line="360" w:lineRule="auto"/>
        <w:ind w:left="1134"/>
        <w:rPr>
          <w:rFonts w:ascii="Arial" w:hAnsi="Arial" w:cs="Arial"/>
          <w:sz w:val="24"/>
          <w:szCs w:val="24"/>
        </w:rPr>
      </w:pPr>
    </w:p>
    <w:p w14:paraId="0B36487A" w14:textId="7CA26112" w:rsidR="008B7EFB" w:rsidRDefault="003D0190" w:rsidP="006133E3">
      <w:pPr>
        <w:pStyle w:val="ListParagraph"/>
        <w:numPr>
          <w:ilvl w:val="0"/>
          <w:numId w:val="15"/>
        </w:numPr>
        <w:spacing w:after="0" w:line="360" w:lineRule="auto"/>
        <w:ind w:left="1134" w:hanging="567"/>
        <w:rPr>
          <w:rFonts w:ascii="Arial" w:hAnsi="Arial" w:cs="Arial"/>
          <w:sz w:val="24"/>
          <w:szCs w:val="24"/>
        </w:rPr>
      </w:pPr>
      <w:r>
        <w:rPr>
          <w:rFonts w:ascii="Arial" w:hAnsi="Arial" w:cs="Arial"/>
          <w:sz w:val="24"/>
          <w:szCs w:val="24"/>
        </w:rPr>
        <w:t xml:space="preserve">This was </w:t>
      </w:r>
      <w:r w:rsidR="003761D8">
        <w:rPr>
          <w:rFonts w:ascii="Arial" w:hAnsi="Arial" w:cs="Arial"/>
          <w:sz w:val="24"/>
          <w:szCs w:val="24"/>
        </w:rPr>
        <w:t xml:space="preserve">one of two </w:t>
      </w:r>
      <w:r>
        <w:rPr>
          <w:rFonts w:ascii="Arial" w:hAnsi="Arial" w:cs="Arial"/>
          <w:sz w:val="24"/>
          <w:szCs w:val="24"/>
        </w:rPr>
        <w:t>report</w:t>
      </w:r>
      <w:r w:rsidR="003761D8">
        <w:rPr>
          <w:rFonts w:ascii="Arial" w:hAnsi="Arial" w:cs="Arial"/>
          <w:sz w:val="24"/>
          <w:szCs w:val="24"/>
        </w:rPr>
        <w:t>s</w:t>
      </w:r>
      <w:r>
        <w:rPr>
          <w:rFonts w:ascii="Arial" w:hAnsi="Arial" w:cs="Arial"/>
          <w:sz w:val="24"/>
          <w:szCs w:val="24"/>
        </w:rPr>
        <w:t xml:space="preserve"> commissioned by the Ministry of Social Development in relation to the Claims </w:t>
      </w:r>
      <w:r w:rsidR="007A05ED">
        <w:rPr>
          <w:rFonts w:ascii="Arial" w:hAnsi="Arial" w:cs="Arial"/>
          <w:sz w:val="24"/>
          <w:szCs w:val="24"/>
        </w:rPr>
        <w:t xml:space="preserve">Resolution </w:t>
      </w:r>
      <w:r>
        <w:rPr>
          <w:rFonts w:ascii="Arial" w:hAnsi="Arial" w:cs="Arial"/>
          <w:sz w:val="24"/>
          <w:szCs w:val="24"/>
        </w:rPr>
        <w:t>processes utilised by MSD.</w:t>
      </w:r>
      <w:r w:rsidR="0099610F">
        <w:rPr>
          <w:rStyle w:val="FootnoteReference"/>
          <w:rFonts w:ascii="Arial" w:hAnsi="Arial" w:cs="Arial"/>
          <w:sz w:val="24"/>
          <w:szCs w:val="24"/>
        </w:rPr>
        <w:footnoteReference w:id="11"/>
      </w:r>
      <w:r>
        <w:rPr>
          <w:rFonts w:ascii="Arial" w:hAnsi="Arial" w:cs="Arial"/>
          <w:sz w:val="24"/>
          <w:szCs w:val="24"/>
        </w:rPr>
        <w:t xml:space="preserve"> </w:t>
      </w:r>
      <w:r w:rsidR="00AD20AB">
        <w:rPr>
          <w:rFonts w:ascii="Arial" w:hAnsi="Arial" w:cs="Arial"/>
          <w:sz w:val="24"/>
          <w:szCs w:val="24"/>
        </w:rPr>
        <w:t xml:space="preserve">Allen </w:t>
      </w:r>
      <w:r w:rsidR="000C4B1E">
        <w:rPr>
          <w:rFonts w:ascii="Arial" w:hAnsi="Arial" w:cs="Arial"/>
          <w:sz w:val="24"/>
          <w:szCs w:val="24"/>
        </w:rPr>
        <w:t xml:space="preserve">+ </w:t>
      </w:r>
      <w:r w:rsidR="00AD20AB">
        <w:rPr>
          <w:rFonts w:ascii="Arial" w:hAnsi="Arial" w:cs="Arial"/>
          <w:sz w:val="24"/>
          <w:szCs w:val="24"/>
        </w:rPr>
        <w:t xml:space="preserve">Clarke </w:t>
      </w:r>
      <w:r w:rsidR="000C4B1E">
        <w:rPr>
          <w:rFonts w:ascii="Arial" w:hAnsi="Arial" w:cs="Arial"/>
          <w:sz w:val="24"/>
          <w:szCs w:val="24"/>
        </w:rPr>
        <w:t>was requested to engage with claimants to understand their experience of the Claims Resolution Process</w:t>
      </w:r>
      <w:r w:rsidR="00041A5C">
        <w:rPr>
          <w:rFonts w:ascii="Arial" w:hAnsi="Arial" w:cs="Arial"/>
          <w:sz w:val="24"/>
          <w:szCs w:val="24"/>
        </w:rPr>
        <w:t xml:space="preserve">, and to seek feedback on the proposed process designed by MSD. </w:t>
      </w:r>
    </w:p>
    <w:p w14:paraId="2D19669D" w14:textId="77777777" w:rsidR="003069C0" w:rsidRDefault="003069C0" w:rsidP="006133E3">
      <w:pPr>
        <w:pStyle w:val="ListParagraph"/>
        <w:spacing w:after="0" w:line="360" w:lineRule="auto"/>
        <w:ind w:left="1134"/>
        <w:rPr>
          <w:rFonts w:ascii="Arial" w:hAnsi="Arial" w:cs="Arial"/>
          <w:sz w:val="24"/>
          <w:szCs w:val="24"/>
        </w:rPr>
      </w:pPr>
    </w:p>
    <w:p w14:paraId="7D316040" w14:textId="243174C0" w:rsidR="003069C0" w:rsidRDefault="003069C0" w:rsidP="006133E3">
      <w:pPr>
        <w:pStyle w:val="ListParagraph"/>
        <w:numPr>
          <w:ilvl w:val="0"/>
          <w:numId w:val="15"/>
        </w:numPr>
        <w:spacing w:after="0" w:line="360" w:lineRule="auto"/>
        <w:ind w:left="1134" w:hanging="567"/>
        <w:rPr>
          <w:rFonts w:ascii="Arial" w:hAnsi="Arial" w:cs="Arial"/>
          <w:sz w:val="24"/>
          <w:szCs w:val="24"/>
        </w:rPr>
      </w:pPr>
      <w:r>
        <w:rPr>
          <w:rFonts w:ascii="Arial" w:hAnsi="Arial" w:cs="Arial"/>
          <w:sz w:val="24"/>
          <w:szCs w:val="24"/>
        </w:rPr>
        <w:t>Allen + Clarke engaged with 13 claimants and two support people, across Auckland, Waikato, Hawke’s Bay and Christchurch.</w:t>
      </w:r>
    </w:p>
    <w:p w14:paraId="1B18DCCC" w14:textId="77777777" w:rsidR="007A020F" w:rsidRPr="007A020F" w:rsidRDefault="007A020F" w:rsidP="006133E3">
      <w:pPr>
        <w:pStyle w:val="ListParagraph"/>
        <w:spacing w:line="360" w:lineRule="auto"/>
        <w:rPr>
          <w:rFonts w:ascii="Arial" w:hAnsi="Arial" w:cs="Arial"/>
          <w:sz w:val="24"/>
          <w:szCs w:val="24"/>
        </w:rPr>
      </w:pPr>
    </w:p>
    <w:p w14:paraId="1858A0AD" w14:textId="1DF2A2FD" w:rsidR="007A020F" w:rsidRDefault="008835A0" w:rsidP="006133E3">
      <w:pPr>
        <w:pStyle w:val="ListParagraph"/>
        <w:numPr>
          <w:ilvl w:val="0"/>
          <w:numId w:val="15"/>
        </w:numPr>
        <w:spacing w:after="0" w:line="360" w:lineRule="auto"/>
        <w:ind w:left="1134" w:hanging="567"/>
        <w:rPr>
          <w:rFonts w:ascii="Arial" w:hAnsi="Arial" w:cs="Arial"/>
          <w:sz w:val="24"/>
          <w:szCs w:val="24"/>
        </w:rPr>
      </w:pPr>
      <w:r>
        <w:rPr>
          <w:rFonts w:ascii="Arial" w:hAnsi="Arial" w:cs="Arial"/>
          <w:sz w:val="24"/>
          <w:szCs w:val="24"/>
        </w:rPr>
        <w:lastRenderedPageBreak/>
        <w:t>The report listed a</w:t>
      </w:r>
      <w:r w:rsidR="004940E2">
        <w:rPr>
          <w:rFonts w:ascii="Arial" w:hAnsi="Arial" w:cs="Arial"/>
          <w:sz w:val="24"/>
          <w:szCs w:val="24"/>
        </w:rPr>
        <w:t xml:space="preserve"> number </w:t>
      </w:r>
      <w:r>
        <w:rPr>
          <w:rFonts w:ascii="Arial" w:hAnsi="Arial" w:cs="Arial"/>
          <w:sz w:val="24"/>
          <w:szCs w:val="24"/>
        </w:rPr>
        <w:t xml:space="preserve">of areas for improvement </w:t>
      </w:r>
      <w:r w:rsidR="004940E2">
        <w:rPr>
          <w:rFonts w:ascii="Arial" w:hAnsi="Arial" w:cs="Arial"/>
          <w:sz w:val="24"/>
          <w:szCs w:val="24"/>
        </w:rPr>
        <w:t xml:space="preserve">as identified </w:t>
      </w:r>
      <w:r w:rsidR="00776819">
        <w:rPr>
          <w:rFonts w:ascii="Arial" w:hAnsi="Arial" w:cs="Arial"/>
          <w:sz w:val="24"/>
          <w:szCs w:val="24"/>
        </w:rPr>
        <w:t xml:space="preserve">by </w:t>
      </w:r>
      <w:r>
        <w:rPr>
          <w:rFonts w:ascii="Arial" w:hAnsi="Arial" w:cs="Arial"/>
          <w:sz w:val="24"/>
          <w:szCs w:val="24"/>
        </w:rPr>
        <w:t>claimant</w:t>
      </w:r>
      <w:r w:rsidR="00776819">
        <w:rPr>
          <w:rFonts w:ascii="Arial" w:hAnsi="Arial" w:cs="Arial"/>
          <w:sz w:val="24"/>
          <w:szCs w:val="24"/>
        </w:rPr>
        <w:t>s</w:t>
      </w:r>
      <w:r>
        <w:rPr>
          <w:rFonts w:ascii="Arial" w:hAnsi="Arial" w:cs="Arial"/>
          <w:sz w:val="24"/>
          <w:szCs w:val="24"/>
        </w:rPr>
        <w:t>:</w:t>
      </w:r>
      <w:r w:rsidR="00BC1BB5">
        <w:rPr>
          <w:rFonts w:ascii="Arial" w:hAnsi="Arial" w:cs="Arial"/>
          <w:sz w:val="24"/>
          <w:szCs w:val="24"/>
        </w:rPr>
        <w:t xml:space="preserve"> </w:t>
      </w:r>
    </w:p>
    <w:p w14:paraId="2063D938" w14:textId="4AEE7A15" w:rsidR="008835A0" w:rsidRDefault="008835A0" w:rsidP="006133E3">
      <w:pPr>
        <w:pStyle w:val="ListParagraph"/>
        <w:spacing w:line="360" w:lineRule="auto"/>
        <w:ind w:left="1440"/>
        <w:rPr>
          <w:rFonts w:ascii="Arial" w:hAnsi="Arial" w:cs="Arial"/>
          <w:sz w:val="24"/>
          <w:szCs w:val="24"/>
        </w:rPr>
      </w:pPr>
    </w:p>
    <w:p w14:paraId="39CE41CF" w14:textId="6A3058C8" w:rsidR="008835A0" w:rsidRPr="009B3DC3" w:rsidRDefault="00507E20" w:rsidP="004C0544">
      <w:pPr>
        <w:pStyle w:val="ListParagraph"/>
        <w:spacing w:line="360" w:lineRule="auto"/>
        <w:ind w:left="1440"/>
        <w:rPr>
          <w:rFonts w:ascii="Arial" w:hAnsi="Arial" w:cs="Arial"/>
          <w:i/>
          <w:iCs/>
          <w:sz w:val="24"/>
          <w:szCs w:val="24"/>
        </w:rPr>
      </w:pPr>
      <w:r w:rsidRPr="009B3DC3">
        <w:rPr>
          <w:rFonts w:ascii="Arial" w:hAnsi="Arial" w:cs="Arial"/>
          <w:i/>
          <w:iCs/>
          <w:sz w:val="24"/>
          <w:szCs w:val="24"/>
        </w:rPr>
        <w:t>Initial claim and intake</w:t>
      </w:r>
    </w:p>
    <w:p w14:paraId="4A00EBD3" w14:textId="3AE1D77B" w:rsidR="008835A0" w:rsidRDefault="008835A0"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 xml:space="preserve">Provide access to a counsellor or other mental </w:t>
      </w:r>
      <w:r w:rsidR="00E649D0">
        <w:rPr>
          <w:rFonts w:ascii="Arial" w:hAnsi="Arial" w:cs="Arial"/>
          <w:sz w:val="24"/>
          <w:szCs w:val="24"/>
        </w:rPr>
        <w:t xml:space="preserve">health </w:t>
      </w:r>
      <w:r>
        <w:rPr>
          <w:rFonts w:ascii="Arial" w:hAnsi="Arial" w:cs="Arial"/>
          <w:sz w:val="24"/>
          <w:szCs w:val="24"/>
        </w:rPr>
        <w:t>professional to help support people through the process of reading through the personal file information</w:t>
      </w:r>
      <w:r w:rsidR="004C0544">
        <w:rPr>
          <w:rFonts w:ascii="Arial" w:hAnsi="Arial" w:cs="Arial"/>
          <w:sz w:val="24"/>
          <w:szCs w:val="24"/>
        </w:rPr>
        <w:t>.</w:t>
      </w:r>
    </w:p>
    <w:p w14:paraId="03BFB3F1" w14:textId="77777777" w:rsidR="00151413" w:rsidRDefault="001830C2"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Go through the file with claimants during the intake interview, so that concerns and questions could be addressed immediately.</w:t>
      </w:r>
    </w:p>
    <w:p w14:paraId="13D974CF" w14:textId="1D90374B" w:rsidR="001830C2" w:rsidRPr="00151413" w:rsidRDefault="00C408B7" w:rsidP="006133E3">
      <w:pPr>
        <w:pStyle w:val="ListParagraph"/>
        <w:numPr>
          <w:ilvl w:val="0"/>
          <w:numId w:val="27"/>
        </w:numPr>
        <w:spacing w:after="0" w:line="360" w:lineRule="auto"/>
        <w:rPr>
          <w:rFonts w:ascii="Arial" w:hAnsi="Arial" w:cs="Arial"/>
          <w:sz w:val="24"/>
          <w:szCs w:val="24"/>
        </w:rPr>
      </w:pPr>
      <w:r w:rsidRPr="00151413">
        <w:rPr>
          <w:rFonts w:ascii="Arial" w:hAnsi="Arial" w:cs="Arial"/>
          <w:sz w:val="24"/>
          <w:szCs w:val="24"/>
        </w:rPr>
        <w:t xml:space="preserve">Provide sufficient notice (one month suggested) when arranging the </w:t>
      </w:r>
      <w:r w:rsidR="00151413">
        <w:rPr>
          <w:rFonts w:ascii="Arial" w:hAnsi="Arial" w:cs="Arial"/>
          <w:sz w:val="24"/>
          <w:szCs w:val="24"/>
        </w:rPr>
        <w:t xml:space="preserve">intake </w:t>
      </w:r>
      <w:r w:rsidRPr="00151413">
        <w:rPr>
          <w:rFonts w:ascii="Arial" w:hAnsi="Arial" w:cs="Arial"/>
          <w:sz w:val="24"/>
          <w:szCs w:val="24"/>
        </w:rPr>
        <w:t>interview, to allow time for the claimant to organise work and childcare arrangements.</w:t>
      </w:r>
    </w:p>
    <w:p w14:paraId="1A72526F" w14:textId="1952EFB7" w:rsidR="00C408B7" w:rsidRDefault="00C408B7"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Consider increasing length of time for the intake interview to three hours.</w:t>
      </w:r>
    </w:p>
    <w:p w14:paraId="3BBDD8CF" w14:textId="77777777" w:rsidR="0062584F" w:rsidRDefault="00C408B7"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Investigate options for a different resolution process that is concluded on a single day with only one meeting with the claimant.</w:t>
      </w:r>
    </w:p>
    <w:p w14:paraId="5F0C7DBE" w14:textId="4F52EF94" w:rsidR="00CE15CF" w:rsidRPr="0062584F" w:rsidRDefault="00CE15CF" w:rsidP="006133E3">
      <w:pPr>
        <w:pStyle w:val="ListParagraph"/>
        <w:numPr>
          <w:ilvl w:val="0"/>
          <w:numId w:val="27"/>
        </w:numPr>
        <w:spacing w:after="0" w:line="360" w:lineRule="auto"/>
        <w:rPr>
          <w:rFonts w:ascii="Arial" w:hAnsi="Arial" w:cs="Arial"/>
          <w:sz w:val="24"/>
          <w:szCs w:val="24"/>
        </w:rPr>
      </w:pPr>
      <w:r w:rsidRPr="0062584F">
        <w:rPr>
          <w:rFonts w:ascii="Arial" w:hAnsi="Arial" w:cs="Arial"/>
          <w:sz w:val="24"/>
          <w:szCs w:val="24"/>
        </w:rPr>
        <w:t>Consider using staff with a shared lived experience to engage with claimants.</w:t>
      </w:r>
    </w:p>
    <w:p w14:paraId="014CD615" w14:textId="12B1D873" w:rsidR="00CE15CF" w:rsidRDefault="00CE15CF"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Ensure all staff that have direct contact with claimants have specialised training in discussing abuse and neglect.</w:t>
      </w:r>
    </w:p>
    <w:p w14:paraId="4ABB68D7" w14:textId="5079AF1B" w:rsidR="000E17B3" w:rsidRDefault="000E17B3"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Provide claimants access to appropriate mental health support as soon as they lodge a claim and maintain support throughout the process, for as long as this is needed.</w:t>
      </w:r>
    </w:p>
    <w:p w14:paraId="673F865C" w14:textId="2909E279" w:rsidR="000E17B3" w:rsidRDefault="000E17B3"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 xml:space="preserve">Consider also providing support to cover the logistics of accessing mental health services (e.g. transport and </w:t>
      </w:r>
      <w:r w:rsidR="000E06FF">
        <w:rPr>
          <w:rFonts w:ascii="Arial" w:hAnsi="Arial" w:cs="Arial"/>
          <w:sz w:val="24"/>
          <w:szCs w:val="24"/>
        </w:rPr>
        <w:t>childcare</w:t>
      </w:r>
      <w:r>
        <w:rPr>
          <w:rFonts w:ascii="Arial" w:hAnsi="Arial" w:cs="Arial"/>
          <w:sz w:val="24"/>
          <w:szCs w:val="24"/>
        </w:rPr>
        <w:t xml:space="preserve">). </w:t>
      </w:r>
    </w:p>
    <w:p w14:paraId="49AE1331" w14:textId="4A5D4B85" w:rsidR="00815416" w:rsidRDefault="00815416" w:rsidP="006133E3">
      <w:pPr>
        <w:spacing w:after="0" w:line="360" w:lineRule="auto"/>
        <w:ind w:left="1494"/>
        <w:rPr>
          <w:rFonts w:ascii="Arial" w:hAnsi="Arial" w:cs="Arial"/>
          <w:sz w:val="24"/>
          <w:szCs w:val="24"/>
        </w:rPr>
      </w:pPr>
    </w:p>
    <w:p w14:paraId="782710D1" w14:textId="13E47873" w:rsidR="00815416" w:rsidRPr="004C0544" w:rsidRDefault="00815416" w:rsidP="004C0544">
      <w:pPr>
        <w:spacing w:after="0" w:line="360" w:lineRule="auto"/>
        <w:ind w:left="1440"/>
        <w:rPr>
          <w:rFonts w:ascii="Arial" w:hAnsi="Arial" w:cs="Arial"/>
          <w:i/>
          <w:iCs/>
          <w:sz w:val="24"/>
          <w:szCs w:val="24"/>
        </w:rPr>
      </w:pPr>
      <w:r w:rsidRPr="004C0544">
        <w:rPr>
          <w:rFonts w:ascii="Arial" w:hAnsi="Arial" w:cs="Arial"/>
          <w:i/>
          <w:iCs/>
          <w:sz w:val="24"/>
          <w:szCs w:val="24"/>
        </w:rPr>
        <w:t>Reviewing claims</w:t>
      </w:r>
    </w:p>
    <w:p w14:paraId="0224B78C" w14:textId="59F20E80" w:rsidR="00815416" w:rsidRDefault="00CA1DC3"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Make pro-active contact with claimants from the beginning of the process to check in and update on progress (phone, email or letter).</w:t>
      </w:r>
    </w:p>
    <w:p w14:paraId="3623381E" w14:textId="11F15392" w:rsidR="00CA1DC3" w:rsidRDefault="00385B86"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 xml:space="preserve">Develop an online ‘tracking’ system where claimants could log in and see the progress of their claim. </w:t>
      </w:r>
    </w:p>
    <w:p w14:paraId="721FC614" w14:textId="51344898" w:rsidR="00385B86" w:rsidRDefault="00941B25"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lastRenderedPageBreak/>
        <w:t>Reduce the timeframes from lodging to resolving claims to less than 12 months.</w:t>
      </w:r>
    </w:p>
    <w:p w14:paraId="5DD1D5CB" w14:textId="462127E9" w:rsidR="00941B25" w:rsidRDefault="00941B25"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Develop a single claims resolution process for all abuse regardless of the entity involved.</w:t>
      </w:r>
    </w:p>
    <w:p w14:paraId="0104E78C" w14:textId="4FC458D0" w:rsidR="00941B25" w:rsidRDefault="00941B25"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Set up a claims resolution process that is independent of MSD</w:t>
      </w:r>
      <w:r w:rsidR="00AC2BD6">
        <w:rPr>
          <w:rFonts w:ascii="Arial" w:hAnsi="Arial" w:cs="Arial"/>
          <w:sz w:val="24"/>
          <w:szCs w:val="24"/>
        </w:rPr>
        <w:t>.</w:t>
      </w:r>
    </w:p>
    <w:p w14:paraId="3A901109" w14:textId="13861FC6" w:rsidR="005E3FAB" w:rsidRDefault="005E3FAB" w:rsidP="006133E3">
      <w:pPr>
        <w:spacing w:after="0" w:line="360" w:lineRule="auto"/>
        <w:ind w:left="1494"/>
        <w:rPr>
          <w:rFonts w:ascii="Arial" w:hAnsi="Arial" w:cs="Arial"/>
          <w:sz w:val="24"/>
          <w:szCs w:val="24"/>
        </w:rPr>
      </w:pPr>
    </w:p>
    <w:p w14:paraId="1B7DB9B6" w14:textId="3CA410B1" w:rsidR="005E3FAB" w:rsidRPr="004C0544" w:rsidRDefault="005E3FAB" w:rsidP="006133E3">
      <w:pPr>
        <w:spacing w:after="0" w:line="360" w:lineRule="auto"/>
        <w:ind w:left="1494"/>
        <w:rPr>
          <w:rFonts w:ascii="Arial" w:hAnsi="Arial" w:cs="Arial"/>
          <w:i/>
          <w:iCs/>
          <w:sz w:val="24"/>
          <w:szCs w:val="24"/>
        </w:rPr>
      </w:pPr>
      <w:r w:rsidRPr="004C0544">
        <w:rPr>
          <w:rFonts w:ascii="Arial" w:hAnsi="Arial" w:cs="Arial"/>
          <w:i/>
          <w:iCs/>
          <w:sz w:val="24"/>
          <w:szCs w:val="24"/>
        </w:rPr>
        <w:t>Claims resolution</w:t>
      </w:r>
    </w:p>
    <w:p w14:paraId="25DAA3A3" w14:textId="7827E0AC" w:rsidR="005E3FAB" w:rsidRDefault="00727354"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Determine payment levels by the impact of the abuse rather than the type of abuse experienced.</w:t>
      </w:r>
    </w:p>
    <w:p w14:paraId="2CE32A23" w14:textId="103F3E95" w:rsidR="00727354" w:rsidRDefault="00727354"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Explore options for any claimant to have access to subsidised mental health support regardless of the type of abuse suffered.</w:t>
      </w:r>
    </w:p>
    <w:p w14:paraId="65508450" w14:textId="13838192" w:rsidR="00727354" w:rsidRDefault="00257966"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 xml:space="preserve">Consider providing a hand-written letter of apology as this is seen as somewhat more genuine. </w:t>
      </w:r>
    </w:p>
    <w:p w14:paraId="370E8D17" w14:textId="448F9C64" w:rsidR="00A075F9" w:rsidRDefault="00A075F9"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 xml:space="preserve">Develop a feedback loop for claims resolution to policy in </w:t>
      </w:r>
      <w:proofErr w:type="spellStart"/>
      <w:r>
        <w:rPr>
          <w:rFonts w:ascii="Arial" w:hAnsi="Arial" w:cs="Arial"/>
          <w:sz w:val="24"/>
          <w:szCs w:val="24"/>
        </w:rPr>
        <w:t>Oranga</w:t>
      </w:r>
      <w:proofErr w:type="spellEnd"/>
      <w:r>
        <w:rPr>
          <w:rFonts w:ascii="Arial" w:hAnsi="Arial" w:cs="Arial"/>
          <w:sz w:val="24"/>
          <w:szCs w:val="24"/>
        </w:rPr>
        <w:t xml:space="preserve"> Tamariki.</w:t>
      </w:r>
    </w:p>
    <w:p w14:paraId="546F78F3" w14:textId="6E22CDDD" w:rsidR="00A075F9" w:rsidRDefault="00A075F9"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Establish a peer support network that claimants can choose to connect with.</w:t>
      </w:r>
    </w:p>
    <w:p w14:paraId="48408847" w14:textId="2FF75F53" w:rsidR="00A075F9" w:rsidRDefault="00A075F9" w:rsidP="006133E3">
      <w:pPr>
        <w:pStyle w:val="ListParagraph"/>
        <w:numPr>
          <w:ilvl w:val="0"/>
          <w:numId w:val="27"/>
        </w:numPr>
        <w:spacing w:after="0" w:line="360" w:lineRule="auto"/>
        <w:rPr>
          <w:rFonts w:ascii="Arial" w:hAnsi="Arial" w:cs="Arial"/>
          <w:sz w:val="24"/>
          <w:szCs w:val="24"/>
        </w:rPr>
      </w:pPr>
      <w:r>
        <w:rPr>
          <w:rFonts w:ascii="Arial" w:hAnsi="Arial" w:cs="Arial"/>
          <w:sz w:val="24"/>
          <w:szCs w:val="24"/>
        </w:rPr>
        <w:t>Consider providing access to other mental health support services after claim closure.</w:t>
      </w:r>
    </w:p>
    <w:p w14:paraId="5234FB84" w14:textId="77777777" w:rsidR="008835A0" w:rsidRPr="008835A0" w:rsidRDefault="008835A0" w:rsidP="006133E3">
      <w:pPr>
        <w:pStyle w:val="ListParagraph"/>
        <w:spacing w:line="360" w:lineRule="auto"/>
        <w:rPr>
          <w:rFonts w:ascii="Arial" w:hAnsi="Arial" w:cs="Arial"/>
          <w:sz w:val="24"/>
          <w:szCs w:val="24"/>
        </w:rPr>
      </w:pPr>
    </w:p>
    <w:p w14:paraId="7868A84D" w14:textId="3E9BDCE6" w:rsidR="00405BB0" w:rsidRDefault="00405BB0" w:rsidP="006133E3">
      <w:pPr>
        <w:pStyle w:val="ListParagraph"/>
        <w:numPr>
          <w:ilvl w:val="0"/>
          <w:numId w:val="15"/>
        </w:numPr>
        <w:spacing w:after="0" w:line="360" w:lineRule="auto"/>
        <w:ind w:left="1134" w:hanging="567"/>
        <w:rPr>
          <w:rFonts w:ascii="Arial" w:hAnsi="Arial" w:cs="Arial"/>
          <w:sz w:val="24"/>
          <w:szCs w:val="24"/>
        </w:rPr>
      </w:pPr>
      <w:r>
        <w:rPr>
          <w:rFonts w:ascii="Arial" w:hAnsi="Arial" w:cs="Arial"/>
          <w:sz w:val="24"/>
          <w:szCs w:val="24"/>
        </w:rPr>
        <w:t>MSD released a response to the two consultations.</w:t>
      </w:r>
      <w:r w:rsidR="00493C95">
        <w:rPr>
          <w:rStyle w:val="FootnoteReference"/>
          <w:rFonts w:ascii="Arial" w:hAnsi="Arial" w:cs="Arial"/>
          <w:sz w:val="24"/>
          <w:szCs w:val="24"/>
        </w:rPr>
        <w:footnoteReference w:id="12"/>
      </w:r>
      <w:r>
        <w:rPr>
          <w:rFonts w:ascii="Arial" w:hAnsi="Arial" w:cs="Arial"/>
          <w:sz w:val="24"/>
          <w:szCs w:val="24"/>
        </w:rPr>
        <w:t xml:space="preserve"> It does not deal specifically with each recommendation from the Allen + Clarke report, but responds and makes suggestions that are relevant, including:</w:t>
      </w:r>
    </w:p>
    <w:p w14:paraId="7B04144C" w14:textId="77777777" w:rsidR="004C0544" w:rsidRDefault="004C0544" w:rsidP="004C0544">
      <w:pPr>
        <w:pStyle w:val="ListParagraph"/>
        <w:spacing w:after="0" w:line="360" w:lineRule="auto"/>
        <w:ind w:left="2430"/>
        <w:rPr>
          <w:rFonts w:ascii="Arial" w:hAnsi="Arial" w:cs="Arial"/>
          <w:sz w:val="24"/>
          <w:szCs w:val="24"/>
        </w:rPr>
      </w:pPr>
    </w:p>
    <w:p w14:paraId="56F7F2E4" w14:textId="051468C6" w:rsidR="002A03AD" w:rsidRDefault="00405BB0" w:rsidP="00493C95">
      <w:pPr>
        <w:pStyle w:val="ListParagraph"/>
        <w:numPr>
          <w:ilvl w:val="0"/>
          <w:numId w:val="29"/>
        </w:numPr>
        <w:spacing w:after="0" w:line="360" w:lineRule="auto"/>
        <w:ind w:left="1800"/>
        <w:rPr>
          <w:rFonts w:ascii="Arial" w:hAnsi="Arial" w:cs="Arial"/>
          <w:sz w:val="24"/>
          <w:szCs w:val="24"/>
        </w:rPr>
      </w:pPr>
      <w:r>
        <w:rPr>
          <w:rFonts w:ascii="Arial" w:hAnsi="Arial" w:cs="Arial"/>
          <w:sz w:val="24"/>
          <w:szCs w:val="24"/>
        </w:rPr>
        <w:t xml:space="preserve">MSD agrees there is a need to improve communication with claimants to ensure they are aware of the process upfront and kept in the loop throughout. It will ensure its communication strategy addresses these aspects of communication, and will investigate options for a case management system with unique identifier </w:t>
      </w:r>
      <w:r>
        <w:rPr>
          <w:rFonts w:ascii="Arial" w:hAnsi="Arial" w:cs="Arial"/>
          <w:sz w:val="24"/>
          <w:szCs w:val="24"/>
        </w:rPr>
        <w:lastRenderedPageBreak/>
        <w:t>number so that claimants do not have to give details of their claims multiple times.</w:t>
      </w:r>
    </w:p>
    <w:p w14:paraId="65B420E0" w14:textId="77777777" w:rsidR="008B739B" w:rsidRDefault="008B739B" w:rsidP="008B739B">
      <w:pPr>
        <w:pStyle w:val="ListParagraph"/>
        <w:spacing w:after="0" w:line="360" w:lineRule="auto"/>
        <w:ind w:left="1800"/>
        <w:rPr>
          <w:rFonts w:ascii="Arial" w:hAnsi="Arial" w:cs="Arial"/>
          <w:sz w:val="24"/>
          <w:szCs w:val="24"/>
        </w:rPr>
      </w:pPr>
    </w:p>
    <w:p w14:paraId="2EE6EBCC" w14:textId="4A60268F" w:rsidR="00247743" w:rsidRDefault="00247743" w:rsidP="008B739B">
      <w:pPr>
        <w:pStyle w:val="ListParagraph"/>
        <w:numPr>
          <w:ilvl w:val="0"/>
          <w:numId w:val="29"/>
        </w:numPr>
        <w:spacing w:after="0" w:line="360" w:lineRule="auto"/>
        <w:ind w:left="1800"/>
        <w:rPr>
          <w:rFonts w:ascii="Arial" w:hAnsi="Arial" w:cs="Arial"/>
          <w:sz w:val="24"/>
          <w:szCs w:val="24"/>
        </w:rPr>
      </w:pPr>
      <w:r>
        <w:rPr>
          <w:rFonts w:ascii="Arial" w:hAnsi="Arial" w:cs="Arial"/>
          <w:sz w:val="24"/>
          <w:szCs w:val="24"/>
        </w:rPr>
        <w:t>MSD acknowledges the process currently takes too long, and notes it is designing a new process to improve service to claimants.</w:t>
      </w:r>
    </w:p>
    <w:p w14:paraId="18BB024C" w14:textId="77777777" w:rsidR="008B739B" w:rsidRDefault="008B739B" w:rsidP="008B739B">
      <w:pPr>
        <w:pStyle w:val="ListParagraph"/>
        <w:spacing w:after="0" w:line="360" w:lineRule="auto"/>
        <w:ind w:left="1800"/>
        <w:rPr>
          <w:rFonts w:ascii="Arial" w:hAnsi="Arial" w:cs="Arial"/>
          <w:sz w:val="24"/>
          <w:szCs w:val="24"/>
        </w:rPr>
      </w:pPr>
    </w:p>
    <w:p w14:paraId="1E7013F8" w14:textId="4A5E24EA" w:rsidR="00247743" w:rsidRDefault="000E6806" w:rsidP="008B739B">
      <w:pPr>
        <w:pStyle w:val="ListParagraph"/>
        <w:numPr>
          <w:ilvl w:val="0"/>
          <w:numId w:val="29"/>
        </w:numPr>
        <w:spacing w:after="0" w:line="360" w:lineRule="auto"/>
        <w:ind w:left="1800"/>
        <w:rPr>
          <w:rFonts w:ascii="Arial" w:hAnsi="Arial" w:cs="Arial"/>
          <w:sz w:val="24"/>
          <w:szCs w:val="24"/>
        </w:rPr>
      </w:pPr>
      <w:r>
        <w:rPr>
          <w:rFonts w:ascii="Arial" w:hAnsi="Arial" w:cs="Arial"/>
          <w:sz w:val="24"/>
          <w:szCs w:val="24"/>
        </w:rPr>
        <w:t xml:space="preserve">MSD will develop a recruitment strategy that builds diversity into the </w:t>
      </w:r>
      <w:r w:rsidR="00D80AFE">
        <w:rPr>
          <w:rFonts w:ascii="Arial" w:hAnsi="Arial" w:cs="Arial"/>
          <w:sz w:val="24"/>
          <w:szCs w:val="24"/>
        </w:rPr>
        <w:t xml:space="preserve">workforce, and investigate inclusion of support workers and </w:t>
      </w:r>
      <w:r w:rsidR="001B4C0D">
        <w:rPr>
          <w:rFonts w:ascii="Arial" w:hAnsi="Arial" w:cs="Arial"/>
          <w:sz w:val="24"/>
          <w:szCs w:val="24"/>
        </w:rPr>
        <w:t xml:space="preserve">facilitators </w:t>
      </w:r>
      <w:r w:rsidR="00D80AFE">
        <w:rPr>
          <w:rFonts w:ascii="Arial" w:hAnsi="Arial" w:cs="Arial"/>
          <w:sz w:val="24"/>
          <w:szCs w:val="24"/>
        </w:rPr>
        <w:t xml:space="preserve">in the workforce model. </w:t>
      </w:r>
    </w:p>
    <w:p w14:paraId="005AE13A" w14:textId="77777777" w:rsidR="008B739B" w:rsidRDefault="008B739B" w:rsidP="008B739B">
      <w:pPr>
        <w:pStyle w:val="ListParagraph"/>
        <w:spacing w:after="0" w:line="360" w:lineRule="auto"/>
        <w:ind w:left="1800"/>
        <w:rPr>
          <w:rFonts w:ascii="Arial" w:hAnsi="Arial" w:cs="Arial"/>
          <w:sz w:val="24"/>
          <w:szCs w:val="24"/>
        </w:rPr>
      </w:pPr>
    </w:p>
    <w:p w14:paraId="2627EFB4" w14:textId="03028CB0" w:rsidR="001B4C0D" w:rsidRDefault="001B4C0D" w:rsidP="008B739B">
      <w:pPr>
        <w:pStyle w:val="ListParagraph"/>
        <w:numPr>
          <w:ilvl w:val="0"/>
          <w:numId w:val="29"/>
        </w:numPr>
        <w:spacing w:after="0" w:line="360" w:lineRule="auto"/>
        <w:ind w:left="1800"/>
        <w:rPr>
          <w:rFonts w:ascii="Arial" w:hAnsi="Arial" w:cs="Arial"/>
          <w:sz w:val="24"/>
          <w:szCs w:val="24"/>
        </w:rPr>
      </w:pPr>
      <w:r>
        <w:rPr>
          <w:rFonts w:ascii="Arial" w:hAnsi="Arial" w:cs="Arial"/>
          <w:sz w:val="24"/>
          <w:szCs w:val="24"/>
        </w:rPr>
        <w:t>MSD notes that access to counselling is already part of the service to claimants</w:t>
      </w:r>
      <w:r w:rsidR="005326EB">
        <w:rPr>
          <w:rFonts w:ascii="Arial" w:hAnsi="Arial" w:cs="Arial"/>
          <w:sz w:val="24"/>
          <w:szCs w:val="24"/>
        </w:rPr>
        <w:t>, and commit</w:t>
      </w:r>
      <w:r w:rsidR="00C963F9">
        <w:rPr>
          <w:rFonts w:ascii="Arial" w:hAnsi="Arial" w:cs="Arial"/>
          <w:sz w:val="24"/>
          <w:szCs w:val="24"/>
        </w:rPr>
        <w:t>s</w:t>
      </w:r>
      <w:r w:rsidR="005326EB">
        <w:rPr>
          <w:rFonts w:ascii="Arial" w:hAnsi="Arial" w:cs="Arial"/>
          <w:sz w:val="24"/>
          <w:szCs w:val="24"/>
        </w:rPr>
        <w:t xml:space="preserve"> to improve communication to ensure claimants can access the services, and investigate other wraparound services that enable claimants to access services throughout the process.</w:t>
      </w:r>
    </w:p>
    <w:p w14:paraId="5E0E5FD5" w14:textId="77777777" w:rsidR="008B739B" w:rsidRDefault="008B739B" w:rsidP="008B739B">
      <w:pPr>
        <w:pStyle w:val="ListParagraph"/>
        <w:spacing w:after="0" w:line="360" w:lineRule="auto"/>
        <w:ind w:left="1800"/>
        <w:rPr>
          <w:rFonts w:ascii="Arial" w:hAnsi="Arial" w:cs="Arial"/>
          <w:sz w:val="24"/>
          <w:szCs w:val="24"/>
        </w:rPr>
      </w:pPr>
    </w:p>
    <w:p w14:paraId="4844A324" w14:textId="397F272B" w:rsidR="00480A93" w:rsidRDefault="007B03FE" w:rsidP="008B739B">
      <w:pPr>
        <w:pStyle w:val="ListParagraph"/>
        <w:numPr>
          <w:ilvl w:val="0"/>
          <w:numId w:val="29"/>
        </w:numPr>
        <w:spacing w:after="0" w:line="360" w:lineRule="auto"/>
        <w:ind w:left="1800"/>
        <w:rPr>
          <w:rFonts w:ascii="Arial" w:hAnsi="Arial" w:cs="Arial"/>
          <w:sz w:val="24"/>
          <w:szCs w:val="24"/>
        </w:rPr>
      </w:pPr>
      <w:r>
        <w:rPr>
          <w:rFonts w:ascii="Arial" w:hAnsi="Arial" w:cs="Arial"/>
          <w:sz w:val="24"/>
          <w:szCs w:val="24"/>
        </w:rPr>
        <w:t>MSD also commits to exploring how records can be presented in a way that aids comprehension and understanding.</w:t>
      </w:r>
    </w:p>
    <w:p w14:paraId="4AA9E10D" w14:textId="77777777" w:rsidR="000B1C46" w:rsidRDefault="000B1C46" w:rsidP="006133E3">
      <w:pPr>
        <w:pStyle w:val="ListParagraph"/>
        <w:spacing w:after="0" w:line="360" w:lineRule="auto"/>
        <w:ind w:left="2430"/>
        <w:rPr>
          <w:rFonts w:ascii="Arial" w:hAnsi="Arial" w:cs="Arial"/>
          <w:sz w:val="24"/>
          <w:szCs w:val="24"/>
        </w:rPr>
      </w:pPr>
    </w:p>
    <w:p w14:paraId="7D7369E8" w14:textId="379EEAFA" w:rsidR="007B03FE" w:rsidRPr="007B03FE" w:rsidRDefault="007B03FE" w:rsidP="006133E3">
      <w:pPr>
        <w:pStyle w:val="ListParagraph"/>
        <w:numPr>
          <w:ilvl w:val="0"/>
          <w:numId w:val="15"/>
        </w:numPr>
        <w:spacing w:after="0" w:line="360" w:lineRule="auto"/>
        <w:ind w:left="1134" w:hanging="567"/>
        <w:rPr>
          <w:rFonts w:ascii="Arial" w:hAnsi="Arial" w:cs="Arial"/>
          <w:sz w:val="24"/>
          <w:szCs w:val="24"/>
        </w:rPr>
      </w:pPr>
      <w:r>
        <w:rPr>
          <w:rFonts w:ascii="Arial" w:hAnsi="Arial" w:cs="Arial"/>
          <w:sz w:val="24"/>
          <w:szCs w:val="24"/>
        </w:rPr>
        <w:t xml:space="preserve">In relation to the recommendation for an independent claims body, MSD noted that any decision on the establishment of an independent claims body is outside the remit of the Claims Resolution Team or MSD. </w:t>
      </w:r>
      <w:r w:rsidR="00C963F9">
        <w:rPr>
          <w:rFonts w:ascii="Arial" w:hAnsi="Arial" w:cs="Arial"/>
          <w:sz w:val="24"/>
          <w:szCs w:val="24"/>
        </w:rPr>
        <w:t xml:space="preserve">It </w:t>
      </w:r>
      <w:r w:rsidR="000E06FF">
        <w:rPr>
          <w:rFonts w:ascii="Arial" w:hAnsi="Arial" w:cs="Arial"/>
          <w:sz w:val="24"/>
          <w:szCs w:val="24"/>
        </w:rPr>
        <w:t>considered t</w:t>
      </w:r>
      <w:r>
        <w:rPr>
          <w:rFonts w:ascii="Arial" w:hAnsi="Arial" w:cs="Arial"/>
          <w:sz w:val="24"/>
          <w:szCs w:val="24"/>
        </w:rPr>
        <w:t xml:space="preserve">he Royal Commission of Inquiry is likely the right forum to discuss and consider this issue. </w:t>
      </w:r>
    </w:p>
    <w:sectPr w:rsidR="007B03FE" w:rsidRPr="007B03F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4A860" w14:textId="77777777" w:rsidR="00285C9D" w:rsidRDefault="00285C9D" w:rsidP="003779A5">
      <w:pPr>
        <w:spacing w:after="0" w:line="240" w:lineRule="auto"/>
      </w:pPr>
      <w:r>
        <w:separator/>
      </w:r>
    </w:p>
  </w:endnote>
  <w:endnote w:type="continuationSeparator" w:id="0">
    <w:p w14:paraId="151F72BB" w14:textId="77777777" w:rsidR="00285C9D" w:rsidRDefault="00285C9D" w:rsidP="0037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84020"/>
      <w:docPartObj>
        <w:docPartGallery w:val="Page Numbers (Bottom of Page)"/>
        <w:docPartUnique/>
      </w:docPartObj>
    </w:sdtPr>
    <w:sdtEndPr>
      <w:rPr>
        <w:noProof/>
      </w:rPr>
    </w:sdtEndPr>
    <w:sdtContent>
      <w:p w14:paraId="1A60D84D" w14:textId="6A2B268F" w:rsidR="003779A5" w:rsidRDefault="003779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0763B" w14:textId="77777777" w:rsidR="003779A5" w:rsidRDefault="0037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ACFC" w14:textId="77777777" w:rsidR="00285C9D" w:rsidRDefault="00285C9D" w:rsidP="003779A5">
      <w:pPr>
        <w:spacing w:after="0" w:line="240" w:lineRule="auto"/>
      </w:pPr>
      <w:r>
        <w:separator/>
      </w:r>
    </w:p>
  </w:footnote>
  <w:footnote w:type="continuationSeparator" w:id="0">
    <w:p w14:paraId="7B9CED51" w14:textId="77777777" w:rsidR="00285C9D" w:rsidRDefault="00285C9D" w:rsidP="003779A5">
      <w:pPr>
        <w:spacing w:after="0" w:line="240" w:lineRule="auto"/>
      </w:pPr>
      <w:r>
        <w:continuationSeparator/>
      </w:r>
    </w:p>
  </w:footnote>
  <w:footnote w:id="1">
    <w:p w14:paraId="12E53777" w14:textId="319C3E18" w:rsidR="002A3C99" w:rsidRDefault="002A3C99" w:rsidP="008C09D7">
      <w:pPr>
        <w:pStyle w:val="FootnoteText"/>
        <w:ind w:left="426" w:hanging="426"/>
      </w:pPr>
      <w:r>
        <w:rPr>
          <w:rStyle w:val="FootnoteReference"/>
        </w:rPr>
        <w:footnoteRef/>
      </w:r>
      <w:r>
        <w:t xml:space="preserve"> </w:t>
      </w:r>
      <w:r w:rsidR="008C09D7">
        <w:tab/>
      </w:r>
      <w:r w:rsidR="00433FBE">
        <w:t xml:space="preserve">The </w:t>
      </w:r>
      <w:r w:rsidR="004D122F">
        <w:t xml:space="preserve">Gallen Report </w:t>
      </w:r>
      <w:r w:rsidR="00433FBE">
        <w:t xml:space="preserve">is </w:t>
      </w:r>
      <w:r w:rsidR="004D122F">
        <w:t>attached and discussed in a supplementary submission of the Citizens Commission on Human Rights New Zealand to the United Nations Committee Against Torture in April 2012</w:t>
      </w:r>
      <w:r w:rsidR="00433FBE">
        <w:t xml:space="preserve"> - </w:t>
      </w:r>
      <w:hyperlink r:id="rId1" w:history="1">
        <w:r w:rsidR="00433FBE" w:rsidRPr="00901A0E">
          <w:rPr>
            <w:rStyle w:val="Hyperlink"/>
          </w:rPr>
          <w:t>https://tbinternet.ohchr.org/Treaties/CAT/Shared%20Documents/NZL/INT_CAT_NGS_NZL_14979_E.pdf</w:t>
        </w:r>
      </w:hyperlink>
    </w:p>
  </w:footnote>
  <w:footnote w:id="2">
    <w:p w14:paraId="12372786" w14:textId="15DF8511" w:rsidR="005459C0" w:rsidRPr="005459C0" w:rsidRDefault="005459C0" w:rsidP="00907B82">
      <w:pPr>
        <w:pStyle w:val="FootnoteText"/>
        <w:tabs>
          <w:tab w:val="left" w:pos="426"/>
        </w:tabs>
        <w:ind w:left="426" w:hanging="426"/>
        <w:rPr>
          <w:lang w:val="en-AU"/>
        </w:rPr>
      </w:pPr>
      <w:r>
        <w:rPr>
          <w:rStyle w:val="FootnoteReference"/>
        </w:rPr>
        <w:footnoteRef/>
      </w:r>
      <w:r>
        <w:t xml:space="preserve"> </w:t>
      </w:r>
      <w:r>
        <w:rPr>
          <w:lang w:val="en-AU"/>
        </w:rPr>
        <w:tab/>
      </w:r>
      <w:r w:rsidR="009A1A49">
        <w:rPr>
          <w:lang w:val="en-AU"/>
        </w:rPr>
        <w:t xml:space="preserve">Subsequently, a second round of </w:t>
      </w:r>
      <w:r>
        <w:rPr>
          <w:lang w:val="en-AU"/>
        </w:rPr>
        <w:t xml:space="preserve">settlement was </w:t>
      </w:r>
      <w:r w:rsidR="004A7737">
        <w:rPr>
          <w:lang w:val="en-AU"/>
        </w:rPr>
        <w:t xml:space="preserve">made with </w:t>
      </w:r>
      <w:r w:rsidR="009A1A49">
        <w:rPr>
          <w:lang w:val="en-AU"/>
        </w:rPr>
        <w:t xml:space="preserve">payments to a further 90 claimants, </w:t>
      </w:r>
      <w:r w:rsidR="004A7737">
        <w:rPr>
          <w:lang w:val="en-AU"/>
        </w:rPr>
        <w:t xml:space="preserve">leading to </w:t>
      </w:r>
      <w:r w:rsidR="00907B82">
        <w:rPr>
          <w:lang w:val="en-AU"/>
        </w:rPr>
        <w:t xml:space="preserve">a total of $10.7m </w:t>
      </w:r>
      <w:r w:rsidR="004A7737">
        <w:rPr>
          <w:lang w:val="en-AU"/>
        </w:rPr>
        <w:t xml:space="preserve">in settlement with </w:t>
      </w:r>
      <w:r w:rsidR="00907B82">
        <w:rPr>
          <w:lang w:val="en-AU"/>
        </w:rPr>
        <w:t>183 claimants.</w:t>
      </w:r>
    </w:p>
  </w:footnote>
  <w:footnote w:id="3">
    <w:p w14:paraId="6066B0B8" w14:textId="7ECE9A58" w:rsidR="00AC4659" w:rsidRDefault="002B340F">
      <w:pPr>
        <w:pStyle w:val="FootnoteText"/>
      </w:pPr>
      <w:r>
        <w:rPr>
          <w:rStyle w:val="FootnoteReference"/>
        </w:rPr>
        <w:footnoteRef/>
      </w:r>
      <w:r>
        <w:t xml:space="preserve"> </w:t>
      </w:r>
      <w:hyperlink r:id="rId2" w:history="1">
        <w:r w:rsidR="00AC4659" w:rsidRPr="00901A0E">
          <w:rPr>
            <w:rStyle w:val="Hyperlink"/>
          </w:rPr>
          <w:t>https://ndhadeliver.natlib.govt.nz/ArcAggregator//arcView/resource/IE12126512//http://www.dia.govt.nz/diawebsite.nsf/Files/CFPages070627/$file/CFPages070627.pdf</w:t>
        </w:r>
      </w:hyperlink>
    </w:p>
    <w:p w14:paraId="29969017" w14:textId="77777777" w:rsidR="00AC4659" w:rsidRDefault="00AC4659">
      <w:pPr>
        <w:pStyle w:val="FootnoteText"/>
      </w:pPr>
    </w:p>
  </w:footnote>
  <w:footnote w:id="4">
    <w:p w14:paraId="5D4992A1" w14:textId="7F791EAC" w:rsidR="009A7DF4" w:rsidRDefault="009A7DF4" w:rsidP="009A7DF4">
      <w:pPr>
        <w:pStyle w:val="FootnoteText"/>
        <w:ind w:left="567" w:hanging="567"/>
      </w:pPr>
      <w:r>
        <w:rPr>
          <w:rStyle w:val="FootnoteReference"/>
        </w:rPr>
        <w:footnoteRef/>
      </w:r>
      <w:r>
        <w:t xml:space="preserve"> </w:t>
      </w:r>
      <w:r>
        <w:tab/>
      </w:r>
      <w:r w:rsidRPr="009A7DF4">
        <w:t>https://www.beehive.govt.nz/sites/default/files/Legal%20AidReview.pdf</w:t>
      </w:r>
    </w:p>
  </w:footnote>
  <w:footnote w:id="5">
    <w:p w14:paraId="198E2EC2" w14:textId="3B62D9E4" w:rsidR="00555632" w:rsidRDefault="00555632" w:rsidP="00555632">
      <w:pPr>
        <w:pStyle w:val="FootnoteText"/>
        <w:ind w:left="567" w:hanging="567"/>
      </w:pPr>
      <w:r>
        <w:rPr>
          <w:rStyle w:val="FootnoteReference"/>
        </w:rPr>
        <w:footnoteRef/>
      </w:r>
      <w:r>
        <w:t xml:space="preserve"> </w:t>
      </w:r>
      <w:r>
        <w:tab/>
        <w:t xml:space="preserve">The draft report is an appendix to the brief of evidence of Rosslyn Noonan at the contextual hearing of the Royal Commission - </w:t>
      </w:r>
      <w:hyperlink r:id="rId3" w:history="1">
        <w:r w:rsidRPr="00901A0E">
          <w:rPr>
            <w:rStyle w:val="Hyperlink"/>
          </w:rPr>
          <w:t>file:///C:/Users/HJ/AppData/Local/Packages/Microsoft.MicrosoftEdge_8wekyb3d8bbwe/TempState/Downloads/15.-Rosslyn-Noonan.pdf</w:t>
        </w:r>
      </w:hyperlink>
    </w:p>
  </w:footnote>
  <w:footnote w:id="6">
    <w:p w14:paraId="146B8BE3" w14:textId="45309D3B" w:rsidR="00F26F07" w:rsidRPr="00F26F07" w:rsidRDefault="00F26F07" w:rsidP="00555632">
      <w:pPr>
        <w:pStyle w:val="FootnoteText"/>
        <w:ind w:left="567" w:hanging="567"/>
        <w:rPr>
          <w:lang w:val="en-AU"/>
        </w:rPr>
      </w:pPr>
      <w:r>
        <w:rPr>
          <w:rStyle w:val="FootnoteReference"/>
        </w:rPr>
        <w:footnoteRef/>
      </w:r>
      <w:r>
        <w:t xml:space="preserve"> </w:t>
      </w:r>
      <w:r>
        <w:rPr>
          <w:lang w:val="en-AU"/>
        </w:rPr>
        <w:tab/>
        <w:t>Under s 5 of the Human Rights Act 1993.</w:t>
      </w:r>
    </w:p>
  </w:footnote>
  <w:footnote w:id="7">
    <w:p w14:paraId="7271B9AF" w14:textId="51C9E2D4" w:rsidR="00394CE4" w:rsidRDefault="00394CE4" w:rsidP="00394CE4">
      <w:pPr>
        <w:pStyle w:val="FootnoteText"/>
        <w:ind w:left="567" w:hanging="567"/>
      </w:pPr>
      <w:r>
        <w:rPr>
          <w:rStyle w:val="FootnoteReference"/>
        </w:rPr>
        <w:footnoteRef/>
      </w:r>
      <w:r>
        <w:t xml:space="preserve"> </w:t>
      </w:r>
      <w:r>
        <w:tab/>
      </w:r>
      <w:r w:rsidRPr="00394CE4">
        <w:t>https://www.dia.govt.nz/diawebsite.nsf/Files/Confidential-Listening-and-Assistance/$file/Confidential-Listening-and-Assistance-Service-Final-Report-Some-Memories-Never-Fade.pdf</w:t>
      </w:r>
      <w:r w:rsidRPr="00394CE4">
        <w:cr/>
      </w:r>
    </w:p>
    <w:p w14:paraId="490FC644" w14:textId="28755272" w:rsidR="00DC1037" w:rsidRDefault="00DC1037" w:rsidP="00DC1037">
      <w:pPr>
        <w:pStyle w:val="FootnoteText"/>
        <w:ind w:left="567" w:hanging="567"/>
      </w:pPr>
      <w:r>
        <w:tab/>
        <w:t xml:space="preserve">See also evidence of Judge Carolyn Henwood at the Royal Commission’s contextual hearing: </w:t>
      </w:r>
      <w:hyperlink r:id="rId4" w:history="1">
        <w:r w:rsidRPr="00901A0E">
          <w:rPr>
            <w:rStyle w:val="Hyperlink"/>
          </w:rPr>
          <w:t>file:///C:/Users/HJ/AppData/Local/Packages/Microsoft.MicrosoftEdge_8wekyb3d8bbwe/TempState/Downloads/01.-Judge-Henwood.pdf</w:t>
        </w:r>
      </w:hyperlink>
      <w:r>
        <w:t xml:space="preserve"> </w:t>
      </w:r>
    </w:p>
  </w:footnote>
  <w:footnote w:id="8">
    <w:p w14:paraId="02B5E37B" w14:textId="0D0393C2" w:rsidR="00401507" w:rsidRDefault="00401507" w:rsidP="00401507">
      <w:pPr>
        <w:pStyle w:val="FootnoteText"/>
        <w:ind w:left="567" w:hanging="567"/>
      </w:pPr>
      <w:r>
        <w:rPr>
          <w:rStyle w:val="FootnoteReference"/>
        </w:rPr>
        <w:footnoteRef/>
      </w:r>
      <w:r>
        <w:t xml:space="preserve"> </w:t>
      </w:r>
      <w:r>
        <w:tab/>
        <w:t>See also Royal Commission’s briefing paper titled “Government Policy Between 2000 and 2017”</w:t>
      </w:r>
    </w:p>
  </w:footnote>
  <w:footnote w:id="9">
    <w:p w14:paraId="7CFB1B2D" w14:textId="3782CDAA" w:rsidR="00944C41" w:rsidRDefault="00944C41" w:rsidP="00944C41">
      <w:pPr>
        <w:pStyle w:val="FootnoteText"/>
        <w:ind w:left="567" w:hanging="567"/>
      </w:pPr>
      <w:r>
        <w:rPr>
          <w:rStyle w:val="FootnoteReference"/>
        </w:rPr>
        <w:footnoteRef/>
      </w:r>
      <w:r>
        <w:t xml:space="preserve"> </w:t>
      </w:r>
      <w:r>
        <w:tab/>
      </w:r>
      <w:r w:rsidRPr="00944C41">
        <w:t>https://www.msd.govt.nz/documents/about-msd-and-our-work/publications-resources/corporate/expert-panel-cyf/investing-in-children-report.pdf</w:t>
      </w:r>
      <w:r w:rsidRPr="00944C41">
        <w:cr/>
      </w:r>
    </w:p>
  </w:footnote>
  <w:footnote w:id="10">
    <w:p w14:paraId="6A2044CC" w14:textId="730624EA" w:rsidR="00AA7021" w:rsidRDefault="00AA7021" w:rsidP="00AA7021">
      <w:pPr>
        <w:pStyle w:val="FootnoteText"/>
        <w:ind w:left="567" w:hanging="567"/>
      </w:pPr>
      <w:r>
        <w:rPr>
          <w:rStyle w:val="FootnoteReference"/>
        </w:rPr>
        <w:footnoteRef/>
      </w:r>
      <w:r>
        <w:t xml:space="preserve"> </w:t>
      </w:r>
      <w:r>
        <w:tab/>
      </w:r>
      <w:r w:rsidRPr="00AA7021">
        <w:t>https://www.msd.govt.nz/documents/about-msd-and-our-work/work-programmes/historic-claims/report-from-engagement-with-claimants.pdf</w:t>
      </w:r>
      <w:r w:rsidRPr="00AA7021">
        <w:cr/>
      </w:r>
    </w:p>
  </w:footnote>
  <w:footnote w:id="11">
    <w:p w14:paraId="393C81D6" w14:textId="770C4867" w:rsidR="00066E87" w:rsidRPr="00066E87" w:rsidRDefault="0099610F" w:rsidP="00066E87">
      <w:pPr>
        <w:pStyle w:val="NoSpacing"/>
        <w:ind w:left="567" w:hanging="567"/>
        <w:rPr>
          <w:rFonts w:ascii="Arial" w:hAnsi="Arial" w:cs="Arial"/>
          <w:b/>
          <w:bCs/>
          <w:sz w:val="20"/>
          <w:szCs w:val="20"/>
        </w:rPr>
      </w:pPr>
      <w:r>
        <w:rPr>
          <w:rStyle w:val="FootnoteReference"/>
        </w:rPr>
        <w:footnoteRef/>
      </w:r>
      <w:r>
        <w:t xml:space="preserve"> </w:t>
      </w:r>
      <w:r>
        <w:rPr>
          <w:lang w:val="en-AU"/>
        </w:rPr>
        <w:tab/>
      </w:r>
      <w:r w:rsidRPr="00066E87">
        <w:rPr>
          <w:sz w:val="20"/>
          <w:szCs w:val="20"/>
          <w:lang w:val="en-AU"/>
        </w:rPr>
        <w:t>The second was a consultation with Māori claimants carried out with the support of a Senior Māori Leaders Group</w:t>
      </w:r>
      <w:r w:rsidR="00D22C7B" w:rsidRPr="00066E87">
        <w:rPr>
          <w:sz w:val="20"/>
          <w:szCs w:val="20"/>
          <w:lang w:val="en-AU"/>
        </w:rPr>
        <w:t xml:space="preserve">, which is discussed in </w:t>
      </w:r>
      <w:r w:rsidR="004C0544" w:rsidRPr="00066E87">
        <w:rPr>
          <w:sz w:val="20"/>
          <w:szCs w:val="20"/>
          <w:lang w:val="en-AU"/>
        </w:rPr>
        <w:t xml:space="preserve">the Royal Commission’s </w:t>
      </w:r>
      <w:r w:rsidR="00D22C7B" w:rsidRPr="00066E87">
        <w:rPr>
          <w:sz w:val="20"/>
          <w:szCs w:val="20"/>
          <w:lang w:val="en-AU"/>
        </w:rPr>
        <w:t xml:space="preserve">briefing paper </w:t>
      </w:r>
      <w:r w:rsidR="004C0544" w:rsidRPr="00066E87">
        <w:rPr>
          <w:sz w:val="20"/>
          <w:szCs w:val="20"/>
          <w:lang w:val="en-AU"/>
        </w:rPr>
        <w:t>titled “</w:t>
      </w:r>
      <w:r w:rsidR="00066E87" w:rsidRPr="00066E87">
        <w:rPr>
          <w:sz w:val="20"/>
          <w:szCs w:val="20"/>
          <w:lang w:val="en-AU"/>
        </w:rPr>
        <w:t>Findings on application of Te Tiriti o Waitangi Principles, M</w:t>
      </w:r>
      <w:r w:rsidR="00066E87" w:rsidRPr="00066E87">
        <w:rPr>
          <w:rFonts w:cstheme="minorHAnsi"/>
          <w:sz w:val="20"/>
          <w:szCs w:val="20"/>
          <w:lang w:val="en-AU"/>
        </w:rPr>
        <w:t>ā</w:t>
      </w:r>
      <w:r w:rsidR="00066E87" w:rsidRPr="00066E87">
        <w:rPr>
          <w:sz w:val="20"/>
          <w:szCs w:val="20"/>
          <w:lang w:val="en-AU"/>
        </w:rPr>
        <w:t>ori Consultation and Information Gathering Identified in Recent Reports, Reviews or Inquiries”</w:t>
      </w:r>
    </w:p>
    <w:p w14:paraId="58C12938" w14:textId="25A6ADCC" w:rsidR="0099610F" w:rsidRPr="0099610F" w:rsidRDefault="0099610F" w:rsidP="00AA7021">
      <w:pPr>
        <w:pStyle w:val="FootnoteText"/>
        <w:ind w:left="567" w:hanging="567"/>
        <w:rPr>
          <w:lang w:val="en-AU"/>
        </w:rPr>
      </w:pPr>
    </w:p>
  </w:footnote>
  <w:footnote w:id="12">
    <w:p w14:paraId="7C7646AE" w14:textId="327CA969" w:rsidR="00493C95" w:rsidRDefault="00493C95" w:rsidP="00493C95">
      <w:pPr>
        <w:pStyle w:val="FootnoteText"/>
        <w:ind w:left="567" w:hanging="567"/>
      </w:pPr>
      <w:r>
        <w:rPr>
          <w:rStyle w:val="FootnoteReference"/>
        </w:rPr>
        <w:footnoteRef/>
      </w:r>
      <w:r>
        <w:t xml:space="preserve"> </w:t>
      </w:r>
      <w:r>
        <w:tab/>
        <w:t xml:space="preserve">See link to Government response at: </w:t>
      </w:r>
      <w:hyperlink r:id="rId5" w:history="1">
        <w:r w:rsidRPr="00901A0E">
          <w:rPr>
            <w:rStyle w:val="Hyperlink"/>
          </w:rPr>
          <w:t>https://nzfvc.org.nz/news/msd-revising-process-responding-claims-historic-abuse-state-care</w:t>
        </w:r>
      </w:hyperlink>
    </w:p>
    <w:p w14:paraId="5CE97D19" w14:textId="77777777" w:rsidR="00493C95" w:rsidRDefault="00493C9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970"/>
    <w:multiLevelType w:val="hybridMultilevel"/>
    <w:tmpl w:val="26725170"/>
    <w:lvl w:ilvl="0" w:tplc="1E3E8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2342D22"/>
    <w:multiLevelType w:val="hybridMultilevel"/>
    <w:tmpl w:val="3702CA5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912241A"/>
    <w:multiLevelType w:val="hybridMultilevel"/>
    <w:tmpl w:val="26725170"/>
    <w:lvl w:ilvl="0" w:tplc="1E3E8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12200805"/>
    <w:multiLevelType w:val="hybridMultilevel"/>
    <w:tmpl w:val="CFDA9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161C16"/>
    <w:multiLevelType w:val="hybridMultilevel"/>
    <w:tmpl w:val="9494972C"/>
    <w:lvl w:ilvl="0" w:tplc="7184701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9A73F6D"/>
    <w:multiLevelType w:val="hybridMultilevel"/>
    <w:tmpl w:val="C1D8254E"/>
    <w:lvl w:ilvl="0" w:tplc="79DC6B6E">
      <w:start w:val="1"/>
      <w:numFmt w:val="lowerLetter"/>
      <w:lvlText w:val="(%1)"/>
      <w:lvlJc w:val="left"/>
      <w:pPr>
        <w:ind w:left="1353" w:hanging="360"/>
      </w:pPr>
      <w:rPr>
        <w:rFonts w:ascii="Arial" w:eastAsia="Times New Roman" w:hAnsi="Arial" w:cs="Arial"/>
      </w:r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6" w15:restartNumberingAfterBreak="0">
    <w:nsid w:val="1FB34FBE"/>
    <w:multiLevelType w:val="hybridMultilevel"/>
    <w:tmpl w:val="C43487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484125A"/>
    <w:multiLevelType w:val="hybridMultilevel"/>
    <w:tmpl w:val="EBE69D90"/>
    <w:lvl w:ilvl="0" w:tplc="1E3E8858">
      <w:start w:val="1"/>
      <w:numFmt w:val="decimal"/>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26985F93"/>
    <w:multiLevelType w:val="hybridMultilevel"/>
    <w:tmpl w:val="BB36BBE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9" w15:restartNumberingAfterBreak="0">
    <w:nsid w:val="29414BA4"/>
    <w:multiLevelType w:val="hybridMultilevel"/>
    <w:tmpl w:val="2D36E2C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0D13A0"/>
    <w:multiLevelType w:val="hybridMultilevel"/>
    <w:tmpl w:val="126E6DC4"/>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09C7A87"/>
    <w:multiLevelType w:val="hybridMultilevel"/>
    <w:tmpl w:val="E762198A"/>
    <w:lvl w:ilvl="0" w:tplc="7E82D640">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 w15:restartNumberingAfterBreak="0">
    <w:nsid w:val="318B500D"/>
    <w:multiLevelType w:val="hybridMultilevel"/>
    <w:tmpl w:val="84425788"/>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C776FB0"/>
    <w:multiLevelType w:val="hybridMultilevel"/>
    <w:tmpl w:val="6E9CE8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4011083D"/>
    <w:multiLevelType w:val="hybridMultilevel"/>
    <w:tmpl w:val="190E831E"/>
    <w:lvl w:ilvl="0" w:tplc="DB12C9FA">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5" w15:restartNumberingAfterBreak="0">
    <w:nsid w:val="46090944"/>
    <w:multiLevelType w:val="hybridMultilevel"/>
    <w:tmpl w:val="458C7956"/>
    <w:lvl w:ilvl="0" w:tplc="C86EAAC8">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6" w15:restartNumberingAfterBreak="0">
    <w:nsid w:val="46F7293A"/>
    <w:multiLevelType w:val="hybridMultilevel"/>
    <w:tmpl w:val="82DCD5D0"/>
    <w:lvl w:ilvl="0" w:tplc="1409000B">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7" w15:restartNumberingAfterBreak="0">
    <w:nsid w:val="47875B6B"/>
    <w:multiLevelType w:val="hybridMultilevel"/>
    <w:tmpl w:val="CC64BF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8BD15F2"/>
    <w:multiLevelType w:val="hybridMultilevel"/>
    <w:tmpl w:val="847E78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94753D6"/>
    <w:multiLevelType w:val="hybridMultilevel"/>
    <w:tmpl w:val="0C8C939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0" w15:restartNumberingAfterBreak="0">
    <w:nsid w:val="5BDB3A76"/>
    <w:multiLevelType w:val="hybridMultilevel"/>
    <w:tmpl w:val="F878DC0A"/>
    <w:lvl w:ilvl="0" w:tplc="46DE2C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B7D08"/>
    <w:multiLevelType w:val="hybridMultilevel"/>
    <w:tmpl w:val="CF9ADC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20C39B9"/>
    <w:multiLevelType w:val="hybridMultilevel"/>
    <w:tmpl w:val="4E56AE2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23" w15:restartNumberingAfterBreak="0">
    <w:nsid w:val="69773B39"/>
    <w:multiLevelType w:val="hybridMultilevel"/>
    <w:tmpl w:val="99722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BF20428"/>
    <w:multiLevelType w:val="hybridMultilevel"/>
    <w:tmpl w:val="C99A9F6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F4911F2"/>
    <w:multiLevelType w:val="hybridMultilevel"/>
    <w:tmpl w:val="432C6FE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6" w15:restartNumberingAfterBreak="0">
    <w:nsid w:val="71DD7DAF"/>
    <w:multiLevelType w:val="hybridMultilevel"/>
    <w:tmpl w:val="B5B68A10"/>
    <w:lvl w:ilvl="0" w:tplc="249E3D80">
      <w:start w:val="1"/>
      <w:numFmt w:val="lowerLetter"/>
      <w:lvlText w:val="(%1)"/>
      <w:lvlJc w:val="left"/>
      <w:pPr>
        <w:ind w:left="720" w:hanging="360"/>
      </w:pPr>
      <w:rPr>
        <w:rFonts w:ascii="Arial" w:eastAsiaTheme="minorHAnsi"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55C12FB"/>
    <w:multiLevelType w:val="hybridMultilevel"/>
    <w:tmpl w:val="DA2A408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8" w15:restartNumberingAfterBreak="0">
    <w:nsid w:val="7752671A"/>
    <w:multiLevelType w:val="hybridMultilevel"/>
    <w:tmpl w:val="19BEEC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792B4115"/>
    <w:multiLevelType w:val="hybridMultilevel"/>
    <w:tmpl w:val="E5E8B74E"/>
    <w:lvl w:ilvl="0" w:tplc="1409000B">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num w:numId="1">
    <w:abstractNumId w:val="11"/>
  </w:num>
  <w:num w:numId="2">
    <w:abstractNumId w:val="6"/>
  </w:num>
  <w:num w:numId="3">
    <w:abstractNumId w:val="12"/>
  </w:num>
  <w:num w:numId="4">
    <w:abstractNumId w:val="10"/>
  </w:num>
  <w:num w:numId="5">
    <w:abstractNumId w:val="5"/>
  </w:num>
  <w:num w:numId="6">
    <w:abstractNumId w:val="26"/>
  </w:num>
  <w:num w:numId="7">
    <w:abstractNumId w:val="23"/>
  </w:num>
  <w:num w:numId="8">
    <w:abstractNumId w:val="13"/>
  </w:num>
  <w:num w:numId="9">
    <w:abstractNumId w:val="19"/>
  </w:num>
  <w:num w:numId="10">
    <w:abstractNumId w:val="25"/>
  </w:num>
  <w:num w:numId="11">
    <w:abstractNumId w:val="8"/>
  </w:num>
  <w:num w:numId="12">
    <w:abstractNumId w:val="3"/>
  </w:num>
  <w:num w:numId="13">
    <w:abstractNumId w:val="18"/>
  </w:num>
  <w:num w:numId="14">
    <w:abstractNumId w:val="24"/>
  </w:num>
  <w:num w:numId="15">
    <w:abstractNumId w:val="7"/>
  </w:num>
  <w:num w:numId="16">
    <w:abstractNumId w:val="14"/>
  </w:num>
  <w:num w:numId="17">
    <w:abstractNumId w:val="15"/>
  </w:num>
  <w:num w:numId="18">
    <w:abstractNumId w:val="4"/>
  </w:num>
  <w:num w:numId="19">
    <w:abstractNumId w:val="16"/>
  </w:num>
  <w:num w:numId="20">
    <w:abstractNumId w:val="9"/>
  </w:num>
  <w:num w:numId="21">
    <w:abstractNumId w:val="29"/>
  </w:num>
  <w:num w:numId="22">
    <w:abstractNumId w:val="1"/>
  </w:num>
  <w:num w:numId="23">
    <w:abstractNumId w:val="0"/>
  </w:num>
  <w:num w:numId="24">
    <w:abstractNumId w:val="20"/>
  </w:num>
  <w:num w:numId="25">
    <w:abstractNumId w:val="27"/>
  </w:num>
  <w:num w:numId="26">
    <w:abstractNumId w:val="2"/>
  </w:num>
  <w:num w:numId="27">
    <w:abstractNumId w:val="21"/>
  </w:num>
  <w:num w:numId="28">
    <w:abstractNumId w:val="28"/>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4"/>
    <w:rsid w:val="0000501B"/>
    <w:rsid w:val="00010D54"/>
    <w:rsid w:val="00011876"/>
    <w:rsid w:val="00021EA7"/>
    <w:rsid w:val="00041A5C"/>
    <w:rsid w:val="000462B1"/>
    <w:rsid w:val="000578C3"/>
    <w:rsid w:val="00066E87"/>
    <w:rsid w:val="000821D4"/>
    <w:rsid w:val="0009049B"/>
    <w:rsid w:val="000A07C3"/>
    <w:rsid w:val="000A0E05"/>
    <w:rsid w:val="000A1C24"/>
    <w:rsid w:val="000B1C46"/>
    <w:rsid w:val="000B7C31"/>
    <w:rsid w:val="000C4B1E"/>
    <w:rsid w:val="000D03E2"/>
    <w:rsid w:val="000D641B"/>
    <w:rsid w:val="000E06FF"/>
    <w:rsid w:val="000E17B3"/>
    <w:rsid w:val="000E6806"/>
    <w:rsid w:val="000E73B4"/>
    <w:rsid w:val="000F7100"/>
    <w:rsid w:val="00122F0F"/>
    <w:rsid w:val="00130973"/>
    <w:rsid w:val="00132D4B"/>
    <w:rsid w:val="0013317A"/>
    <w:rsid w:val="0013342C"/>
    <w:rsid w:val="00137059"/>
    <w:rsid w:val="001410FB"/>
    <w:rsid w:val="00141E48"/>
    <w:rsid w:val="001424E5"/>
    <w:rsid w:val="00151413"/>
    <w:rsid w:val="00164803"/>
    <w:rsid w:val="0017098F"/>
    <w:rsid w:val="001830C2"/>
    <w:rsid w:val="00196ED3"/>
    <w:rsid w:val="001B4C0D"/>
    <w:rsid w:val="001C1C1B"/>
    <w:rsid w:val="001D75A1"/>
    <w:rsid w:val="001F32FD"/>
    <w:rsid w:val="001F41EC"/>
    <w:rsid w:val="002032C4"/>
    <w:rsid w:val="0021335A"/>
    <w:rsid w:val="00214C18"/>
    <w:rsid w:val="0021698F"/>
    <w:rsid w:val="002223AA"/>
    <w:rsid w:val="00245D60"/>
    <w:rsid w:val="00246364"/>
    <w:rsid w:val="00247743"/>
    <w:rsid w:val="0025061F"/>
    <w:rsid w:val="00257966"/>
    <w:rsid w:val="002657F4"/>
    <w:rsid w:val="00285C9D"/>
    <w:rsid w:val="00287851"/>
    <w:rsid w:val="00287EAC"/>
    <w:rsid w:val="002A03AD"/>
    <w:rsid w:val="002A3C99"/>
    <w:rsid w:val="002B340F"/>
    <w:rsid w:val="002B3DCB"/>
    <w:rsid w:val="002C1E42"/>
    <w:rsid w:val="002C4758"/>
    <w:rsid w:val="002C4CB1"/>
    <w:rsid w:val="002D2EB0"/>
    <w:rsid w:val="002D7870"/>
    <w:rsid w:val="002E4AE9"/>
    <w:rsid w:val="003069C0"/>
    <w:rsid w:val="00324A5D"/>
    <w:rsid w:val="003307D7"/>
    <w:rsid w:val="00360CB3"/>
    <w:rsid w:val="003761D8"/>
    <w:rsid w:val="003779A5"/>
    <w:rsid w:val="00385B86"/>
    <w:rsid w:val="003919E6"/>
    <w:rsid w:val="00394CE4"/>
    <w:rsid w:val="003A3ABE"/>
    <w:rsid w:val="003D0190"/>
    <w:rsid w:val="003D60C9"/>
    <w:rsid w:val="003D74B0"/>
    <w:rsid w:val="003E147A"/>
    <w:rsid w:val="003E505A"/>
    <w:rsid w:val="003F34B8"/>
    <w:rsid w:val="00400063"/>
    <w:rsid w:val="00401507"/>
    <w:rsid w:val="00405BB0"/>
    <w:rsid w:val="004157ED"/>
    <w:rsid w:val="00433FBE"/>
    <w:rsid w:val="00434B5F"/>
    <w:rsid w:val="00453114"/>
    <w:rsid w:val="0046465C"/>
    <w:rsid w:val="0046790D"/>
    <w:rsid w:val="0047037D"/>
    <w:rsid w:val="00470E93"/>
    <w:rsid w:val="00480A93"/>
    <w:rsid w:val="00493C95"/>
    <w:rsid w:val="004940E2"/>
    <w:rsid w:val="004A7737"/>
    <w:rsid w:val="004C0544"/>
    <w:rsid w:val="004D122F"/>
    <w:rsid w:val="004E02A2"/>
    <w:rsid w:val="004E152A"/>
    <w:rsid w:val="00501956"/>
    <w:rsid w:val="005021DB"/>
    <w:rsid w:val="00502F73"/>
    <w:rsid w:val="005050DB"/>
    <w:rsid w:val="00507E20"/>
    <w:rsid w:val="00516C27"/>
    <w:rsid w:val="00517C9C"/>
    <w:rsid w:val="0053085B"/>
    <w:rsid w:val="00530CF6"/>
    <w:rsid w:val="005326EB"/>
    <w:rsid w:val="00535FC1"/>
    <w:rsid w:val="00536235"/>
    <w:rsid w:val="0054107F"/>
    <w:rsid w:val="005459C0"/>
    <w:rsid w:val="00547336"/>
    <w:rsid w:val="00555632"/>
    <w:rsid w:val="0055627B"/>
    <w:rsid w:val="00571282"/>
    <w:rsid w:val="0057544D"/>
    <w:rsid w:val="0057772F"/>
    <w:rsid w:val="0058651E"/>
    <w:rsid w:val="00591288"/>
    <w:rsid w:val="005B0818"/>
    <w:rsid w:val="005B6831"/>
    <w:rsid w:val="005C409F"/>
    <w:rsid w:val="005C5000"/>
    <w:rsid w:val="005D3D06"/>
    <w:rsid w:val="005E3FAB"/>
    <w:rsid w:val="005E4AFF"/>
    <w:rsid w:val="005E6C80"/>
    <w:rsid w:val="005E715F"/>
    <w:rsid w:val="00610101"/>
    <w:rsid w:val="006133E3"/>
    <w:rsid w:val="00621925"/>
    <w:rsid w:val="0062584F"/>
    <w:rsid w:val="006331BB"/>
    <w:rsid w:val="006343EE"/>
    <w:rsid w:val="006377DF"/>
    <w:rsid w:val="0064266E"/>
    <w:rsid w:val="00677990"/>
    <w:rsid w:val="0068148A"/>
    <w:rsid w:val="006954A6"/>
    <w:rsid w:val="00696F1D"/>
    <w:rsid w:val="00697F73"/>
    <w:rsid w:val="006C2BF9"/>
    <w:rsid w:val="006E3BFC"/>
    <w:rsid w:val="006E73B9"/>
    <w:rsid w:val="006F2930"/>
    <w:rsid w:val="006F5329"/>
    <w:rsid w:val="0070063F"/>
    <w:rsid w:val="00705F9A"/>
    <w:rsid w:val="00712660"/>
    <w:rsid w:val="00727354"/>
    <w:rsid w:val="0073029E"/>
    <w:rsid w:val="00776819"/>
    <w:rsid w:val="007A020F"/>
    <w:rsid w:val="007A05ED"/>
    <w:rsid w:val="007A59FA"/>
    <w:rsid w:val="007B03FE"/>
    <w:rsid w:val="007C4CF4"/>
    <w:rsid w:val="00815416"/>
    <w:rsid w:val="00832564"/>
    <w:rsid w:val="0083618B"/>
    <w:rsid w:val="00842263"/>
    <w:rsid w:val="00855E69"/>
    <w:rsid w:val="00874D91"/>
    <w:rsid w:val="00875E6A"/>
    <w:rsid w:val="008776FD"/>
    <w:rsid w:val="008835A0"/>
    <w:rsid w:val="00883A50"/>
    <w:rsid w:val="008A166F"/>
    <w:rsid w:val="008A1E5C"/>
    <w:rsid w:val="008B739B"/>
    <w:rsid w:val="008B7EFB"/>
    <w:rsid w:val="008C09D7"/>
    <w:rsid w:val="008C45AE"/>
    <w:rsid w:val="008C6E7F"/>
    <w:rsid w:val="008D16F1"/>
    <w:rsid w:val="008E5D1B"/>
    <w:rsid w:val="008E5E1F"/>
    <w:rsid w:val="008E7086"/>
    <w:rsid w:val="008F0065"/>
    <w:rsid w:val="00904E21"/>
    <w:rsid w:val="00907B82"/>
    <w:rsid w:val="00911533"/>
    <w:rsid w:val="00917C89"/>
    <w:rsid w:val="00917CD0"/>
    <w:rsid w:val="009368B3"/>
    <w:rsid w:val="00941B25"/>
    <w:rsid w:val="00942C2C"/>
    <w:rsid w:val="00944C41"/>
    <w:rsid w:val="00966A2F"/>
    <w:rsid w:val="0099610F"/>
    <w:rsid w:val="00997AB2"/>
    <w:rsid w:val="009A1A49"/>
    <w:rsid w:val="009A7DF4"/>
    <w:rsid w:val="009B3DC3"/>
    <w:rsid w:val="009B5DCE"/>
    <w:rsid w:val="009C19FC"/>
    <w:rsid w:val="009C726B"/>
    <w:rsid w:val="009D1FC6"/>
    <w:rsid w:val="009D5D9D"/>
    <w:rsid w:val="009E21DE"/>
    <w:rsid w:val="009E2E23"/>
    <w:rsid w:val="009E3A32"/>
    <w:rsid w:val="009E6F30"/>
    <w:rsid w:val="009F5FFB"/>
    <w:rsid w:val="009F6DA7"/>
    <w:rsid w:val="00A01681"/>
    <w:rsid w:val="00A058B3"/>
    <w:rsid w:val="00A06316"/>
    <w:rsid w:val="00A075F9"/>
    <w:rsid w:val="00A11983"/>
    <w:rsid w:val="00A12369"/>
    <w:rsid w:val="00A35CCA"/>
    <w:rsid w:val="00A366D4"/>
    <w:rsid w:val="00A50101"/>
    <w:rsid w:val="00A741C2"/>
    <w:rsid w:val="00AA2D33"/>
    <w:rsid w:val="00AA7021"/>
    <w:rsid w:val="00AB27D2"/>
    <w:rsid w:val="00AB48C5"/>
    <w:rsid w:val="00AB54F6"/>
    <w:rsid w:val="00AB5BE2"/>
    <w:rsid w:val="00AC2BD6"/>
    <w:rsid w:val="00AC4659"/>
    <w:rsid w:val="00AC67E4"/>
    <w:rsid w:val="00AC7FDC"/>
    <w:rsid w:val="00AD20AB"/>
    <w:rsid w:val="00AD3306"/>
    <w:rsid w:val="00AE34A2"/>
    <w:rsid w:val="00AE51A4"/>
    <w:rsid w:val="00AE5EE3"/>
    <w:rsid w:val="00AF5114"/>
    <w:rsid w:val="00B118B0"/>
    <w:rsid w:val="00B11F6E"/>
    <w:rsid w:val="00B165EE"/>
    <w:rsid w:val="00B20455"/>
    <w:rsid w:val="00B23EEE"/>
    <w:rsid w:val="00B36413"/>
    <w:rsid w:val="00B407CD"/>
    <w:rsid w:val="00B42556"/>
    <w:rsid w:val="00B469FC"/>
    <w:rsid w:val="00B5080E"/>
    <w:rsid w:val="00B51E8F"/>
    <w:rsid w:val="00B57308"/>
    <w:rsid w:val="00B65601"/>
    <w:rsid w:val="00B8115A"/>
    <w:rsid w:val="00B8280D"/>
    <w:rsid w:val="00B9288C"/>
    <w:rsid w:val="00BA7439"/>
    <w:rsid w:val="00BC1BB5"/>
    <w:rsid w:val="00BE703B"/>
    <w:rsid w:val="00BF2740"/>
    <w:rsid w:val="00C10844"/>
    <w:rsid w:val="00C146AB"/>
    <w:rsid w:val="00C24D20"/>
    <w:rsid w:val="00C31453"/>
    <w:rsid w:val="00C408B7"/>
    <w:rsid w:val="00C5046D"/>
    <w:rsid w:val="00C66E15"/>
    <w:rsid w:val="00C67529"/>
    <w:rsid w:val="00C70367"/>
    <w:rsid w:val="00C71A38"/>
    <w:rsid w:val="00C963F9"/>
    <w:rsid w:val="00CA1DC3"/>
    <w:rsid w:val="00CC004C"/>
    <w:rsid w:val="00CE15CF"/>
    <w:rsid w:val="00CE224D"/>
    <w:rsid w:val="00CE75CA"/>
    <w:rsid w:val="00CF08FF"/>
    <w:rsid w:val="00D0440D"/>
    <w:rsid w:val="00D06090"/>
    <w:rsid w:val="00D06489"/>
    <w:rsid w:val="00D1691B"/>
    <w:rsid w:val="00D175AA"/>
    <w:rsid w:val="00D200B1"/>
    <w:rsid w:val="00D22C7B"/>
    <w:rsid w:val="00D45241"/>
    <w:rsid w:val="00D52424"/>
    <w:rsid w:val="00D60C62"/>
    <w:rsid w:val="00D64FC9"/>
    <w:rsid w:val="00D80AFE"/>
    <w:rsid w:val="00DA1940"/>
    <w:rsid w:val="00DB41B0"/>
    <w:rsid w:val="00DB7E96"/>
    <w:rsid w:val="00DC1037"/>
    <w:rsid w:val="00DD3FEB"/>
    <w:rsid w:val="00DE741A"/>
    <w:rsid w:val="00DF6127"/>
    <w:rsid w:val="00E05E6A"/>
    <w:rsid w:val="00E23A77"/>
    <w:rsid w:val="00E25BE1"/>
    <w:rsid w:val="00E367BF"/>
    <w:rsid w:val="00E43F0B"/>
    <w:rsid w:val="00E46578"/>
    <w:rsid w:val="00E61E23"/>
    <w:rsid w:val="00E649D0"/>
    <w:rsid w:val="00E81A7E"/>
    <w:rsid w:val="00EC60A7"/>
    <w:rsid w:val="00ED50FC"/>
    <w:rsid w:val="00F000C5"/>
    <w:rsid w:val="00F26F07"/>
    <w:rsid w:val="00F27ED9"/>
    <w:rsid w:val="00F37C91"/>
    <w:rsid w:val="00F51111"/>
    <w:rsid w:val="00F52F8D"/>
    <w:rsid w:val="00F53C38"/>
    <w:rsid w:val="00F7592B"/>
    <w:rsid w:val="00F81266"/>
    <w:rsid w:val="00F8196B"/>
    <w:rsid w:val="00FA1773"/>
    <w:rsid w:val="00FA57F4"/>
    <w:rsid w:val="00FA6BCC"/>
    <w:rsid w:val="00FB7C0A"/>
    <w:rsid w:val="00FE5F48"/>
    <w:rsid w:val="00FF10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3AF5"/>
  <w15:chartTrackingRefBased/>
  <w15:docId w15:val="{2998C48C-C436-4247-9DE4-FDC58894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409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C409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8B"/>
    <w:pPr>
      <w:ind w:left="720"/>
      <w:contextualSpacing/>
    </w:pPr>
  </w:style>
  <w:style w:type="paragraph" w:styleId="NoSpacing">
    <w:name w:val="No Spacing"/>
    <w:uiPriority w:val="1"/>
    <w:qFormat/>
    <w:rsid w:val="00021EA7"/>
    <w:pPr>
      <w:spacing w:after="0" w:line="240" w:lineRule="auto"/>
    </w:pPr>
  </w:style>
  <w:style w:type="paragraph" w:styleId="Header">
    <w:name w:val="header"/>
    <w:basedOn w:val="Normal"/>
    <w:link w:val="HeaderChar"/>
    <w:uiPriority w:val="99"/>
    <w:unhideWhenUsed/>
    <w:rsid w:val="00377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A5"/>
  </w:style>
  <w:style w:type="paragraph" w:styleId="Footer">
    <w:name w:val="footer"/>
    <w:basedOn w:val="Normal"/>
    <w:link w:val="FooterChar"/>
    <w:uiPriority w:val="99"/>
    <w:unhideWhenUsed/>
    <w:rsid w:val="00377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A5"/>
  </w:style>
  <w:style w:type="character" w:customStyle="1" w:styleId="Heading2Char">
    <w:name w:val="Heading 2 Char"/>
    <w:basedOn w:val="DefaultParagraphFont"/>
    <w:link w:val="Heading2"/>
    <w:uiPriority w:val="9"/>
    <w:rsid w:val="005C409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C409F"/>
    <w:rPr>
      <w:rFonts w:asciiTheme="majorHAnsi" w:eastAsiaTheme="majorEastAsia" w:hAnsiTheme="majorHAnsi" w:cstheme="majorBidi"/>
      <w:color w:val="1F3763" w:themeColor="accent1" w:themeShade="7F"/>
      <w:sz w:val="24"/>
      <w:szCs w:val="24"/>
      <w:lang w:val="en-US"/>
    </w:rPr>
  </w:style>
  <w:style w:type="paragraph" w:styleId="FootnoteText">
    <w:name w:val="footnote text"/>
    <w:basedOn w:val="Normal"/>
    <w:link w:val="FootnoteTextChar"/>
    <w:semiHidden/>
    <w:unhideWhenUsed/>
    <w:rsid w:val="005C409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C409F"/>
    <w:rPr>
      <w:sz w:val="20"/>
      <w:szCs w:val="20"/>
      <w:lang w:val="en-US"/>
    </w:rPr>
  </w:style>
  <w:style w:type="character" w:styleId="FootnoteReference">
    <w:name w:val="footnote reference"/>
    <w:basedOn w:val="DefaultParagraphFont"/>
    <w:semiHidden/>
    <w:unhideWhenUsed/>
    <w:rsid w:val="005C409F"/>
    <w:rPr>
      <w:vertAlign w:val="superscript"/>
    </w:rPr>
  </w:style>
  <w:style w:type="character" w:customStyle="1" w:styleId="legds2">
    <w:name w:val="legds2"/>
    <w:basedOn w:val="DefaultParagraphFont"/>
    <w:rsid w:val="005C409F"/>
    <w:rPr>
      <w:vanish w:val="0"/>
      <w:webHidden w:val="0"/>
      <w:specVanish w:val="0"/>
    </w:rPr>
  </w:style>
  <w:style w:type="paragraph" w:customStyle="1" w:styleId="legclearfix2">
    <w:name w:val="legclearfix2"/>
    <w:basedOn w:val="Normal"/>
    <w:rsid w:val="005C409F"/>
    <w:pPr>
      <w:shd w:val="clear" w:color="auto" w:fill="FFFFFF"/>
      <w:spacing w:after="120" w:line="360" w:lineRule="atLeast"/>
    </w:pPr>
    <w:rPr>
      <w:rFonts w:ascii="Times New Roman" w:eastAsia="Times New Roman" w:hAnsi="Times New Roman" w:cs="Times New Roman"/>
      <w:color w:val="000000"/>
      <w:sz w:val="19"/>
      <w:szCs w:val="19"/>
      <w:lang w:eastAsia="en-NZ"/>
    </w:rPr>
  </w:style>
  <w:style w:type="character" w:styleId="Hyperlink">
    <w:name w:val="Hyperlink"/>
    <w:basedOn w:val="DefaultParagraphFont"/>
    <w:uiPriority w:val="99"/>
    <w:unhideWhenUsed/>
    <w:rsid w:val="00D0440D"/>
    <w:rPr>
      <w:color w:val="0563C1" w:themeColor="hyperlink"/>
      <w:u w:val="single"/>
    </w:rPr>
  </w:style>
  <w:style w:type="paragraph" w:styleId="BalloonText">
    <w:name w:val="Balloon Text"/>
    <w:basedOn w:val="Normal"/>
    <w:link w:val="BalloonTextChar"/>
    <w:uiPriority w:val="99"/>
    <w:semiHidden/>
    <w:unhideWhenUsed/>
    <w:rsid w:val="009E6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30"/>
    <w:rPr>
      <w:rFonts w:ascii="Segoe UI" w:hAnsi="Segoe UI" w:cs="Segoe UI"/>
      <w:sz w:val="18"/>
      <w:szCs w:val="18"/>
    </w:rPr>
  </w:style>
  <w:style w:type="character" w:styleId="UnresolvedMention">
    <w:name w:val="Unresolved Mention"/>
    <w:basedOn w:val="DefaultParagraphFont"/>
    <w:uiPriority w:val="99"/>
    <w:semiHidden/>
    <w:unhideWhenUsed/>
    <w:rsid w:val="002A3C99"/>
    <w:rPr>
      <w:color w:val="605E5C"/>
      <w:shd w:val="clear" w:color="auto" w:fill="E1DFDD"/>
    </w:rPr>
  </w:style>
  <w:style w:type="character" w:customStyle="1" w:styleId="Heading1Char">
    <w:name w:val="Heading 1 Char"/>
    <w:basedOn w:val="DefaultParagraphFont"/>
    <w:link w:val="Heading1"/>
    <w:uiPriority w:val="9"/>
    <w:rsid w:val="00141E4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200B1"/>
    <w:rPr>
      <w:sz w:val="16"/>
      <w:szCs w:val="16"/>
    </w:rPr>
  </w:style>
  <w:style w:type="paragraph" w:styleId="CommentText">
    <w:name w:val="annotation text"/>
    <w:basedOn w:val="Normal"/>
    <w:link w:val="CommentTextChar"/>
    <w:uiPriority w:val="99"/>
    <w:semiHidden/>
    <w:unhideWhenUsed/>
    <w:rsid w:val="00D200B1"/>
    <w:pPr>
      <w:spacing w:line="240" w:lineRule="auto"/>
    </w:pPr>
    <w:rPr>
      <w:sz w:val="20"/>
      <w:szCs w:val="20"/>
    </w:rPr>
  </w:style>
  <w:style w:type="character" w:customStyle="1" w:styleId="CommentTextChar">
    <w:name w:val="Comment Text Char"/>
    <w:basedOn w:val="DefaultParagraphFont"/>
    <w:link w:val="CommentText"/>
    <w:uiPriority w:val="99"/>
    <w:semiHidden/>
    <w:rsid w:val="00D200B1"/>
    <w:rPr>
      <w:sz w:val="20"/>
      <w:szCs w:val="20"/>
    </w:rPr>
  </w:style>
  <w:style w:type="paragraph" w:styleId="CommentSubject">
    <w:name w:val="annotation subject"/>
    <w:basedOn w:val="CommentText"/>
    <w:next w:val="CommentText"/>
    <w:link w:val="CommentSubjectChar"/>
    <w:uiPriority w:val="99"/>
    <w:semiHidden/>
    <w:unhideWhenUsed/>
    <w:rsid w:val="00D200B1"/>
    <w:rPr>
      <w:b/>
      <w:bCs/>
    </w:rPr>
  </w:style>
  <w:style w:type="character" w:customStyle="1" w:styleId="CommentSubjectChar">
    <w:name w:val="Comment Subject Char"/>
    <w:basedOn w:val="CommentTextChar"/>
    <w:link w:val="CommentSubject"/>
    <w:uiPriority w:val="99"/>
    <w:semiHidden/>
    <w:rsid w:val="00D20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HJ/AppData/Local/Packages/Microsoft.MicrosoftEdge_8wekyb3d8bbwe/TempState/Downloads/15.-Rosslyn-Noonan.pdf" TargetMode="External"/><Relationship Id="rId2" Type="http://schemas.openxmlformats.org/officeDocument/2006/relationships/hyperlink" Target="https://ndhadeliver.natlib.govt.nz/ArcAggregator//arcView/resource/IE12126512//http://www.dia.govt.nz/diawebsite.nsf/Files/CFPages070627/$file/CFPages070627.pdf" TargetMode="External"/><Relationship Id="rId1" Type="http://schemas.openxmlformats.org/officeDocument/2006/relationships/hyperlink" Target="https://tbinternet.ohchr.org/Treaties/CAT/Shared%20Documents/NZL/INT_CAT_NGS_NZL_14979_E.pdf" TargetMode="External"/><Relationship Id="rId5" Type="http://schemas.openxmlformats.org/officeDocument/2006/relationships/hyperlink" Target="https://nzfvc.org.nz/news/msd-revising-process-responding-claims-historic-abuse-state-care" TargetMode="External"/><Relationship Id="rId4" Type="http://schemas.openxmlformats.org/officeDocument/2006/relationships/hyperlink" Target="file:///C:/Users/HJ/AppData/Local/Packages/Microsoft.MicrosoftEdge_8wekyb3d8bbwe/TempState/Downloads/01.-Judge-Henwo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6" ma:contentTypeDescription="Create a new document." ma:contentTypeScope="" ma:versionID="fbfd5390173523235c0a6d0f17cc15f5">
  <xsd:schema xmlns:xsd="http://www.w3.org/2001/XMLSchema" xmlns:xs="http://www.w3.org/2001/XMLSchema" xmlns:p="http://schemas.microsoft.com/office/2006/metadata/properties" xmlns:ns2="c1bbcd95-0181-462d-9c52-e702bfb7079d" targetNamespace="http://schemas.microsoft.com/office/2006/metadata/properties" ma:root="true" ma:fieldsID="9ec2d41ed2ca6df2289b3f320e2ab0f7" ns2:_="">
    <xsd:import namespace="c1bbcd95-0181-462d-9c52-e702bfb70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47E4-880A-42F7-A2A8-FCC5033C0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DE4B-3131-40DA-B0E6-C211B908E83F}">
  <ds:schemaRefs>
    <ds:schemaRef ds:uri="http://schemas.microsoft.com/sharepoint/v3/contenttype/forms"/>
  </ds:schemaRefs>
</ds:datastoreItem>
</file>

<file path=customXml/itemProps3.xml><?xml version="1.0" encoding="utf-8"?>
<ds:datastoreItem xmlns:ds="http://schemas.openxmlformats.org/officeDocument/2006/customXml" ds:itemID="{2282C8F8-F80B-4C3C-822A-2DC13EDA44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750FD-F966-4A92-B6F3-CD34DE60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Hanne Janes</cp:lastModifiedBy>
  <cp:revision>2</cp:revision>
  <dcterms:created xsi:type="dcterms:W3CDTF">2020-01-07T04:43:00Z</dcterms:created>
  <dcterms:modified xsi:type="dcterms:W3CDTF">2020-01-07T04:43:00Z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