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D75A4" w14:textId="77777777" w:rsidR="007911D3" w:rsidRDefault="002265F5" w:rsidP="007911D3">
      <w:pPr>
        <w:jc w:val="center"/>
      </w:pPr>
      <w:r>
        <w:rPr>
          <w:noProof/>
        </w:rPr>
        <w:drawing>
          <wp:inline distT="0" distB="0" distL="0" distR="0" wp14:anchorId="5DC804DF" wp14:editId="5D6FD180">
            <wp:extent cx="3386411" cy="8422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2854" cy="848864"/>
                    </a:xfrm>
                    <a:prstGeom prst="rect">
                      <a:avLst/>
                    </a:prstGeom>
                  </pic:spPr>
                </pic:pic>
              </a:graphicData>
            </a:graphic>
          </wp:inline>
        </w:drawing>
      </w:r>
    </w:p>
    <w:p w14:paraId="778712FB" w14:textId="77777777" w:rsidR="007911D3" w:rsidRDefault="007911D3" w:rsidP="007911D3"/>
    <w:tbl>
      <w:tblPr>
        <w:tblW w:w="0" w:type="auto"/>
        <w:tblLook w:val="04A0" w:firstRow="1" w:lastRow="0" w:firstColumn="1" w:lastColumn="0" w:noHBand="0" w:noVBand="1"/>
      </w:tblPr>
      <w:tblGrid>
        <w:gridCol w:w="8414"/>
      </w:tblGrid>
      <w:tr w:rsidR="007911D3" w:rsidRPr="00B62947" w14:paraId="5406A867" w14:textId="77777777" w:rsidTr="00946BF1">
        <w:trPr>
          <w:trHeight w:val="560"/>
        </w:trPr>
        <w:tc>
          <w:tcPr>
            <w:tcW w:w="8414" w:type="dxa"/>
          </w:tcPr>
          <w:p w14:paraId="13F01183" w14:textId="77777777" w:rsidR="007911D3" w:rsidRPr="004A71F8" w:rsidRDefault="007911D3" w:rsidP="00946BF1">
            <w:pPr>
              <w:tabs>
                <w:tab w:val="left" w:pos="2268"/>
                <w:tab w:val="left" w:pos="5103"/>
              </w:tabs>
              <w:rPr>
                <w:rFonts w:asciiTheme="minorHAnsi" w:hAnsiTheme="minorHAnsi" w:cstheme="minorHAnsi"/>
                <w:b/>
              </w:rPr>
            </w:pPr>
          </w:p>
          <w:p w14:paraId="7BDC7879" w14:textId="77777777" w:rsidR="007911D3" w:rsidRPr="004A71F8" w:rsidRDefault="007911D3" w:rsidP="00946BF1">
            <w:pPr>
              <w:tabs>
                <w:tab w:val="left" w:pos="2268"/>
                <w:tab w:val="left" w:pos="5103"/>
              </w:tabs>
              <w:rPr>
                <w:rFonts w:asciiTheme="minorHAnsi" w:hAnsiTheme="minorHAnsi" w:cstheme="minorHAnsi"/>
                <w:b/>
              </w:rPr>
            </w:pPr>
            <w:r w:rsidRPr="004A71F8">
              <w:rPr>
                <w:rFonts w:asciiTheme="minorHAnsi" w:hAnsiTheme="minorHAnsi" w:cstheme="minorHAnsi"/>
                <w:b/>
              </w:rPr>
              <w:tab/>
              <w:t>UNDER</w:t>
            </w:r>
            <w:r w:rsidRPr="004A71F8">
              <w:rPr>
                <w:rFonts w:asciiTheme="minorHAnsi" w:hAnsiTheme="minorHAnsi" w:cstheme="minorHAnsi"/>
                <w:b/>
              </w:rPr>
              <w:tab/>
              <w:t>THE INQUIRIES ACT 2013</w:t>
            </w:r>
          </w:p>
        </w:tc>
      </w:tr>
      <w:tr w:rsidR="007911D3" w:rsidRPr="00B62947" w14:paraId="66707A20" w14:textId="77777777" w:rsidTr="00946BF1">
        <w:trPr>
          <w:trHeight w:val="552"/>
        </w:trPr>
        <w:tc>
          <w:tcPr>
            <w:tcW w:w="8414" w:type="dxa"/>
          </w:tcPr>
          <w:p w14:paraId="1E77475E" w14:textId="77777777" w:rsidR="007911D3" w:rsidRPr="004A71F8" w:rsidRDefault="007911D3" w:rsidP="00946BF1">
            <w:pPr>
              <w:tabs>
                <w:tab w:val="left" w:pos="2268"/>
                <w:tab w:val="left" w:pos="5103"/>
              </w:tabs>
              <w:rPr>
                <w:rFonts w:asciiTheme="minorHAnsi" w:hAnsiTheme="minorHAnsi" w:cstheme="minorHAnsi"/>
                <w:b/>
              </w:rPr>
            </w:pPr>
            <w:r w:rsidRPr="004A71F8">
              <w:rPr>
                <w:rFonts w:asciiTheme="minorHAnsi" w:hAnsiTheme="minorHAnsi" w:cstheme="minorHAnsi"/>
                <w:b/>
              </w:rPr>
              <w:tab/>
            </w:r>
          </w:p>
          <w:p w14:paraId="60F9B3B8" w14:textId="77777777" w:rsidR="007911D3" w:rsidRPr="004A71F8" w:rsidRDefault="007911D3" w:rsidP="00946BF1">
            <w:pPr>
              <w:tabs>
                <w:tab w:val="left" w:pos="2268"/>
                <w:tab w:val="left" w:pos="5103"/>
              </w:tabs>
              <w:rPr>
                <w:rFonts w:asciiTheme="minorHAnsi" w:hAnsiTheme="minorHAnsi" w:cstheme="minorHAnsi"/>
                <w:b/>
              </w:rPr>
            </w:pPr>
            <w:r w:rsidRPr="004A71F8">
              <w:rPr>
                <w:rFonts w:asciiTheme="minorHAnsi" w:hAnsiTheme="minorHAnsi" w:cstheme="minorHAnsi"/>
                <w:b/>
              </w:rPr>
              <w:tab/>
            </w:r>
          </w:p>
        </w:tc>
      </w:tr>
      <w:tr w:rsidR="007911D3" w:rsidRPr="00B62947" w14:paraId="59A02774" w14:textId="77777777" w:rsidTr="00946BF1">
        <w:trPr>
          <w:trHeight w:val="561"/>
        </w:trPr>
        <w:tc>
          <w:tcPr>
            <w:tcW w:w="8414" w:type="dxa"/>
          </w:tcPr>
          <w:p w14:paraId="040A0721" w14:textId="77777777" w:rsidR="007911D3" w:rsidRPr="004A71F8" w:rsidRDefault="007911D3" w:rsidP="00946BF1">
            <w:pPr>
              <w:tabs>
                <w:tab w:val="left" w:pos="2268"/>
                <w:tab w:val="left" w:pos="5103"/>
              </w:tabs>
              <w:ind w:left="5103" w:hanging="5103"/>
              <w:rPr>
                <w:rFonts w:asciiTheme="minorHAnsi" w:hAnsiTheme="minorHAnsi" w:cstheme="minorHAnsi"/>
                <w:b/>
              </w:rPr>
            </w:pPr>
            <w:r w:rsidRPr="004A71F8">
              <w:rPr>
                <w:rFonts w:asciiTheme="minorHAnsi" w:hAnsiTheme="minorHAnsi" w:cstheme="minorHAnsi"/>
                <w:b/>
              </w:rPr>
              <w:tab/>
            </w:r>
            <w:r w:rsidRPr="004A71F8">
              <w:rPr>
                <w:rFonts w:asciiTheme="minorHAnsi" w:hAnsiTheme="minorHAnsi" w:cstheme="minorHAnsi"/>
                <w:b/>
              </w:rPr>
              <w:tab/>
              <w:t>IN THE MATTER OF</w:t>
            </w:r>
            <w:r w:rsidR="004A71F8">
              <w:rPr>
                <w:rFonts w:asciiTheme="minorHAnsi" w:hAnsiTheme="minorHAnsi" w:cstheme="minorHAnsi"/>
                <w:b/>
              </w:rPr>
              <w:t xml:space="preserve"> </w:t>
            </w:r>
            <w:r w:rsidRPr="004A71F8">
              <w:rPr>
                <w:rFonts w:asciiTheme="minorHAnsi" w:hAnsiTheme="minorHAnsi" w:cstheme="minorHAnsi"/>
                <w:b/>
              </w:rPr>
              <w:t xml:space="preserve">The Royal Commission </w:t>
            </w:r>
            <w:r w:rsidR="00111C5B" w:rsidRPr="004A71F8">
              <w:rPr>
                <w:rFonts w:asciiTheme="minorHAnsi" w:hAnsiTheme="minorHAnsi" w:cstheme="minorHAnsi"/>
                <w:b/>
              </w:rPr>
              <w:t xml:space="preserve">of Inquiry </w:t>
            </w:r>
            <w:r w:rsidRPr="004A71F8">
              <w:rPr>
                <w:rFonts w:asciiTheme="minorHAnsi" w:hAnsiTheme="minorHAnsi" w:cstheme="minorHAnsi"/>
                <w:b/>
              </w:rPr>
              <w:t>into Historical Abuse in State Care and in the Care of Faith-based Institutions</w:t>
            </w:r>
          </w:p>
          <w:p w14:paraId="0FC026E0" w14:textId="77777777" w:rsidR="007911D3" w:rsidRPr="004A71F8" w:rsidRDefault="007911D3" w:rsidP="00946BF1">
            <w:pPr>
              <w:tabs>
                <w:tab w:val="left" w:pos="2268"/>
                <w:tab w:val="left" w:pos="5103"/>
              </w:tabs>
              <w:rPr>
                <w:rFonts w:asciiTheme="minorHAnsi" w:hAnsiTheme="minorHAnsi" w:cstheme="minorHAnsi"/>
                <w:b/>
              </w:rPr>
            </w:pPr>
            <w:r w:rsidRPr="004A71F8">
              <w:rPr>
                <w:rFonts w:asciiTheme="minorHAnsi" w:hAnsiTheme="minorHAnsi" w:cstheme="minorHAnsi"/>
                <w:b/>
              </w:rPr>
              <w:tab/>
            </w:r>
            <w:r w:rsidRPr="004A71F8">
              <w:rPr>
                <w:rFonts w:asciiTheme="minorHAnsi" w:hAnsiTheme="minorHAnsi" w:cstheme="minorHAnsi"/>
                <w:b/>
              </w:rPr>
              <w:tab/>
            </w:r>
          </w:p>
        </w:tc>
      </w:tr>
    </w:tbl>
    <w:p w14:paraId="7016834D" w14:textId="77777777" w:rsidR="007911D3" w:rsidRPr="00F32D84" w:rsidRDefault="007911D3" w:rsidP="007911D3">
      <w:pPr>
        <w:pStyle w:val="NoSpacing"/>
        <w:rPr>
          <w:b/>
          <w:bCs/>
        </w:rPr>
      </w:pPr>
    </w:p>
    <w:p w14:paraId="2AB80BF9" w14:textId="77777777" w:rsidR="007911D3" w:rsidRPr="00F32D84" w:rsidRDefault="007911D3" w:rsidP="007911D3">
      <w:pPr>
        <w:pStyle w:val="NoSpacing"/>
        <w:rPr>
          <w:b/>
          <w:bCs/>
        </w:rPr>
      </w:pPr>
      <w:r w:rsidRPr="00F32D84">
        <w:rPr>
          <w:b/>
          <w:bCs/>
        </w:rPr>
        <w:t>__________________________________________________________________________</w:t>
      </w:r>
    </w:p>
    <w:p w14:paraId="71B0119E" w14:textId="77777777" w:rsidR="007911D3" w:rsidRPr="00F32D84" w:rsidRDefault="007911D3" w:rsidP="007911D3">
      <w:pPr>
        <w:pStyle w:val="NoSpacing"/>
        <w:jc w:val="center"/>
        <w:rPr>
          <w:b/>
          <w:bCs/>
        </w:rPr>
      </w:pPr>
    </w:p>
    <w:p w14:paraId="0AA0C327" w14:textId="77777777" w:rsidR="007911D3" w:rsidRDefault="007911D3" w:rsidP="008E78FF">
      <w:pPr>
        <w:pStyle w:val="NoSpacing"/>
        <w:jc w:val="center"/>
        <w:rPr>
          <w:b/>
          <w:bCs/>
        </w:rPr>
      </w:pPr>
      <w:r>
        <w:rPr>
          <w:b/>
          <w:bCs/>
        </w:rPr>
        <w:t xml:space="preserve">PRACTICE NOTE </w:t>
      </w:r>
      <w:r w:rsidR="00F2419C">
        <w:rPr>
          <w:b/>
          <w:bCs/>
        </w:rPr>
        <w:t xml:space="preserve">6 </w:t>
      </w:r>
      <w:r>
        <w:rPr>
          <w:b/>
          <w:bCs/>
        </w:rPr>
        <w:t>–</w:t>
      </w:r>
      <w:r w:rsidR="00613D3F">
        <w:rPr>
          <w:b/>
          <w:bCs/>
        </w:rPr>
        <w:t xml:space="preserve"> </w:t>
      </w:r>
      <w:r w:rsidR="00111C5B">
        <w:rPr>
          <w:b/>
          <w:bCs/>
        </w:rPr>
        <w:t xml:space="preserve">PUBLIC HEARINGS </w:t>
      </w:r>
    </w:p>
    <w:p w14:paraId="546B603F" w14:textId="77777777" w:rsidR="007911D3" w:rsidRDefault="007911D3" w:rsidP="007911D3">
      <w:pPr>
        <w:pStyle w:val="NoSpacing"/>
        <w:jc w:val="center"/>
        <w:rPr>
          <w:b/>
          <w:bCs/>
        </w:rPr>
      </w:pPr>
    </w:p>
    <w:p w14:paraId="365829C1" w14:textId="5F5B2802" w:rsidR="007911D3" w:rsidRPr="00F32D84" w:rsidRDefault="007911D3" w:rsidP="007911D3">
      <w:pPr>
        <w:pStyle w:val="NoSpacing"/>
        <w:jc w:val="center"/>
        <w:rPr>
          <w:b/>
          <w:bCs/>
        </w:rPr>
      </w:pPr>
      <w:r>
        <w:rPr>
          <w:b/>
          <w:bCs/>
        </w:rPr>
        <w:t xml:space="preserve">Dated: </w:t>
      </w:r>
      <w:r w:rsidR="008456D2">
        <w:rPr>
          <w:b/>
          <w:bCs/>
        </w:rPr>
        <w:t xml:space="preserve">2 </w:t>
      </w:r>
      <w:r w:rsidR="00515F09">
        <w:rPr>
          <w:b/>
          <w:bCs/>
        </w:rPr>
        <w:t>September</w:t>
      </w:r>
      <w:r w:rsidR="00F2419C">
        <w:rPr>
          <w:b/>
          <w:bCs/>
        </w:rPr>
        <w:t xml:space="preserve"> </w:t>
      </w:r>
      <w:r>
        <w:rPr>
          <w:b/>
          <w:bCs/>
        </w:rPr>
        <w:t>20</w:t>
      </w:r>
      <w:r w:rsidR="008E78FF">
        <w:rPr>
          <w:b/>
          <w:bCs/>
        </w:rPr>
        <w:t>20</w:t>
      </w:r>
    </w:p>
    <w:p w14:paraId="6F4694EC" w14:textId="77777777" w:rsidR="00C037DA" w:rsidRDefault="007911D3" w:rsidP="00C67AA6">
      <w:pPr>
        <w:pStyle w:val="NoSpacing"/>
      </w:pPr>
      <w:r w:rsidRPr="00F32D84">
        <w:rPr>
          <w:b/>
          <w:bCs/>
        </w:rPr>
        <w:t>_____________________________________________________________________________</w:t>
      </w:r>
    </w:p>
    <w:p w14:paraId="01CC0A57" w14:textId="77777777" w:rsidR="00D8452F" w:rsidRPr="004E05DD" w:rsidRDefault="00D8452F" w:rsidP="005C1FCA">
      <w:pPr>
        <w:spacing w:before="120" w:after="240"/>
        <w:ind w:left="1985"/>
        <w:rPr>
          <w:rFonts w:asciiTheme="minorHAnsi" w:hAnsiTheme="minorHAnsi" w:cstheme="minorHAnsi"/>
          <w:b/>
          <w:bCs/>
          <w:sz w:val="20"/>
          <w:szCs w:val="21"/>
        </w:rPr>
      </w:pPr>
      <w:r w:rsidRPr="004E05DD">
        <w:rPr>
          <w:rFonts w:asciiTheme="minorHAnsi" w:hAnsiTheme="minorHAnsi" w:cstheme="minorHAnsi"/>
          <w:b/>
          <w:bCs/>
          <w:sz w:val="20"/>
          <w:szCs w:val="21"/>
        </w:rPr>
        <w:t>SECTION 1 – INTRODUCTION</w:t>
      </w:r>
    </w:p>
    <w:p w14:paraId="0BB54E9A" w14:textId="2E4A3EF0" w:rsidR="00D8452F" w:rsidRPr="004E05DD" w:rsidRDefault="00D8452F" w:rsidP="005C1FCA">
      <w:pPr>
        <w:pStyle w:val="NoSpacing"/>
        <w:spacing w:before="120" w:after="240"/>
        <w:ind w:left="1985"/>
        <w:rPr>
          <w:b/>
          <w:bCs/>
          <w:sz w:val="20"/>
          <w:szCs w:val="21"/>
        </w:rPr>
      </w:pPr>
      <w:r w:rsidRPr="004E05DD">
        <w:rPr>
          <w:b/>
          <w:bCs/>
          <w:sz w:val="20"/>
          <w:szCs w:val="21"/>
        </w:rPr>
        <w:t xml:space="preserve">SECTION 2 – </w:t>
      </w:r>
      <w:r w:rsidR="00F2419C" w:rsidRPr="004E05DD">
        <w:rPr>
          <w:b/>
          <w:bCs/>
          <w:sz w:val="20"/>
          <w:szCs w:val="21"/>
        </w:rPr>
        <w:t xml:space="preserve">APPLICATIONS FOR LEAVE TO APPEAR AT </w:t>
      </w:r>
      <w:r w:rsidR="00943CA6" w:rsidRPr="004E05DD">
        <w:rPr>
          <w:b/>
          <w:bCs/>
          <w:sz w:val="20"/>
          <w:szCs w:val="21"/>
        </w:rPr>
        <w:t xml:space="preserve">A PUBLIC </w:t>
      </w:r>
      <w:r w:rsidR="00F2419C" w:rsidRPr="004E05DD">
        <w:rPr>
          <w:b/>
          <w:bCs/>
          <w:sz w:val="20"/>
          <w:szCs w:val="21"/>
        </w:rPr>
        <w:t>HEARING</w:t>
      </w:r>
    </w:p>
    <w:p w14:paraId="459516C1" w14:textId="5D0EC76B" w:rsidR="00F2419C" w:rsidRPr="004E05DD" w:rsidRDefault="00F2419C" w:rsidP="005C1FCA">
      <w:pPr>
        <w:pStyle w:val="NoSpacing"/>
        <w:spacing w:before="120" w:after="240"/>
        <w:ind w:left="1985"/>
        <w:rPr>
          <w:b/>
          <w:bCs/>
          <w:sz w:val="20"/>
          <w:szCs w:val="21"/>
        </w:rPr>
      </w:pPr>
      <w:r w:rsidRPr="004E05DD">
        <w:rPr>
          <w:b/>
          <w:bCs/>
          <w:sz w:val="20"/>
          <w:szCs w:val="21"/>
        </w:rPr>
        <w:t xml:space="preserve">SECTION 3 </w:t>
      </w:r>
      <w:r w:rsidR="00923B05" w:rsidRPr="004E05DD">
        <w:rPr>
          <w:b/>
          <w:bCs/>
          <w:sz w:val="20"/>
          <w:szCs w:val="21"/>
        </w:rPr>
        <w:t>–</w:t>
      </w:r>
      <w:r w:rsidRPr="004E05DD">
        <w:rPr>
          <w:b/>
          <w:bCs/>
          <w:sz w:val="20"/>
          <w:szCs w:val="21"/>
        </w:rPr>
        <w:t xml:space="preserve"> </w:t>
      </w:r>
      <w:r w:rsidR="00923B05" w:rsidRPr="004E05DD">
        <w:rPr>
          <w:b/>
          <w:bCs/>
          <w:sz w:val="20"/>
          <w:szCs w:val="21"/>
        </w:rPr>
        <w:t>FILING AND DISCLOSURE OF WITNESS STATEMENTS</w:t>
      </w:r>
      <w:r w:rsidR="00AD6595" w:rsidRPr="004E05DD">
        <w:rPr>
          <w:b/>
          <w:bCs/>
          <w:sz w:val="20"/>
          <w:szCs w:val="21"/>
        </w:rPr>
        <w:t xml:space="preserve"> RELEVANT TO PUBLIC HEARINGS</w:t>
      </w:r>
    </w:p>
    <w:p w14:paraId="0396CC6A" w14:textId="77777777" w:rsidR="00923B05" w:rsidRPr="004E05DD" w:rsidRDefault="00923B05" w:rsidP="005C1FCA">
      <w:pPr>
        <w:pStyle w:val="NoSpacing"/>
        <w:spacing w:before="120" w:after="240"/>
        <w:ind w:left="1985"/>
        <w:rPr>
          <w:b/>
          <w:bCs/>
          <w:sz w:val="20"/>
          <w:szCs w:val="21"/>
        </w:rPr>
      </w:pPr>
      <w:r w:rsidRPr="004E05DD">
        <w:rPr>
          <w:b/>
          <w:bCs/>
          <w:sz w:val="20"/>
          <w:szCs w:val="21"/>
        </w:rPr>
        <w:t>SECTION 4 – SUPPLEMENTARY EVIDENCE</w:t>
      </w:r>
    </w:p>
    <w:p w14:paraId="4B2CAEB0" w14:textId="77777777" w:rsidR="00801BBC" w:rsidRPr="004E05DD" w:rsidRDefault="00801BBC" w:rsidP="005C1FCA">
      <w:pPr>
        <w:pStyle w:val="NoSpacing"/>
        <w:spacing w:before="120" w:after="240"/>
        <w:ind w:left="1985"/>
        <w:rPr>
          <w:b/>
          <w:bCs/>
          <w:sz w:val="20"/>
          <w:szCs w:val="21"/>
        </w:rPr>
      </w:pPr>
      <w:r w:rsidRPr="004E05DD">
        <w:rPr>
          <w:b/>
          <w:bCs/>
          <w:sz w:val="20"/>
          <w:szCs w:val="21"/>
        </w:rPr>
        <w:t xml:space="preserve">SECTION 5 – </w:t>
      </w:r>
      <w:r w:rsidR="00870E3F" w:rsidRPr="004E05DD">
        <w:rPr>
          <w:b/>
          <w:bCs/>
          <w:sz w:val="20"/>
          <w:szCs w:val="21"/>
        </w:rPr>
        <w:t>SELECTION OF WITNESSES FOR HEARINGS</w:t>
      </w:r>
    </w:p>
    <w:p w14:paraId="0C3667EA" w14:textId="77777777" w:rsidR="00870E3F" w:rsidRPr="004E05DD" w:rsidRDefault="00801BBC" w:rsidP="005C1FCA">
      <w:pPr>
        <w:pStyle w:val="NoSpacing"/>
        <w:spacing w:before="120" w:after="240"/>
        <w:ind w:left="1985"/>
        <w:rPr>
          <w:b/>
          <w:bCs/>
          <w:sz w:val="20"/>
          <w:szCs w:val="21"/>
        </w:rPr>
      </w:pPr>
      <w:r w:rsidRPr="004E05DD">
        <w:rPr>
          <w:b/>
          <w:bCs/>
          <w:sz w:val="20"/>
          <w:szCs w:val="21"/>
        </w:rPr>
        <w:t xml:space="preserve">SECTION 6 – </w:t>
      </w:r>
      <w:r w:rsidR="00870E3F" w:rsidRPr="004E05DD">
        <w:rPr>
          <w:b/>
          <w:bCs/>
          <w:sz w:val="20"/>
          <w:szCs w:val="21"/>
        </w:rPr>
        <w:t>QUESTIONING OF WITNESSES</w:t>
      </w:r>
    </w:p>
    <w:p w14:paraId="1E3D248C" w14:textId="77777777" w:rsidR="00870E3F" w:rsidRPr="004E05DD" w:rsidRDefault="00870E3F" w:rsidP="005C1FCA">
      <w:pPr>
        <w:pStyle w:val="NoSpacing"/>
        <w:spacing w:before="120" w:after="240"/>
        <w:ind w:left="1985"/>
        <w:rPr>
          <w:b/>
          <w:bCs/>
          <w:sz w:val="20"/>
          <w:szCs w:val="21"/>
        </w:rPr>
      </w:pPr>
      <w:r w:rsidRPr="004E05DD">
        <w:rPr>
          <w:b/>
          <w:bCs/>
          <w:sz w:val="20"/>
          <w:szCs w:val="21"/>
        </w:rPr>
        <w:t>SECTION 7 – DOCUMENT HEARING BUNDLES</w:t>
      </w:r>
    </w:p>
    <w:p w14:paraId="2AAFCC9A" w14:textId="77777777" w:rsidR="00801BBC" w:rsidRPr="004E05DD" w:rsidRDefault="00870E3F" w:rsidP="005C1FCA">
      <w:pPr>
        <w:pStyle w:val="NoSpacing"/>
        <w:spacing w:before="120" w:after="240"/>
        <w:ind w:left="1985"/>
        <w:rPr>
          <w:b/>
          <w:bCs/>
          <w:sz w:val="20"/>
          <w:szCs w:val="21"/>
        </w:rPr>
      </w:pPr>
      <w:r w:rsidRPr="004E05DD">
        <w:rPr>
          <w:b/>
          <w:bCs/>
          <w:sz w:val="20"/>
          <w:szCs w:val="21"/>
        </w:rPr>
        <w:t xml:space="preserve">SECTION 8 - </w:t>
      </w:r>
      <w:r w:rsidR="00801BBC" w:rsidRPr="004E05DD">
        <w:rPr>
          <w:b/>
          <w:bCs/>
          <w:sz w:val="20"/>
          <w:szCs w:val="21"/>
        </w:rPr>
        <w:t>PROCEDURAL MATTERS</w:t>
      </w:r>
    </w:p>
    <w:p w14:paraId="3548FD33" w14:textId="77777777" w:rsidR="00801BBC" w:rsidRPr="004E05DD" w:rsidRDefault="00801BBC" w:rsidP="005C1FCA">
      <w:pPr>
        <w:pStyle w:val="NoSpacing"/>
        <w:spacing w:before="120" w:after="240"/>
        <w:ind w:left="1985"/>
        <w:rPr>
          <w:b/>
          <w:bCs/>
          <w:sz w:val="20"/>
          <w:szCs w:val="21"/>
        </w:rPr>
      </w:pPr>
      <w:r w:rsidRPr="004E05DD">
        <w:rPr>
          <w:b/>
          <w:bCs/>
          <w:sz w:val="20"/>
          <w:szCs w:val="21"/>
        </w:rPr>
        <w:t xml:space="preserve">SECTION </w:t>
      </w:r>
      <w:r w:rsidR="00870E3F" w:rsidRPr="004E05DD">
        <w:rPr>
          <w:b/>
          <w:bCs/>
          <w:sz w:val="20"/>
          <w:szCs w:val="21"/>
        </w:rPr>
        <w:t>9</w:t>
      </w:r>
      <w:r w:rsidRPr="004E05DD">
        <w:rPr>
          <w:b/>
          <w:bCs/>
          <w:sz w:val="20"/>
          <w:szCs w:val="21"/>
        </w:rPr>
        <w:t xml:space="preserve"> – HEARING PLAN</w:t>
      </w:r>
    </w:p>
    <w:p w14:paraId="4C264B6B" w14:textId="77777777" w:rsidR="00801BBC" w:rsidRPr="004E05DD" w:rsidRDefault="00801BBC" w:rsidP="005C1FCA">
      <w:pPr>
        <w:pStyle w:val="NoSpacing"/>
        <w:spacing w:before="120" w:after="240"/>
        <w:ind w:left="1985"/>
        <w:rPr>
          <w:b/>
          <w:bCs/>
          <w:sz w:val="20"/>
          <w:szCs w:val="21"/>
        </w:rPr>
      </w:pPr>
      <w:r w:rsidRPr="004E05DD">
        <w:rPr>
          <w:b/>
          <w:bCs/>
          <w:sz w:val="20"/>
          <w:szCs w:val="21"/>
        </w:rPr>
        <w:t xml:space="preserve">SECTION </w:t>
      </w:r>
      <w:r w:rsidR="00B804F2" w:rsidRPr="004E05DD">
        <w:rPr>
          <w:b/>
          <w:bCs/>
          <w:sz w:val="20"/>
          <w:szCs w:val="21"/>
        </w:rPr>
        <w:t>10</w:t>
      </w:r>
      <w:r w:rsidRPr="004E05DD">
        <w:rPr>
          <w:b/>
          <w:bCs/>
          <w:sz w:val="20"/>
          <w:szCs w:val="21"/>
        </w:rPr>
        <w:t xml:space="preserve"> – CONDUCT OF HEARING</w:t>
      </w:r>
      <w:r w:rsidR="00B804F2" w:rsidRPr="004E05DD">
        <w:rPr>
          <w:b/>
          <w:bCs/>
          <w:sz w:val="20"/>
          <w:szCs w:val="21"/>
        </w:rPr>
        <w:t>S</w:t>
      </w:r>
    </w:p>
    <w:p w14:paraId="7428230E" w14:textId="77777777" w:rsidR="00801BBC" w:rsidRPr="004E05DD" w:rsidRDefault="00801BBC" w:rsidP="005C1FCA">
      <w:pPr>
        <w:pStyle w:val="NoSpacing"/>
        <w:spacing w:before="120" w:after="240"/>
        <w:ind w:left="1985"/>
        <w:rPr>
          <w:b/>
          <w:bCs/>
          <w:sz w:val="20"/>
          <w:szCs w:val="21"/>
        </w:rPr>
      </w:pPr>
      <w:r w:rsidRPr="004E05DD">
        <w:rPr>
          <w:b/>
          <w:bCs/>
          <w:sz w:val="20"/>
          <w:szCs w:val="21"/>
        </w:rPr>
        <w:t xml:space="preserve">SECTION </w:t>
      </w:r>
      <w:r w:rsidR="00B804F2" w:rsidRPr="004E05DD">
        <w:rPr>
          <w:b/>
          <w:bCs/>
          <w:sz w:val="20"/>
          <w:szCs w:val="21"/>
        </w:rPr>
        <w:t>11</w:t>
      </w:r>
      <w:r w:rsidRPr="004E05DD">
        <w:rPr>
          <w:b/>
          <w:bCs/>
          <w:sz w:val="20"/>
          <w:szCs w:val="21"/>
        </w:rPr>
        <w:t xml:space="preserve"> – </w:t>
      </w:r>
      <w:r w:rsidR="005F3539" w:rsidRPr="004E05DD">
        <w:rPr>
          <w:b/>
          <w:bCs/>
          <w:sz w:val="20"/>
          <w:szCs w:val="21"/>
        </w:rPr>
        <w:t>TE REO AND TIKANGA MĀORI</w:t>
      </w:r>
    </w:p>
    <w:p w14:paraId="42D5D276" w14:textId="77777777" w:rsidR="00170A78" w:rsidRPr="004E05DD" w:rsidRDefault="00170A78" w:rsidP="005C1FCA">
      <w:pPr>
        <w:pStyle w:val="NoSpacing"/>
        <w:spacing w:before="120" w:after="240"/>
        <w:ind w:left="1985"/>
        <w:rPr>
          <w:b/>
          <w:bCs/>
          <w:sz w:val="20"/>
          <w:szCs w:val="21"/>
        </w:rPr>
      </w:pPr>
      <w:r w:rsidRPr="004E05DD">
        <w:rPr>
          <w:b/>
          <w:bCs/>
          <w:sz w:val="20"/>
          <w:szCs w:val="21"/>
        </w:rPr>
        <w:t>SECTION 12 – PACIFIC LANGUAGES</w:t>
      </w:r>
    </w:p>
    <w:p w14:paraId="1FF7D4CE" w14:textId="77777777" w:rsidR="00170A78" w:rsidRPr="004E05DD" w:rsidRDefault="00170A78" w:rsidP="005C1FCA">
      <w:pPr>
        <w:pStyle w:val="NoSpacing"/>
        <w:spacing w:before="120" w:after="240"/>
        <w:ind w:left="1985"/>
        <w:rPr>
          <w:b/>
          <w:bCs/>
          <w:sz w:val="20"/>
          <w:szCs w:val="21"/>
        </w:rPr>
      </w:pPr>
      <w:r w:rsidRPr="004E05DD">
        <w:rPr>
          <w:b/>
          <w:bCs/>
          <w:sz w:val="20"/>
          <w:szCs w:val="21"/>
        </w:rPr>
        <w:t>SECTION 13 –</w:t>
      </w:r>
      <w:r w:rsidR="00211B51" w:rsidRPr="004E05DD">
        <w:rPr>
          <w:b/>
          <w:bCs/>
          <w:sz w:val="20"/>
          <w:szCs w:val="21"/>
        </w:rPr>
        <w:t xml:space="preserve"> </w:t>
      </w:r>
      <w:r w:rsidRPr="004E05DD">
        <w:rPr>
          <w:b/>
          <w:bCs/>
          <w:sz w:val="20"/>
          <w:szCs w:val="21"/>
        </w:rPr>
        <w:t>SIGN LANGUAGE</w:t>
      </w:r>
    </w:p>
    <w:p w14:paraId="01ABB7CF" w14:textId="77777777" w:rsidR="00801BBC" w:rsidRPr="004E05DD" w:rsidRDefault="00801BBC" w:rsidP="00801BBC">
      <w:pPr>
        <w:pStyle w:val="NoSpacing"/>
        <w:spacing w:before="120" w:after="240"/>
        <w:ind w:left="1985"/>
        <w:rPr>
          <w:b/>
          <w:bCs/>
          <w:sz w:val="20"/>
          <w:szCs w:val="21"/>
        </w:rPr>
      </w:pPr>
      <w:r w:rsidRPr="004E05DD">
        <w:rPr>
          <w:b/>
          <w:bCs/>
          <w:sz w:val="20"/>
          <w:szCs w:val="21"/>
        </w:rPr>
        <w:t>SECTION 1</w:t>
      </w:r>
      <w:r w:rsidR="00170A78" w:rsidRPr="004E05DD">
        <w:rPr>
          <w:b/>
          <w:bCs/>
          <w:sz w:val="20"/>
          <w:szCs w:val="21"/>
        </w:rPr>
        <w:t>4</w:t>
      </w:r>
      <w:r w:rsidRPr="004E05DD">
        <w:rPr>
          <w:b/>
          <w:bCs/>
          <w:sz w:val="20"/>
          <w:szCs w:val="21"/>
        </w:rPr>
        <w:t xml:space="preserve"> – STREAMING AND PUBLICATION OF EVIDENCE</w:t>
      </w:r>
    </w:p>
    <w:p w14:paraId="33B732ED" w14:textId="77777777" w:rsidR="00366AC3" w:rsidRPr="004E05DD" w:rsidRDefault="00801BBC" w:rsidP="00801BBC">
      <w:pPr>
        <w:pStyle w:val="NoSpacing"/>
        <w:spacing w:before="120" w:after="240"/>
        <w:ind w:left="1985"/>
        <w:rPr>
          <w:rFonts w:eastAsia="Times New Roman"/>
          <w:b/>
          <w:bCs/>
          <w:sz w:val="20"/>
          <w:szCs w:val="21"/>
          <w:lang w:eastAsia="en-NZ"/>
        </w:rPr>
      </w:pPr>
      <w:r w:rsidRPr="004E05DD">
        <w:rPr>
          <w:b/>
          <w:bCs/>
          <w:sz w:val="20"/>
          <w:szCs w:val="21"/>
        </w:rPr>
        <w:t>SECTION 1</w:t>
      </w:r>
      <w:r w:rsidR="00170A78" w:rsidRPr="004E05DD">
        <w:rPr>
          <w:b/>
          <w:bCs/>
          <w:sz w:val="20"/>
          <w:szCs w:val="21"/>
        </w:rPr>
        <w:t>5</w:t>
      </w:r>
      <w:r w:rsidRPr="004E05DD">
        <w:rPr>
          <w:b/>
          <w:bCs/>
          <w:sz w:val="20"/>
          <w:szCs w:val="21"/>
        </w:rPr>
        <w:t xml:space="preserve"> – CLOSED SITTINGS</w:t>
      </w:r>
    </w:p>
    <w:p w14:paraId="162986D1" w14:textId="77777777" w:rsidR="004517A1" w:rsidRPr="00F722DD" w:rsidRDefault="00FE38EA" w:rsidP="004E05DD">
      <w:pPr>
        <w:spacing w:after="160" w:line="259" w:lineRule="auto"/>
        <w:jc w:val="both"/>
        <w:rPr>
          <w:rFonts w:asciiTheme="minorHAnsi" w:hAnsiTheme="minorHAnsi" w:cstheme="minorHAnsi"/>
          <w:b/>
          <w:bCs/>
          <w:sz w:val="22"/>
          <w:szCs w:val="22"/>
        </w:rPr>
      </w:pPr>
      <w:r w:rsidRPr="00F722DD">
        <w:rPr>
          <w:rFonts w:asciiTheme="minorHAnsi" w:hAnsiTheme="minorHAnsi" w:cstheme="minorHAnsi"/>
          <w:b/>
          <w:bCs/>
          <w:sz w:val="22"/>
          <w:szCs w:val="22"/>
        </w:rPr>
        <w:lastRenderedPageBreak/>
        <w:t xml:space="preserve">SECTION 1 - </w:t>
      </w:r>
      <w:r w:rsidR="007911D3" w:rsidRPr="00F722DD">
        <w:rPr>
          <w:rFonts w:asciiTheme="minorHAnsi" w:hAnsiTheme="minorHAnsi" w:cstheme="minorHAnsi"/>
          <w:b/>
          <w:bCs/>
          <w:sz w:val="22"/>
          <w:szCs w:val="22"/>
        </w:rPr>
        <w:t>INTRODUCTION</w:t>
      </w:r>
    </w:p>
    <w:p w14:paraId="5225CCCD" w14:textId="16387791" w:rsidR="00366AC3" w:rsidRDefault="00D826AB" w:rsidP="004E05DD">
      <w:pPr>
        <w:pStyle w:val="NoSpacing"/>
        <w:numPr>
          <w:ilvl w:val="0"/>
          <w:numId w:val="1"/>
        </w:numPr>
        <w:spacing w:before="120" w:after="240"/>
        <w:ind w:left="567" w:right="-46" w:hanging="567"/>
        <w:jc w:val="both"/>
      </w:pPr>
      <w:r>
        <w:t xml:space="preserve">The Royal Commission of Inquiry (“the Inquiry”) has launched a series of investigations into topics in its Terms of Reference. Investigations will gather </w:t>
      </w:r>
      <w:r w:rsidR="00217BEA">
        <w:t xml:space="preserve">evidence </w:t>
      </w:r>
      <w:r>
        <w:t xml:space="preserve">in a number of ways including through public hearings. </w:t>
      </w:r>
      <w:r w:rsidR="00550197">
        <w:t>This Practice Note sets out the</w:t>
      </w:r>
      <w:r>
        <w:t xml:space="preserve"> Inquiry’s</w:t>
      </w:r>
      <w:r w:rsidR="00366AC3" w:rsidRPr="00366AC3">
        <w:t xml:space="preserve"> </w:t>
      </w:r>
      <w:r w:rsidR="00550197">
        <w:t xml:space="preserve">procedures </w:t>
      </w:r>
      <w:r w:rsidR="00366AC3">
        <w:t>relating to</w:t>
      </w:r>
      <w:r w:rsidR="00550197">
        <w:t xml:space="preserve"> public hearings. </w:t>
      </w:r>
      <w:r w:rsidR="00727F50">
        <w:t>It should be read together with the Inquiry’s other practice notes</w:t>
      </w:r>
      <w:r w:rsidR="00523075">
        <w:t>,</w:t>
      </w:r>
      <w:r w:rsidR="00727F50">
        <w:t xml:space="preserve"> </w:t>
      </w:r>
      <w:r w:rsidR="007A51AA">
        <w:t>the</w:t>
      </w:r>
      <w:r w:rsidR="00727F50">
        <w:t xml:space="preserve"> General </w:t>
      </w:r>
      <w:r w:rsidR="00180C8E">
        <w:t xml:space="preserve">Section 15 </w:t>
      </w:r>
      <w:r w:rsidR="00727F50">
        <w:t xml:space="preserve">Restriction Order </w:t>
      </w:r>
      <w:r w:rsidR="000D7017">
        <w:t xml:space="preserve">re-issued on </w:t>
      </w:r>
      <w:r w:rsidR="00CB7E20">
        <w:t xml:space="preserve">2 </w:t>
      </w:r>
      <w:r w:rsidR="00CE1311">
        <w:t>September 2020</w:t>
      </w:r>
      <w:r w:rsidR="00523075" w:rsidRPr="000F166B">
        <w:t xml:space="preserve">, and </w:t>
      </w:r>
      <w:r w:rsidR="00F35FD2">
        <w:t xml:space="preserve">s 14 of </w:t>
      </w:r>
      <w:r w:rsidR="00523075" w:rsidRPr="000F166B">
        <w:t>the Inquiries Act 2013</w:t>
      </w:r>
      <w:r w:rsidR="00523075">
        <w:t xml:space="preserve"> (“the Act”). </w:t>
      </w:r>
    </w:p>
    <w:p w14:paraId="0F2EBC40" w14:textId="77777777" w:rsidR="004A71F8" w:rsidRDefault="00550197" w:rsidP="004E05DD">
      <w:pPr>
        <w:pStyle w:val="NoSpacing"/>
        <w:numPr>
          <w:ilvl w:val="0"/>
          <w:numId w:val="1"/>
        </w:numPr>
        <w:spacing w:before="120" w:after="240"/>
        <w:ind w:left="567" w:hanging="567"/>
        <w:jc w:val="both"/>
      </w:pPr>
      <w:r>
        <w:t>From time to time the Inquiry may</w:t>
      </w:r>
      <w:r w:rsidR="00D125F9">
        <w:t xml:space="preserve"> </w:t>
      </w:r>
      <w:r w:rsidR="00EA7D4B">
        <w:t>make</w:t>
      </w:r>
      <w:r>
        <w:t xml:space="preserve"> further directions relating to public hearings</w:t>
      </w:r>
      <w:r w:rsidR="00261174">
        <w:t>,</w:t>
      </w:r>
      <w:r>
        <w:t xml:space="preserve"> if required. </w:t>
      </w:r>
    </w:p>
    <w:p w14:paraId="0EF8ACAF" w14:textId="77777777" w:rsidR="009D02B3" w:rsidRDefault="009D02B3" w:rsidP="004E05DD">
      <w:pPr>
        <w:pStyle w:val="NoSpacing"/>
        <w:numPr>
          <w:ilvl w:val="0"/>
          <w:numId w:val="1"/>
        </w:numPr>
        <w:spacing w:before="120" w:after="240"/>
        <w:ind w:left="567" w:hanging="567"/>
        <w:jc w:val="both"/>
      </w:pPr>
      <w:r>
        <w:t xml:space="preserve">Most of the Inquiry’s public hearings will be held in its hearing centre located at </w:t>
      </w:r>
      <w:r w:rsidR="007B561D">
        <w:t xml:space="preserve">414 Khyber Pass, </w:t>
      </w:r>
      <w:r w:rsidR="00185017">
        <w:t>Newmarket,</w:t>
      </w:r>
      <w:r>
        <w:t xml:space="preserve"> Auckland. When a public hearing is to be held elsewhere</w:t>
      </w:r>
      <w:r w:rsidR="00FA5F9A">
        <w:t xml:space="preserve">, for example on a </w:t>
      </w:r>
      <w:r w:rsidR="00593F64">
        <w:t>m</w:t>
      </w:r>
      <w:r w:rsidR="00FA5F9A">
        <w:t>arae</w:t>
      </w:r>
      <w:r>
        <w:t xml:space="preserve">, the Inquiry will </w:t>
      </w:r>
      <w:r w:rsidR="00FA5F9A">
        <w:t xml:space="preserve">consult with </w:t>
      </w:r>
      <w:r w:rsidR="00A12874">
        <w:t>m</w:t>
      </w:r>
      <w:r w:rsidR="00FA5F9A">
        <w:t xml:space="preserve">ana whenua and will </w:t>
      </w:r>
      <w:r>
        <w:t>notify</w:t>
      </w:r>
      <w:r w:rsidR="004B2C13">
        <w:t xml:space="preserve"> the public and</w:t>
      </w:r>
      <w:r>
        <w:t xml:space="preserve"> participants </w:t>
      </w:r>
      <w:r w:rsidR="000908ED">
        <w:t xml:space="preserve">of the hearing location </w:t>
      </w:r>
      <w:r>
        <w:t>via its website</w:t>
      </w:r>
      <w:r w:rsidR="0082001F">
        <w:t>:  www.abuseincare.org.nz</w:t>
      </w:r>
    </w:p>
    <w:p w14:paraId="75056959" w14:textId="77777777" w:rsidR="009D02B3" w:rsidRDefault="009D02B3" w:rsidP="004E05DD">
      <w:pPr>
        <w:pStyle w:val="NoSpacing"/>
        <w:numPr>
          <w:ilvl w:val="0"/>
          <w:numId w:val="1"/>
        </w:numPr>
        <w:spacing w:before="120" w:after="240"/>
        <w:ind w:left="567" w:hanging="567"/>
        <w:jc w:val="both"/>
      </w:pPr>
      <w:r>
        <w:t xml:space="preserve">Public hearings will be held in two sessions per day. The morning session will </w:t>
      </w:r>
      <w:r w:rsidR="000908ED">
        <w:t>usually run</w:t>
      </w:r>
      <w:r>
        <w:t xml:space="preserve"> from 10am to 1pm, with a break for morning tea</w:t>
      </w:r>
      <w:r w:rsidR="00A642A4">
        <w:t xml:space="preserve"> during the session</w:t>
      </w:r>
      <w:r>
        <w:t xml:space="preserve">. The afternoon session will </w:t>
      </w:r>
      <w:r w:rsidR="007676FC">
        <w:t xml:space="preserve">usually </w:t>
      </w:r>
      <w:r>
        <w:t>run from 2pm to 5pm, with a break for afternoon tea</w:t>
      </w:r>
      <w:r w:rsidR="00A642A4">
        <w:t xml:space="preserve"> during the session</w:t>
      </w:r>
      <w:r>
        <w:t xml:space="preserve">. </w:t>
      </w:r>
      <w:r w:rsidR="0082001F">
        <w:t>These</w:t>
      </w:r>
      <w:r>
        <w:t xml:space="preserve"> times may be subject to change a</w:t>
      </w:r>
      <w:r w:rsidR="007676FC">
        <w:t>t the</w:t>
      </w:r>
      <w:r>
        <w:t xml:space="preserve"> direction </w:t>
      </w:r>
      <w:r w:rsidR="007676FC">
        <w:t xml:space="preserve">of </w:t>
      </w:r>
      <w:r>
        <w:t xml:space="preserve">the Chair.  </w:t>
      </w:r>
    </w:p>
    <w:p w14:paraId="6BA768E0" w14:textId="77777777" w:rsidR="00C87264" w:rsidRDefault="00C87264" w:rsidP="004E05DD">
      <w:pPr>
        <w:pStyle w:val="NoSpacing"/>
        <w:spacing w:before="120" w:after="240"/>
        <w:jc w:val="both"/>
        <w:rPr>
          <w:b/>
          <w:bCs/>
        </w:rPr>
      </w:pPr>
      <w:r>
        <w:rPr>
          <w:b/>
          <w:bCs/>
        </w:rPr>
        <w:t>SECTION 2 – APPLICATIONS FOR LEAVE TO APPEAR AT A PUBLIC HEARING</w:t>
      </w:r>
    </w:p>
    <w:p w14:paraId="106F48CC" w14:textId="77777777" w:rsidR="00C87264" w:rsidRDefault="00C87264" w:rsidP="004E05DD">
      <w:pPr>
        <w:pStyle w:val="NoSpacing"/>
        <w:numPr>
          <w:ilvl w:val="0"/>
          <w:numId w:val="1"/>
        </w:numPr>
        <w:spacing w:before="120" w:after="240"/>
        <w:ind w:left="567" w:hanging="567"/>
        <w:jc w:val="both"/>
      </w:pPr>
      <w:r>
        <w:t xml:space="preserve">This section replaces the </w:t>
      </w:r>
      <w:r w:rsidR="00594632">
        <w:t xml:space="preserve">directions in the Inquiry’s Minute 1 dated 2 July 2019 </w:t>
      </w:r>
      <w:r w:rsidR="00727F50">
        <w:t>relating to</w:t>
      </w:r>
      <w:r w:rsidR="00594632">
        <w:t xml:space="preserve"> applications for leave to appear at a public hearing. </w:t>
      </w:r>
    </w:p>
    <w:p w14:paraId="1848717C" w14:textId="77777777" w:rsidR="00B921E7" w:rsidRDefault="00B921E7" w:rsidP="004E05DD">
      <w:pPr>
        <w:pStyle w:val="NoSpacing"/>
        <w:spacing w:before="120" w:after="240"/>
        <w:jc w:val="both"/>
      </w:pPr>
      <w:r w:rsidRPr="00B921E7">
        <w:rPr>
          <w:i/>
          <w:iCs/>
        </w:rPr>
        <w:t>What is leave to appear?</w:t>
      </w:r>
    </w:p>
    <w:p w14:paraId="2E365E71" w14:textId="77777777" w:rsidR="007676FC" w:rsidRDefault="007676FC" w:rsidP="004E05DD">
      <w:pPr>
        <w:pStyle w:val="NoSpacing"/>
        <w:numPr>
          <w:ilvl w:val="0"/>
          <w:numId w:val="1"/>
        </w:numPr>
        <w:spacing w:before="120" w:after="240"/>
        <w:ind w:left="567" w:hanging="567"/>
        <w:jc w:val="both"/>
      </w:pPr>
      <w:r>
        <w:t xml:space="preserve">Public hearings are open to </w:t>
      </w:r>
      <w:r w:rsidR="00185017">
        <w:t>members of the public who</w:t>
      </w:r>
      <w:r w:rsidR="00F7168F">
        <w:t xml:space="preserve"> </w:t>
      </w:r>
      <w:r w:rsidR="00B921E7">
        <w:t xml:space="preserve">want </w:t>
      </w:r>
      <w:r w:rsidR="00F7168F">
        <w:t>to</w:t>
      </w:r>
      <w:r>
        <w:t xml:space="preserve"> attend in person and </w:t>
      </w:r>
      <w:r w:rsidR="00F7168F">
        <w:t xml:space="preserve">observe the Inquiry’s work, and </w:t>
      </w:r>
      <w:r>
        <w:t xml:space="preserve">are </w:t>
      </w:r>
      <w:r w:rsidR="00185017">
        <w:t xml:space="preserve">also </w:t>
      </w:r>
      <w:r>
        <w:t xml:space="preserve">streamed via </w:t>
      </w:r>
      <w:r w:rsidR="00D826AB">
        <w:t>the Inquiry</w:t>
      </w:r>
      <w:r w:rsidR="00F7168F">
        <w:t>’s</w:t>
      </w:r>
      <w:r>
        <w:t xml:space="preserve"> website</w:t>
      </w:r>
      <w:r w:rsidR="00F7168F">
        <w:t xml:space="preserve">. For </w:t>
      </w:r>
      <w:r w:rsidR="004B2C13">
        <w:t xml:space="preserve">individuals or groups </w:t>
      </w:r>
      <w:r w:rsidR="00F7168F">
        <w:t>who want to</w:t>
      </w:r>
      <w:r>
        <w:t xml:space="preserve"> participate in a </w:t>
      </w:r>
      <w:r w:rsidR="00F7168F">
        <w:t xml:space="preserve">public </w:t>
      </w:r>
      <w:r>
        <w:t xml:space="preserve">hearing in a more formal way, an application for leave to appear at the hearing is required. </w:t>
      </w:r>
    </w:p>
    <w:p w14:paraId="76D1D7F5" w14:textId="77777777" w:rsidR="00F7168F" w:rsidRDefault="00B921E7" w:rsidP="004E05DD">
      <w:pPr>
        <w:pStyle w:val="NoSpacing"/>
        <w:numPr>
          <w:ilvl w:val="0"/>
          <w:numId w:val="1"/>
        </w:numPr>
        <w:spacing w:before="120" w:after="240"/>
        <w:ind w:left="567" w:hanging="567"/>
        <w:jc w:val="both"/>
      </w:pPr>
      <w:r>
        <w:t xml:space="preserve">Being </w:t>
      </w:r>
      <w:r w:rsidR="00974B6F">
        <w:t>granted l</w:t>
      </w:r>
      <w:r w:rsidR="00F7168F">
        <w:t xml:space="preserve">eave to appear at a particular public hearing </w:t>
      </w:r>
      <w:r>
        <w:t xml:space="preserve">means </w:t>
      </w:r>
      <w:r w:rsidR="00974B6F">
        <w:t>the</w:t>
      </w:r>
      <w:r w:rsidR="00F7168F">
        <w:t xml:space="preserve"> person or group may be represented by a lawyer at the hearing, may </w:t>
      </w:r>
      <w:r w:rsidR="00731F13">
        <w:t>have evidence disclosed to them</w:t>
      </w:r>
      <w:r w:rsidR="00F7168F">
        <w:t xml:space="preserve"> prior to the hearing to </w:t>
      </w:r>
      <w:r w:rsidR="0081023C">
        <w:t>enable them to participate</w:t>
      </w:r>
      <w:r w:rsidR="00C52D35">
        <w:t xml:space="preserve"> effectively</w:t>
      </w:r>
      <w:r w:rsidR="0081023C">
        <w:t xml:space="preserve">, </w:t>
      </w:r>
      <w:r w:rsidR="00974B6F">
        <w:t xml:space="preserve">may seek permission to question witnesses, and </w:t>
      </w:r>
      <w:r w:rsidR="0081023C">
        <w:t xml:space="preserve">may be consulted </w:t>
      </w:r>
      <w:r w:rsidR="000C3327">
        <w:t>on procedural matters</w:t>
      </w:r>
      <w:r w:rsidR="00AD6E6C">
        <w:t xml:space="preserve">. </w:t>
      </w:r>
    </w:p>
    <w:p w14:paraId="6B56DA12" w14:textId="77777777" w:rsidR="000F7892" w:rsidRPr="000F7892" w:rsidRDefault="004A7DE7" w:rsidP="004E05DD">
      <w:pPr>
        <w:pStyle w:val="ListParagraph"/>
        <w:numPr>
          <w:ilvl w:val="0"/>
          <w:numId w:val="1"/>
        </w:numPr>
        <w:autoSpaceDE w:val="0"/>
        <w:autoSpaceDN w:val="0"/>
        <w:adjustRightInd w:val="0"/>
        <w:spacing w:before="120" w:after="240"/>
        <w:ind w:left="567" w:hanging="567"/>
        <w:jc w:val="both"/>
        <w:rPr>
          <w:rFonts w:ascii="Calibri" w:eastAsiaTheme="minorHAnsi" w:hAnsi="Calibri" w:cs="Calibri"/>
          <w:color w:val="000000"/>
          <w:sz w:val="22"/>
          <w:szCs w:val="22"/>
          <w:lang w:val="en-GB" w:eastAsia="en-US"/>
        </w:rPr>
      </w:pPr>
      <w:r w:rsidRPr="004A7DE7">
        <w:rPr>
          <w:rFonts w:ascii="Calibri" w:eastAsiaTheme="minorHAnsi" w:hAnsi="Calibri" w:cs="Calibri"/>
          <w:color w:val="000000"/>
          <w:sz w:val="22"/>
          <w:szCs w:val="22"/>
          <w:lang w:val="en-GB" w:eastAsia="en-US"/>
        </w:rPr>
        <w:t xml:space="preserve">The </w:t>
      </w:r>
      <w:r>
        <w:rPr>
          <w:rFonts w:ascii="Calibri" w:eastAsiaTheme="minorHAnsi" w:hAnsi="Calibri" w:cs="Calibri"/>
          <w:color w:val="000000"/>
          <w:sz w:val="22"/>
          <w:szCs w:val="22"/>
          <w:lang w:val="en-GB" w:eastAsia="en-US"/>
        </w:rPr>
        <w:t>Inquiry</w:t>
      </w:r>
      <w:r w:rsidRPr="004A7DE7">
        <w:rPr>
          <w:rFonts w:ascii="Calibri" w:eastAsiaTheme="minorHAnsi" w:hAnsi="Calibri" w:cs="Calibri"/>
          <w:color w:val="000000"/>
          <w:sz w:val="22"/>
          <w:szCs w:val="22"/>
          <w:lang w:val="en-GB" w:eastAsia="en-US"/>
        </w:rPr>
        <w:t xml:space="preserve"> </w:t>
      </w:r>
      <w:r w:rsidR="009D11F8">
        <w:rPr>
          <w:rFonts w:ascii="Calibri" w:eastAsiaTheme="minorHAnsi" w:hAnsi="Calibri" w:cs="Calibri"/>
          <w:color w:val="000000"/>
          <w:sz w:val="22"/>
          <w:szCs w:val="22"/>
          <w:lang w:val="en-GB" w:eastAsia="en-US"/>
        </w:rPr>
        <w:t xml:space="preserve">will </w:t>
      </w:r>
      <w:r w:rsidR="007676FC" w:rsidRPr="004A7DE7">
        <w:rPr>
          <w:rFonts w:ascii="Calibri" w:eastAsiaTheme="minorHAnsi" w:hAnsi="Calibri" w:cs="Calibri"/>
          <w:color w:val="000000"/>
          <w:sz w:val="22"/>
          <w:szCs w:val="22"/>
          <w:lang w:val="en-GB" w:eastAsia="en-US"/>
        </w:rPr>
        <w:t>de</w:t>
      </w:r>
      <w:r w:rsidR="007676FC">
        <w:rPr>
          <w:rFonts w:ascii="Calibri" w:eastAsiaTheme="minorHAnsi" w:hAnsi="Calibri" w:cs="Calibri"/>
          <w:color w:val="000000"/>
          <w:sz w:val="22"/>
          <w:szCs w:val="22"/>
          <w:lang w:val="en-GB" w:eastAsia="en-US"/>
        </w:rPr>
        <w:t xml:space="preserve">cide </w:t>
      </w:r>
      <w:r w:rsidR="00974B6F">
        <w:rPr>
          <w:rFonts w:ascii="Calibri" w:eastAsiaTheme="minorHAnsi" w:hAnsi="Calibri" w:cs="Calibri"/>
          <w:color w:val="000000"/>
          <w:sz w:val="22"/>
          <w:szCs w:val="22"/>
          <w:lang w:val="en-GB" w:eastAsia="en-US"/>
        </w:rPr>
        <w:t>applications to</w:t>
      </w:r>
      <w:r w:rsidRPr="004A7DE7">
        <w:rPr>
          <w:rFonts w:ascii="Calibri" w:eastAsiaTheme="minorHAnsi" w:hAnsi="Calibri" w:cs="Calibri"/>
          <w:color w:val="000000"/>
          <w:sz w:val="22"/>
          <w:szCs w:val="22"/>
          <w:lang w:val="en-GB" w:eastAsia="en-US"/>
        </w:rPr>
        <w:t xml:space="preserve"> </w:t>
      </w:r>
      <w:r w:rsidR="007676FC">
        <w:rPr>
          <w:rFonts w:ascii="Calibri" w:eastAsiaTheme="minorHAnsi" w:hAnsi="Calibri" w:cs="Calibri"/>
          <w:color w:val="000000"/>
          <w:sz w:val="22"/>
          <w:szCs w:val="22"/>
          <w:lang w:val="en-GB" w:eastAsia="en-US"/>
        </w:rPr>
        <w:t xml:space="preserve">formally </w:t>
      </w:r>
      <w:r w:rsidRPr="004A7DE7">
        <w:rPr>
          <w:rFonts w:ascii="Calibri" w:eastAsiaTheme="minorHAnsi" w:hAnsi="Calibri" w:cs="Calibri"/>
          <w:color w:val="000000"/>
          <w:sz w:val="22"/>
          <w:szCs w:val="22"/>
          <w:lang w:val="en-GB" w:eastAsia="en-US"/>
        </w:rPr>
        <w:t xml:space="preserve">appear at any </w:t>
      </w:r>
      <w:r>
        <w:rPr>
          <w:rFonts w:ascii="Calibri" w:eastAsiaTheme="minorHAnsi" w:hAnsi="Calibri" w:cs="Calibri"/>
          <w:color w:val="000000"/>
          <w:sz w:val="22"/>
          <w:szCs w:val="22"/>
          <w:lang w:val="en-GB" w:eastAsia="en-US"/>
        </w:rPr>
        <w:t xml:space="preserve">public </w:t>
      </w:r>
      <w:r w:rsidRPr="004A7DE7">
        <w:rPr>
          <w:rFonts w:ascii="Calibri" w:eastAsiaTheme="minorHAnsi" w:hAnsi="Calibri" w:cs="Calibri"/>
          <w:color w:val="000000"/>
          <w:sz w:val="22"/>
          <w:szCs w:val="22"/>
          <w:lang w:val="en-GB" w:eastAsia="en-US"/>
        </w:rPr>
        <w:t xml:space="preserve">hearing </w:t>
      </w:r>
      <w:r w:rsidR="001B3A2E">
        <w:rPr>
          <w:rFonts w:ascii="Calibri" w:eastAsiaTheme="minorHAnsi" w:hAnsi="Calibri" w:cs="Calibri"/>
          <w:color w:val="000000"/>
          <w:sz w:val="22"/>
          <w:szCs w:val="22"/>
          <w:lang w:val="en-GB" w:eastAsia="en-US"/>
        </w:rPr>
        <w:t>by assessing</w:t>
      </w:r>
      <w:r w:rsidR="00AD24FC">
        <w:rPr>
          <w:rFonts w:ascii="Calibri" w:eastAsiaTheme="minorHAnsi" w:hAnsi="Calibri" w:cs="Calibri"/>
          <w:color w:val="000000"/>
          <w:sz w:val="22"/>
          <w:szCs w:val="22"/>
          <w:lang w:val="en-GB" w:eastAsia="en-US"/>
        </w:rPr>
        <w:t xml:space="preserve"> </w:t>
      </w:r>
      <w:r w:rsidR="007676FC">
        <w:rPr>
          <w:rFonts w:ascii="Calibri" w:eastAsiaTheme="minorHAnsi" w:hAnsi="Calibri" w:cs="Calibri"/>
          <w:color w:val="000000"/>
          <w:sz w:val="22"/>
          <w:szCs w:val="22"/>
          <w:lang w:val="en-GB" w:eastAsia="en-US"/>
        </w:rPr>
        <w:t xml:space="preserve">relevance to the matters to be examined at the hearing, </w:t>
      </w:r>
      <w:r w:rsidRPr="004A7DE7">
        <w:rPr>
          <w:rFonts w:ascii="Calibri" w:eastAsiaTheme="minorHAnsi" w:hAnsi="Calibri" w:cs="Calibri"/>
          <w:color w:val="000000"/>
          <w:sz w:val="22"/>
          <w:szCs w:val="22"/>
          <w:lang w:val="en-GB" w:eastAsia="en-US"/>
        </w:rPr>
        <w:t xml:space="preserve">the extent to which </w:t>
      </w:r>
      <w:r w:rsidR="00AD6E6C">
        <w:rPr>
          <w:rFonts w:ascii="Calibri" w:eastAsiaTheme="minorHAnsi" w:hAnsi="Calibri" w:cs="Calibri"/>
          <w:color w:val="000000"/>
          <w:sz w:val="22"/>
          <w:szCs w:val="22"/>
          <w:lang w:val="en-GB" w:eastAsia="en-US"/>
        </w:rPr>
        <w:t>the applicant may</w:t>
      </w:r>
      <w:r w:rsidRPr="004A7DE7">
        <w:rPr>
          <w:rFonts w:ascii="Calibri" w:eastAsiaTheme="minorHAnsi" w:hAnsi="Calibri" w:cs="Calibri"/>
          <w:color w:val="000000"/>
          <w:sz w:val="22"/>
          <w:szCs w:val="22"/>
          <w:lang w:val="en-GB" w:eastAsia="en-US"/>
        </w:rPr>
        <w:t xml:space="preserve"> participate</w:t>
      </w:r>
      <w:r w:rsidR="00AD6E6C">
        <w:rPr>
          <w:rFonts w:ascii="Calibri" w:eastAsiaTheme="minorHAnsi" w:hAnsi="Calibri" w:cs="Calibri"/>
          <w:color w:val="000000"/>
          <w:sz w:val="22"/>
          <w:szCs w:val="22"/>
          <w:lang w:val="en-GB" w:eastAsia="en-US"/>
        </w:rPr>
        <w:t xml:space="preserve">, </w:t>
      </w:r>
      <w:r w:rsidR="00C47D95">
        <w:rPr>
          <w:rFonts w:ascii="Calibri" w:eastAsiaTheme="minorHAnsi" w:hAnsi="Calibri" w:cs="Calibri"/>
          <w:color w:val="000000"/>
          <w:sz w:val="22"/>
          <w:szCs w:val="22"/>
          <w:lang w:val="en-GB" w:eastAsia="en-US"/>
        </w:rPr>
        <w:t>natural justi</w:t>
      </w:r>
      <w:r w:rsidR="00290221">
        <w:rPr>
          <w:rFonts w:ascii="Calibri" w:eastAsiaTheme="minorHAnsi" w:hAnsi="Calibri" w:cs="Calibri"/>
          <w:color w:val="000000"/>
          <w:sz w:val="22"/>
          <w:szCs w:val="22"/>
          <w:lang w:val="en-GB" w:eastAsia="en-US"/>
        </w:rPr>
        <w:t>ce principles</w:t>
      </w:r>
      <w:r w:rsidR="00974B6F">
        <w:rPr>
          <w:rFonts w:ascii="Calibri" w:eastAsiaTheme="minorHAnsi" w:hAnsi="Calibri" w:cs="Calibri"/>
          <w:color w:val="000000"/>
          <w:sz w:val="22"/>
          <w:szCs w:val="22"/>
          <w:lang w:val="en-GB" w:eastAsia="en-US"/>
        </w:rPr>
        <w:t>,</w:t>
      </w:r>
      <w:r w:rsidR="00290221">
        <w:rPr>
          <w:rFonts w:ascii="Calibri" w:eastAsiaTheme="minorHAnsi" w:hAnsi="Calibri" w:cs="Calibri"/>
          <w:color w:val="000000"/>
          <w:sz w:val="22"/>
          <w:szCs w:val="22"/>
          <w:lang w:val="en-GB" w:eastAsia="en-US"/>
        </w:rPr>
        <w:t xml:space="preserve"> </w:t>
      </w:r>
      <w:r w:rsidR="00AD6E6C">
        <w:rPr>
          <w:rFonts w:ascii="Calibri" w:eastAsiaTheme="minorHAnsi" w:hAnsi="Calibri" w:cs="Calibri"/>
          <w:color w:val="000000"/>
          <w:sz w:val="22"/>
          <w:szCs w:val="22"/>
          <w:lang w:val="en-GB" w:eastAsia="en-US"/>
        </w:rPr>
        <w:t xml:space="preserve">and the need to </w:t>
      </w:r>
      <w:r w:rsidR="00F215B5">
        <w:rPr>
          <w:rFonts w:ascii="Calibri" w:eastAsiaTheme="minorHAnsi" w:hAnsi="Calibri" w:cs="Calibri"/>
          <w:color w:val="000000"/>
          <w:sz w:val="22"/>
          <w:szCs w:val="22"/>
          <w:lang w:val="en-GB" w:eastAsia="en-US"/>
        </w:rPr>
        <w:t>avoid unnecessary delay or cost</w:t>
      </w:r>
      <w:r w:rsidRPr="004A7DE7">
        <w:rPr>
          <w:rFonts w:ascii="Calibri" w:eastAsiaTheme="minorHAnsi" w:hAnsi="Calibri" w:cs="Calibri"/>
          <w:color w:val="000000"/>
          <w:sz w:val="22"/>
          <w:szCs w:val="22"/>
          <w:lang w:val="en-GB" w:eastAsia="en-US"/>
        </w:rPr>
        <w:t xml:space="preserve">. </w:t>
      </w:r>
    </w:p>
    <w:p w14:paraId="7DF8DF58" w14:textId="77777777" w:rsidR="00290221" w:rsidRDefault="00290221" w:rsidP="004E05DD">
      <w:pPr>
        <w:pStyle w:val="NoSpacing"/>
        <w:numPr>
          <w:ilvl w:val="0"/>
          <w:numId w:val="1"/>
        </w:numPr>
        <w:spacing w:before="120" w:after="240"/>
        <w:ind w:left="567" w:hanging="567"/>
        <w:jc w:val="both"/>
      </w:pPr>
      <w:r>
        <w:t xml:space="preserve">A person or group already designated as a core participant </w:t>
      </w:r>
      <w:r w:rsidR="00974B6F">
        <w:t xml:space="preserve">to an investigation </w:t>
      </w:r>
      <w:r w:rsidR="0093071B">
        <w:t xml:space="preserve">under the process described in </w:t>
      </w:r>
      <w:hyperlink r:id="rId12" w:history="1">
        <w:r w:rsidR="0093071B" w:rsidRPr="00081B63">
          <w:rPr>
            <w:rStyle w:val="Hyperlink"/>
          </w:rPr>
          <w:t>Practice Note 2 – Core Participants</w:t>
        </w:r>
      </w:hyperlink>
      <w:r w:rsidR="0093071B">
        <w:t xml:space="preserve">, must still apply for leave to appear at hearings </w:t>
      </w:r>
      <w:r w:rsidR="00E82753">
        <w:t>considered to be relevant to their interests</w:t>
      </w:r>
      <w:r w:rsidR="00B921E7">
        <w:t>. It</w:t>
      </w:r>
      <w:r w:rsidR="00E82753">
        <w:t xml:space="preserve"> may not be necessary or appropriate for every core participant to appear at every public hearing. </w:t>
      </w:r>
    </w:p>
    <w:p w14:paraId="4F9D2815" w14:textId="77777777" w:rsidR="00B921E7" w:rsidRPr="00B921E7" w:rsidRDefault="00B921E7" w:rsidP="004E05DD">
      <w:pPr>
        <w:pStyle w:val="NoSpacing"/>
        <w:spacing w:before="120" w:after="240"/>
        <w:jc w:val="both"/>
        <w:rPr>
          <w:i/>
          <w:iCs/>
        </w:rPr>
      </w:pPr>
      <w:r>
        <w:rPr>
          <w:i/>
          <w:iCs/>
        </w:rPr>
        <w:t>When and how to apply</w:t>
      </w:r>
    </w:p>
    <w:p w14:paraId="5B1783DF" w14:textId="77777777" w:rsidR="000F7892" w:rsidRPr="000F7892" w:rsidRDefault="000F7892" w:rsidP="004E05DD">
      <w:pPr>
        <w:pStyle w:val="NoSpacing"/>
        <w:numPr>
          <w:ilvl w:val="0"/>
          <w:numId w:val="1"/>
        </w:numPr>
        <w:spacing w:before="120" w:after="240"/>
        <w:ind w:left="567" w:hanging="567"/>
        <w:jc w:val="both"/>
      </w:pPr>
      <w:r>
        <w:t xml:space="preserve">Public hearing dates will be published on the Inquiry’s website, along with a scope document describing the matters likely to be examined at the public hearing. </w:t>
      </w:r>
    </w:p>
    <w:p w14:paraId="302ADE79" w14:textId="77777777" w:rsidR="00F3163D" w:rsidRDefault="000F7892" w:rsidP="004E05DD">
      <w:pPr>
        <w:pStyle w:val="NoSpacing"/>
        <w:numPr>
          <w:ilvl w:val="0"/>
          <w:numId w:val="1"/>
        </w:numPr>
        <w:spacing w:before="120" w:after="240"/>
        <w:ind w:left="567" w:hanging="567"/>
        <w:jc w:val="both"/>
      </w:pPr>
      <w:r>
        <w:lastRenderedPageBreak/>
        <w:t>Application</w:t>
      </w:r>
      <w:r w:rsidR="007676FC">
        <w:t>s</w:t>
      </w:r>
      <w:r>
        <w:t xml:space="preserve"> for leave to appear</w:t>
      </w:r>
      <w:r w:rsidR="00F3163D">
        <w:t xml:space="preserve"> </w:t>
      </w:r>
      <w:r w:rsidR="00D30C4A">
        <w:t xml:space="preserve">at a hearing </w:t>
      </w:r>
      <w:r w:rsidR="00F3163D" w:rsidRPr="007676FC">
        <w:t>should</w:t>
      </w:r>
      <w:r w:rsidRPr="007676FC">
        <w:t xml:space="preserve"> be made</w:t>
      </w:r>
      <w:r w:rsidR="00F3163D" w:rsidRPr="007676FC">
        <w:t xml:space="preserve"> as early as possible but</w:t>
      </w:r>
      <w:r w:rsidRPr="007676FC">
        <w:t xml:space="preserve"> within </w:t>
      </w:r>
      <w:r w:rsidR="00AD24FC" w:rsidRPr="004F0389">
        <w:t xml:space="preserve">four </w:t>
      </w:r>
      <w:r w:rsidR="00D30C4A" w:rsidRPr="004F0389">
        <w:t>weeks</w:t>
      </w:r>
      <w:r w:rsidR="00D30C4A">
        <w:t xml:space="preserve"> </w:t>
      </w:r>
      <w:r>
        <w:t xml:space="preserve">of the commencement of a scheduled public hearing, unless another timeframe is notified.  </w:t>
      </w:r>
    </w:p>
    <w:p w14:paraId="77A5A756" w14:textId="77777777" w:rsidR="000F7892" w:rsidRDefault="00A64938" w:rsidP="004E05DD">
      <w:pPr>
        <w:pStyle w:val="NoSpacing"/>
        <w:numPr>
          <w:ilvl w:val="0"/>
          <w:numId w:val="1"/>
        </w:numPr>
        <w:spacing w:before="120" w:after="240"/>
        <w:ind w:left="567" w:hanging="567"/>
        <w:jc w:val="both"/>
      </w:pPr>
      <w:r>
        <w:t>A</w:t>
      </w:r>
      <w:r w:rsidR="000F7892">
        <w:t>pplication</w:t>
      </w:r>
      <w:r>
        <w:t>s</w:t>
      </w:r>
      <w:r w:rsidR="000F7892">
        <w:t xml:space="preserve"> should be made in writing to </w:t>
      </w:r>
      <w:hyperlink r:id="rId13" w:history="1">
        <w:r w:rsidR="000F7892" w:rsidRPr="00A6079C">
          <w:rPr>
            <w:rStyle w:val="Hyperlink"/>
          </w:rPr>
          <w:t>solicitorassisting@abuseincare.org.nz</w:t>
        </w:r>
      </w:hyperlink>
      <w:r w:rsidR="000F7892">
        <w:t xml:space="preserve"> setting out the applicant’s reasons for applying, which may include:</w:t>
      </w:r>
    </w:p>
    <w:p w14:paraId="29119736" w14:textId="77777777" w:rsidR="00B7098C" w:rsidRPr="00B7098C" w:rsidRDefault="00B7098C" w:rsidP="004E05DD">
      <w:pPr>
        <w:pStyle w:val="NoSpacing"/>
        <w:numPr>
          <w:ilvl w:val="1"/>
          <w:numId w:val="1"/>
        </w:numPr>
        <w:spacing w:before="120" w:after="240"/>
        <w:ind w:left="1276" w:hanging="425"/>
        <w:jc w:val="both"/>
      </w:pPr>
      <w:r>
        <w:t xml:space="preserve">The significance </w:t>
      </w:r>
      <w:r w:rsidR="00270D22">
        <w:t xml:space="preserve">to the applicant </w:t>
      </w:r>
      <w:r>
        <w:t>of matters to be examined at the hearing</w:t>
      </w:r>
      <w:r w:rsidR="00B70E5A">
        <w:t>;</w:t>
      </w:r>
      <w:r>
        <w:t xml:space="preserve"> </w:t>
      </w:r>
    </w:p>
    <w:p w14:paraId="22E2CDF5" w14:textId="77777777" w:rsidR="00C87264" w:rsidRPr="000F7892" w:rsidRDefault="00B7098C" w:rsidP="004E05DD">
      <w:pPr>
        <w:pStyle w:val="NoSpacing"/>
        <w:numPr>
          <w:ilvl w:val="1"/>
          <w:numId w:val="1"/>
        </w:numPr>
        <w:spacing w:before="120" w:after="240"/>
        <w:ind w:left="1276" w:hanging="425"/>
        <w:jc w:val="both"/>
      </w:pPr>
      <w:r>
        <w:rPr>
          <w:rFonts w:ascii="Calibri" w:hAnsi="Calibri" w:cs="Calibri"/>
          <w:color w:val="000000"/>
          <w:lang w:val="en-GB"/>
        </w:rPr>
        <w:t>Whether the applicant has</w:t>
      </w:r>
      <w:r w:rsidR="00C87264" w:rsidRPr="000F7892">
        <w:rPr>
          <w:rFonts w:ascii="Calibri" w:hAnsi="Calibri" w:cs="Calibri"/>
          <w:color w:val="000000"/>
          <w:lang w:val="en-GB"/>
        </w:rPr>
        <w:t xml:space="preserve"> relevant evidence </w:t>
      </w:r>
      <w:r w:rsidR="00122753">
        <w:rPr>
          <w:rFonts w:ascii="Calibri" w:hAnsi="Calibri" w:cs="Calibri"/>
          <w:color w:val="000000"/>
          <w:lang w:val="en-GB"/>
        </w:rPr>
        <w:t>on</w:t>
      </w:r>
      <w:r w:rsidR="00C87264" w:rsidRPr="000F7892">
        <w:rPr>
          <w:rFonts w:ascii="Calibri" w:hAnsi="Calibri" w:cs="Calibri"/>
          <w:color w:val="000000"/>
          <w:lang w:val="en-GB"/>
        </w:rPr>
        <w:t xml:space="preserve"> the matters to be examined</w:t>
      </w:r>
      <w:r w:rsidR="00B70E5A">
        <w:rPr>
          <w:rFonts w:ascii="Calibri" w:hAnsi="Calibri" w:cs="Calibri"/>
          <w:color w:val="000000"/>
          <w:lang w:val="en-GB"/>
        </w:rPr>
        <w:t>;</w:t>
      </w:r>
      <w:r w:rsidR="00C87264" w:rsidRPr="000F7892">
        <w:rPr>
          <w:rFonts w:ascii="Calibri" w:hAnsi="Calibri" w:cs="Calibri"/>
          <w:color w:val="000000"/>
          <w:lang w:val="en-GB"/>
        </w:rPr>
        <w:t xml:space="preserve"> </w:t>
      </w:r>
    </w:p>
    <w:p w14:paraId="7203F396" w14:textId="77777777" w:rsidR="00B7098C" w:rsidRPr="00B7098C" w:rsidRDefault="003511A5" w:rsidP="004E05DD">
      <w:pPr>
        <w:pStyle w:val="NoSpacing"/>
        <w:numPr>
          <w:ilvl w:val="1"/>
          <w:numId w:val="1"/>
        </w:numPr>
        <w:spacing w:before="120" w:after="240"/>
        <w:ind w:left="1276" w:hanging="425"/>
        <w:jc w:val="both"/>
      </w:pPr>
      <w:r>
        <w:rPr>
          <w:rFonts w:ascii="Calibri" w:hAnsi="Calibri" w:cs="Calibri"/>
          <w:color w:val="000000"/>
          <w:lang w:val="en-GB"/>
        </w:rPr>
        <w:t>W</w:t>
      </w:r>
      <w:r w:rsidR="00B7098C">
        <w:rPr>
          <w:rFonts w:ascii="Calibri" w:hAnsi="Calibri" w:cs="Calibri"/>
          <w:color w:val="000000"/>
          <w:lang w:val="en-GB"/>
        </w:rPr>
        <w:t xml:space="preserve">here applicable, the </w:t>
      </w:r>
      <w:r w:rsidR="00C87264" w:rsidRPr="00B7098C">
        <w:rPr>
          <w:rFonts w:ascii="Calibri" w:hAnsi="Calibri" w:cs="Calibri"/>
          <w:color w:val="000000"/>
          <w:lang w:val="en-GB"/>
        </w:rPr>
        <w:t>number of witnesses able to give evidence on those matters</w:t>
      </w:r>
      <w:r w:rsidR="00B70E5A">
        <w:rPr>
          <w:rFonts w:ascii="Calibri" w:hAnsi="Calibri" w:cs="Calibri"/>
          <w:color w:val="000000"/>
          <w:lang w:val="en-GB"/>
        </w:rPr>
        <w:t>;</w:t>
      </w:r>
    </w:p>
    <w:p w14:paraId="1CA4BB8E" w14:textId="77777777" w:rsidR="00C87264" w:rsidRPr="00B7098C" w:rsidRDefault="003511A5" w:rsidP="004E05DD">
      <w:pPr>
        <w:pStyle w:val="NoSpacing"/>
        <w:numPr>
          <w:ilvl w:val="1"/>
          <w:numId w:val="1"/>
        </w:numPr>
        <w:spacing w:before="120" w:after="240"/>
        <w:ind w:left="1276" w:hanging="425"/>
        <w:jc w:val="both"/>
      </w:pPr>
      <w:r>
        <w:rPr>
          <w:rFonts w:ascii="Calibri" w:hAnsi="Calibri" w:cs="Calibri"/>
          <w:color w:val="000000"/>
          <w:lang w:val="en-GB"/>
        </w:rPr>
        <w:t>N</w:t>
      </w:r>
      <w:r w:rsidR="00B7098C">
        <w:rPr>
          <w:rFonts w:ascii="Calibri" w:hAnsi="Calibri" w:cs="Calibri"/>
          <w:color w:val="000000"/>
          <w:lang w:val="en-GB"/>
        </w:rPr>
        <w:t>atural justice considerations if leave to appear is not granted</w:t>
      </w:r>
      <w:r w:rsidR="00B70E5A">
        <w:rPr>
          <w:rFonts w:ascii="Calibri" w:hAnsi="Calibri" w:cs="Calibri"/>
          <w:color w:val="000000"/>
          <w:lang w:val="en-GB"/>
        </w:rPr>
        <w:t>.</w:t>
      </w:r>
    </w:p>
    <w:p w14:paraId="76BBE603" w14:textId="77777777" w:rsidR="00F3163D" w:rsidRDefault="00F3163D" w:rsidP="004E05DD">
      <w:pPr>
        <w:pStyle w:val="NoSpacing"/>
        <w:numPr>
          <w:ilvl w:val="0"/>
          <w:numId w:val="1"/>
        </w:numPr>
        <w:spacing w:before="120" w:after="240"/>
        <w:ind w:left="567" w:hanging="567"/>
        <w:jc w:val="both"/>
      </w:pPr>
      <w:r>
        <w:t xml:space="preserve">The Inquiry will determine applications for leave to appear </w:t>
      </w:r>
      <w:r w:rsidR="00C611BE">
        <w:t>as soon as practicable</w:t>
      </w:r>
      <w:r>
        <w:t xml:space="preserve">. </w:t>
      </w:r>
    </w:p>
    <w:p w14:paraId="21740078" w14:textId="77777777" w:rsidR="00270D22" w:rsidRPr="00B7098C" w:rsidRDefault="00270D22" w:rsidP="004E05DD">
      <w:pPr>
        <w:pStyle w:val="NoSpacing"/>
        <w:numPr>
          <w:ilvl w:val="0"/>
          <w:numId w:val="1"/>
        </w:numPr>
        <w:spacing w:before="120" w:after="240"/>
        <w:ind w:left="567" w:hanging="567"/>
        <w:jc w:val="both"/>
      </w:pPr>
      <w:r>
        <w:t xml:space="preserve">Leave to appear at a hearing may </w:t>
      </w:r>
      <w:r w:rsidR="00F3163D">
        <w:t xml:space="preserve">be granted subject to conditions, and can be withdrawn by the Inquiry. </w:t>
      </w:r>
    </w:p>
    <w:p w14:paraId="7A42CD56" w14:textId="77777777" w:rsidR="001412E2" w:rsidRPr="00DA520A" w:rsidRDefault="00F722DD" w:rsidP="004E05DD">
      <w:pPr>
        <w:pStyle w:val="NoSpacing"/>
        <w:spacing w:before="120" w:after="240"/>
        <w:jc w:val="both"/>
        <w:rPr>
          <w:b/>
          <w:bCs/>
        </w:rPr>
      </w:pPr>
      <w:r>
        <w:rPr>
          <w:b/>
          <w:bCs/>
        </w:rPr>
        <w:t xml:space="preserve">SECTION </w:t>
      </w:r>
      <w:r w:rsidR="00C87264">
        <w:rPr>
          <w:b/>
          <w:bCs/>
        </w:rPr>
        <w:t>3</w:t>
      </w:r>
      <w:r>
        <w:rPr>
          <w:b/>
          <w:bCs/>
        </w:rPr>
        <w:t xml:space="preserve"> </w:t>
      </w:r>
      <w:r w:rsidR="00261174">
        <w:rPr>
          <w:b/>
          <w:bCs/>
        </w:rPr>
        <w:t>–</w:t>
      </w:r>
      <w:r>
        <w:rPr>
          <w:b/>
          <w:bCs/>
        </w:rPr>
        <w:t xml:space="preserve"> </w:t>
      </w:r>
      <w:r w:rsidR="00CC69C4">
        <w:rPr>
          <w:b/>
          <w:bCs/>
        </w:rPr>
        <w:t xml:space="preserve">FILING AND DISCLOSURE OF </w:t>
      </w:r>
      <w:r w:rsidR="00366AC3">
        <w:rPr>
          <w:b/>
          <w:bCs/>
        </w:rPr>
        <w:t>WITNESS STATEMENTS</w:t>
      </w:r>
      <w:r w:rsidR="00CC69C4">
        <w:rPr>
          <w:b/>
          <w:bCs/>
        </w:rPr>
        <w:t xml:space="preserve"> RELEVANT TO PUBLIC HEARINGS</w:t>
      </w:r>
    </w:p>
    <w:p w14:paraId="6FCC62F6" w14:textId="77777777" w:rsidR="00261174" w:rsidRDefault="005600FF" w:rsidP="004E05DD">
      <w:pPr>
        <w:pStyle w:val="NoSpacing"/>
        <w:numPr>
          <w:ilvl w:val="0"/>
          <w:numId w:val="1"/>
        </w:numPr>
        <w:spacing w:before="120" w:after="240"/>
        <w:ind w:left="567" w:hanging="567"/>
        <w:jc w:val="both"/>
      </w:pPr>
      <w:hyperlink r:id="rId14" w:history="1">
        <w:r w:rsidR="00CD09A2" w:rsidRPr="00081B63">
          <w:rPr>
            <w:rStyle w:val="Hyperlink"/>
          </w:rPr>
          <w:t>Practice Note 3 – Witness Statements</w:t>
        </w:r>
      </w:hyperlink>
      <w:r w:rsidR="00CD09A2">
        <w:t xml:space="preserve"> sets out how participants can provide witness statements</w:t>
      </w:r>
      <w:r w:rsidR="00554D35">
        <w:rPr>
          <w:rStyle w:val="FootnoteReference"/>
        </w:rPr>
        <w:footnoteReference w:id="2"/>
      </w:r>
      <w:r w:rsidR="00554D35">
        <w:t xml:space="preserve"> </w:t>
      </w:r>
      <w:r w:rsidR="00CD09A2">
        <w:t xml:space="preserve">to the Inquiry to inform its investigations and public hearings. </w:t>
      </w:r>
    </w:p>
    <w:p w14:paraId="0EFD67FD" w14:textId="77777777" w:rsidR="00CD09A2" w:rsidRDefault="00816E7E" w:rsidP="004E05DD">
      <w:pPr>
        <w:pStyle w:val="NoSpacing"/>
        <w:numPr>
          <w:ilvl w:val="0"/>
          <w:numId w:val="1"/>
        </w:numPr>
        <w:spacing w:before="120" w:after="240"/>
        <w:ind w:left="567" w:hanging="567"/>
        <w:jc w:val="both"/>
      </w:pPr>
      <w:r>
        <w:t>All witness statements filed with the Inquiry must comply with the requirements in Practice Note 3 and its annex</w:t>
      </w:r>
      <w:r w:rsidR="00554D35">
        <w:t>ur</w:t>
      </w:r>
      <w:r>
        <w:t>es</w:t>
      </w:r>
      <w:r w:rsidR="00727F50">
        <w:t xml:space="preserve">, and </w:t>
      </w:r>
      <w:hyperlink r:id="rId15" w:history="1">
        <w:r w:rsidR="00727F50" w:rsidRPr="00081B63">
          <w:rPr>
            <w:rStyle w:val="Hyperlink"/>
          </w:rPr>
          <w:t>Practice Note 4</w:t>
        </w:r>
        <w:r w:rsidR="003B6C47" w:rsidRPr="00081B63">
          <w:rPr>
            <w:rStyle w:val="Hyperlink"/>
          </w:rPr>
          <w:t xml:space="preserve"> </w:t>
        </w:r>
        <w:r w:rsidR="00427256" w:rsidRPr="00081B63">
          <w:rPr>
            <w:rStyle w:val="Hyperlink"/>
          </w:rPr>
          <w:t>– Section 15 Orders: Anonymity and Redactions</w:t>
        </w:r>
      </w:hyperlink>
      <w:r>
        <w:t xml:space="preserve">. </w:t>
      </w:r>
    </w:p>
    <w:p w14:paraId="2A8B08B0" w14:textId="77777777" w:rsidR="00816E7E" w:rsidRDefault="00816E7E" w:rsidP="004E05DD">
      <w:pPr>
        <w:pStyle w:val="NoSpacing"/>
        <w:numPr>
          <w:ilvl w:val="0"/>
          <w:numId w:val="1"/>
        </w:numPr>
        <w:spacing w:before="120" w:after="240"/>
        <w:ind w:left="567" w:hanging="567"/>
        <w:jc w:val="both"/>
      </w:pPr>
      <w:r>
        <w:t xml:space="preserve">Prior to any scheduled public hearing the Inquiry will make directions </w:t>
      </w:r>
      <w:r w:rsidR="00295478">
        <w:t xml:space="preserve">on </w:t>
      </w:r>
      <w:r>
        <w:t>the dates for filing of witness statements</w:t>
      </w:r>
      <w:r w:rsidR="003F4210">
        <w:t xml:space="preserve"> relevant to it</w:t>
      </w:r>
      <w:r w:rsidR="00B70E5A">
        <w:t>. Witness statements can be filed</w:t>
      </w:r>
      <w:r>
        <w:t xml:space="preserve"> </w:t>
      </w:r>
      <w:r w:rsidR="00B70E5A">
        <w:t>by</w:t>
      </w:r>
      <w:r>
        <w:t xml:space="preserve"> core participants</w:t>
      </w:r>
      <w:r w:rsidR="00651AD8">
        <w:t xml:space="preserve"> to the investigation</w:t>
      </w:r>
      <w:r w:rsidR="009D11F8">
        <w:t>,</w:t>
      </w:r>
      <w:r w:rsidR="004026FB">
        <w:t xml:space="preserve"> those</w:t>
      </w:r>
      <w:r w:rsidR="009D11F8">
        <w:t xml:space="preserve"> granted leave to appear</w:t>
      </w:r>
      <w:r w:rsidR="004026FB">
        <w:t xml:space="preserve"> at the hearing</w:t>
      </w:r>
      <w:r w:rsidR="00295478">
        <w:t>,</w:t>
      </w:r>
      <w:r>
        <w:t xml:space="preserve"> and other witnesses </w:t>
      </w:r>
      <w:r w:rsidR="00897A98">
        <w:t xml:space="preserve">with evidence </w:t>
      </w:r>
      <w:r>
        <w:t xml:space="preserve">relevant to the scope of the hearing. </w:t>
      </w:r>
    </w:p>
    <w:p w14:paraId="32D90F1F" w14:textId="77777777" w:rsidR="00554D35" w:rsidRDefault="0051701B" w:rsidP="004E05DD">
      <w:pPr>
        <w:pStyle w:val="NoSpacing"/>
        <w:numPr>
          <w:ilvl w:val="0"/>
          <w:numId w:val="1"/>
        </w:numPr>
        <w:spacing w:before="120" w:after="240"/>
        <w:ind w:left="567" w:hanging="567"/>
        <w:jc w:val="both"/>
      </w:pPr>
      <w:r>
        <w:t>The</w:t>
      </w:r>
      <w:r w:rsidR="00554D35">
        <w:t xml:space="preserve"> Inquiry will disclose the witness statements to </w:t>
      </w:r>
      <w:r>
        <w:t xml:space="preserve">core participants to the investigation, those granted leave to appear at the hearing, </w:t>
      </w:r>
      <w:r w:rsidR="001E000C">
        <w:t>and any other person</w:t>
      </w:r>
      <w:r w:rsidR="00CF7F7D" w:rsidRPr="00CF7F7D">
        <w:t xml:space="preserve"> </w:t>
      </w:r>
      <w:r w:rsidR="00CF7F7D">
        <w:t>where disclosure is necessary for effective participation in the public hearing</w:t>
      </w:r>
      <w:r w:rsidR="00554D35">
        <w:t xml:space="preserve">. </w:t>
      </w:r>
      <w:r w:rsidR="001E000C">
        <w:t xml:space="preserve">Disclosed witness statements will be redacted where necessary to comply with the </w:t>
      </w:r>
      <w:r w:rsidR="008554C9">
        <w:t xml:space="preserve">General Restriction Order and any other orders made under s 15 of the Act. </w:t>
      </w:r>
    </w:p>
    <w:p w14:paraId="4C25E12B" w14:textId="77777777" w:rsidR="00AA199F" w:rsidRDefault="00554D35" w:rsidP="004E05DD">
      <w:pPr>
        <w:pStyle w:val="NoSpacing"/>
        <w:numPr>
          <w:ilvl w:val="0"/>
          <w:numId w:val="1"/>
        </w:numPr>
        <w:spacing w:before="120" w:after="240"/>
        <w:ind w:left="567" w:hanging="567"/>
        <w:jc w:val="both"/>
      </w:pPr>
      <w:r>
        <w:t xml:space="preserve">As set out in Practice Note 3, disclosure of witness statements is made subject to an implied undertaking to the Inquiry of confidentiality, by the recipient and their </w:t>
      </w:r>
      <w:r w:rsidR="00CF7F7D">
        <w:t>lawyer/s,</w:t>
      </w:r>
      <w:r>
        <w:t xml:space="preserve"> not to reveal or publish the information to others, and to use the information only for the purpose of participating in the Inquiry. </w:t>
      </w:r>
    </w:p>
    <w:p w14:paraId="643BFE58" w14:textId="77777777" w:rsidR="00CC69C4" w:rsidRDefault="00CC69C4" w:rsidP="004E05DD">
      <w:pPr>
        <w:pStyle w:val="NoSpacing"/>
        <w:numPr>
          <w:ilvl w:val="0"/>
          <w:numId w:val="1"/>
        </w:numPr>
        <w:spacing w:before="120" w:after="240"/>
        <w:ind w:left="567" w:hanging="567"/>
        <w:jc w:val="both"/>
      </w:pPr>
      <w:r>
        <w:t xml:space="preserve">Any other person who receives a witness statement in breach of the above undertaking of confidentiality must not further reveal, publish or use the witness statement. </w:t>
      </w:r>
    </w:p>
    <w:p w14:paraId="6C9959FF" w14:textId="77777777" w:rsidR="00AA199F" w:rsidRDefault="00554D35" w:rsidP="004E05DD">
      <w:pPr>
        <w:pStyle w:val="NoSpacing"/>
        <w:numPr>
          <w:ilvl w:val="0"/>
          <w:numId w:val="1"/>
        </w:numPr>
        <w:spacing w:before="120" w:after="240"/>
        <w:ind w:left="567" w:hanging="567"/>
        <w:jc w:val="both"/>
      </w:pPr>
      <w:r>
        <w:t>Any breach of th</w:t>
      </w:r>
      <w:r w:rsidR="00CC69C4">
        <w:t>e</w:t>
      </w:r>
      <w:r>
        <w:t xml:space="preserve"> undertaking </w:t>
      </w:r>
      <w:r w:rsidR="00AA199F">
        <w:t xml:space="preserve">of confidentiality by a recipient and/or their legal representative </w:t>
      </w:r>
      <w:r w:rsidR="00CC69C4">
        <w:t xml:space="preserve">or by any unauthorised recipient </w:t>
      </w:r>
      <w:r>
        <w:t>w</w:t>
      </w:r>
      <w:r w:rsidR="00CC69C4">
        <w:t>ill</w:t>
      </w:r>
      <w:r>
        <w:t xml:space="preserve"> be considered by the Inquiry to be a </w:t>
      </w:r>
      <w:r w:rsidR="00AA199F">
        <w:t xml:space="preserve">failure to comply with </w:t>
      </w:r>
      <w:r w:rsidR="00AA199F">
        <w:lastRenderedPageBreak/>
        <w:t>a procedural direction</w:t>
      </w:r>
      <w:r w:rsidR="00160C22">
        <w:t xml:space="preserve"> and, if intentional, </w:t>
      </w:r>
      <w:r w:rsidR="00CC69C4">
        <w:t>may constitute an</w:t>
      </w:r>
      <w:r w:rsidR="00AA199F">
        <w:t xml:space="preserve"> offence under s 29(1)(e) of the Inquiries Act 2013</w:t>
      </w:r>
      <w:r w:rsidR="00160C22">
        <w:t xml:space="preserve"> (the Act)</w:t>
      </w:r>
      <w:r w:rsidR="00AA199F">
        <w:t>.</w:t>
      </w:r>
    </w:p>
    <w:p w14:paraId="521E7848" w14:textId="77777777" w:rsidR="00816E7E" w:rsidRPr="001C1DAD" w:rsidRDefault="00160C22" w:rsidP="004E05DD">
      <w:pPr>
        <w:pStyle w:val="NoSpacing"/>
        <w:numPr>
          <w:ilvl w:val="0"/>
          <w:numId w:val="1"/>
        </w:numPr>
        <w:spacing w:before="120" w:after="240"/>
        <w:ind w:left="567" w:hanging="567"/>
        <w:jc w:val="both"/>
      </w:pPr>
      <w:r w:rsidRPr="001C1DAD">
        <w:t>Subject to any orders for anonymity and/or redaction made under s 15 of the Act, the</w:t>
      </w:r>
      <w:r w:rsidR="00AA199F" w:rsidRPr="001C1DAD">
        <w:t xml:space="preserve"> undertaking of confidentiality ends</w:t>
      </w:r>
      <w:r w:rsidR="00BC3E8C" w:rsidRPr="001C1DAD">
        <w:t xml:space="preserve"> only on</w:t>
      </w:r>
      <w:r w:rsidR="00AA199F" w:rsidRPr="001C1DAD">
        <w:t xml:space="preserve"> the public release by the Inquiry of a witness statement on its website</w:t>
      </w:r>
      <w:r w:rsidRPr="001C1DAD">
        <w:t xml:space="preserve"> or publication as part of any interim or final report.  </w:t>
      </w:r>
    </w:p>
    <w:p w14:paraId="75F94AAE" w14:textId="77777777" w:rsidR="00DA53E4" w:rsidRPr="00DA53E4" w:rsidRDefault="00DA53E4" w:rsidP="004E05DD">
      <w:pPr>
        <w:pStyle w:val="NoSpacing"/>
        <w:spacing w:before="120" w:after="240"/>
        <w:jc w:val="both"/>
        <w:rPr>
          <w:b/>
          <w:bCs/>
        </w:rPr>
      </w:pPr>
      <w:r>
        <w:rPr>
          <w:b/>
          <w:bCs/>
        </w:rPr>
        <w:t xml:space="preserve">SECTION </w:t>
      </w:r>
      <w:r w:rsidR="009B7285">
        <w:rPr>
          <w:b/>
          <w:bCs/>
        </w:rPr>
        <w:t>4</w:t>
      </w:r>
      <w:r>
        <w:rPr>
          <w:b/>
          <w:bCs/>
        </w:rPr>
        <w:t xml:space="preserve"> </w:t>
      </w:r>
      <w:r w:rsidR="00816E7E">
        <w:rPr>
          <w:b/>
          <w:bCs/>
        </w:rPr>
        <w:t>–</w:t>
      </w:r>
      <w:r>
        <w:rPr>
          <w:b/>
          <w:bCs/>
        </w:rPr>
        <w:t xml:space="preserve"> </w:t>
      </w:r>
      <w:r w:rsidR="00C04326">
        <w:rPr>
          <w:b/>
          <w:bCs/>
        </w:rPr>
        <w:t xml:space="preserve">SUPPLEMENTARY </w:t>
      </w:r>
      <w:r w:rsidR="00816E7E">
        <w:rPr>
          <w:b/>
          <w:bCs/>
        </w:rPr>
        <w:t>EVIDENCE</w:t>
      </w:r>
    </w:p>
    <w:p w14:paraId="77B2DDF5" w14:textId="444EDE4E" w:rsidR="007A5C35" w:rsidRDefault="007A5C35" w:rsidP="004E05DD">
      <w:pPr>
        <w:pStyle w:val="NoSpacing"/>
        <w:numPr>
          <w:ilvl w:val="0"/>
          <w:numId w:val="1"/>
        </w:numPr>
        <w:spacing w:before="120" w:after="240"/>
        <w:ind w:left="567" w:hanging="567"/>
        <w:jc w:val="both"/>
      </w:pPr>
      <w:r>
        <w:t xml:space="preserve">The Inquiry may direct </w:t>
      </w:r>
      <w:r w:rsidR="00C04326">
        <w:t>supplementary</w:t>
      </w:r>
      <w:r>
        <w:t xml:space="preserve"> evidence be filed, or participants may make </w:t>
      </w:r>
      <w:r w:rsidR="00B147E2">
        <w:t xml:space="preserve">an application </w:t>
      </w:r>
      <w:r w:rsidR="001E000C">
        <w:t>for</w:t>
      </w:r>
      <w:r w:rsidR="00CC648D">
        <w:t xml:space="preserve"> permission</w:t>
      </w:r>
      <w:r>
        <w:t xml:space="preserve"> to file </w:t>
      </w:r>
      <w:r w:rsidR="00CC648D">
        <w:t xml:space="preserve">supplementary </w:t>
      </w:r>
      <w:r>
        <w:t xml:space="preserve">evidence. </w:t>
      </w:r>
      <w:r w:rsidR="0051701B">
        <w:t>Supplementary</w:t>
      </w:r>
      <w:r w:rsidR="00CC648D">
        <w:t xml:space="preserve"> </w:t>
      </w:r>
      <w:r>
        <w:t xml:space="preserve">evidence must be </w:t>
      </w:r>
      <w:r w:rsidR="001E000C">
        <w:t xml:space="preserve">in response to </w:t>
      </w:r>
      <w:r>
        <w:t xml:space="preserve">specific matters already set out in evidence </w:t>
      </w:r>
      <w:r w:rsidR="00CC648D">
        <w:t xml:space="preserve">filed </w:t>
      </w:r>
      <w:r>
        <w:t xml:space="preserve">and is not </w:t>
      </w:r>
      <w:r w:rsidR="001E000C">
        <w:t>a mechanism</w:t>
      </w:r>
      <w:r>
        <w:t xml:space="preserve"> to submit general or new evidence</w:t>
      </w:r>
      <w:r w:rsidR="004706F7">
        <w:t xml:space="preserve"> unless </w:t>
      </w:r>
      <w:r w:rsidR="00081B63">
        <w:t>otherwise</w:t>
      </w:r>
      <w:r w:rsidR="004706F7">
        <w:t xml:space="preserve"> directed by the Inquiry</w:t>
      </w:r>
      <w:r>
        <w:t>.</w:t>
      </w:r>
    </w:p>
    <w:p w14:paraId="23F9FDD0" w14:textId="77777777" w:rsidR="00FD1F27" w:rsidRDefault="00160C22" w:rsidP="004E05DD">
      <w:pPr>
        <w:pStyle w:val="NoSpacing"/>
        <w:numPr>
          <w:ilvl w:val="0"/>
          <w:numId w:val="1"/>
        </w:numPr>
        <w:spacing w:before="120" w:after="240"/>
        <w:ind w:left="567" w:hanging="567"/>
        <w:jc w:val="both"/>
      </w:pPr>
      <w:r>
        <w:t xml:space="preserve">An application for </w:t>
      </w:r>
      <w:r w:rsidR="00CC648D">
        <w:t xml:space="preserve">permission </w:t>
      </w:r>
      <w:r>
        <w:t xml:space="preserve">to file </w:t>
      </w:r>
      <w:r w:rsidR="00CC648D">
        <w:t xml:space="preserve">supplementary </w:t>
      </w:r>
      <w:r>
        <w:t>evidence must</w:t>
      </w:r>
      <w:r w:rsidR="00FD1F27">
        <w:t>:</w:t>
      </w:r>
      <w:r>
        <w:t xml:space="preserve"> </w:t>
      </w:r>
    </w:p>
    <w:p w14:paraId="488AC724" w14:textId="77777777" w:rsidR="00160C22" w:rsidRDefault="00160C22" w:rsidP="004E05DD">
      <w:pPr>
        <w:pStyle w:val="NoSpacing"/>
        <w:numPr>
          <w:ilvl w:val="1"/>
          <w:numId w:val="1"/>
        </w:numPr>
        <w:spacing w:before="120" w:after="240"/>
        <w:ind w:left="1276" w:hanging="425"/>
        <w:jc w:val="both"/>
      </w:pPr>
      <w:r>
        <w:t>be made within 10 working days of disclosure of the witness statement/s to the applicant</w:t>
      </w:r>
      <w:r w:rsidR="00FD1F27">
        <w:t>;</w:t>
      </w:r>
    </w:p>
    <w:p w14:paraId="0F067ADC" w14:textId="77777777" w:rsidR="00FD1F27" w:rsidRDefault="00FD1F27" w:rsidP="004E05DD">
      <w:pPr>
        <w:pStyle w:val="NoSpacing"/>
        <w:numPr>
          <w:ilvl w:val="1"/>
          <w:numId w:val="1"/>
        </w:numPr>
        <w:spacing w:before="120" w:after="240"/>
        <w:ind w:left="1276" w:hanging="425"/>
        <w:jc w:val="both"/>
      </w:pPr>
      <w:r>
        <w:t xml:space="preserve">be accompanied by a statement of the intended </w:t>
      </w:r>
      <w:r w:rsidR="00CC648D">
        <w:t xml:space="preserve">supplementary </w:t>
      </w:r>
      <w:r>
        <w:t>evidence;</w:t>
      </w:r>
    </w:p>
    <w:p w14:paraId="06A4080B" w14:textId="77777777" w:rsidR="00FD1F27" w:rsidRDefault="002D2F3A" w:rsidP="004E05DD">
      <w:pPr>
        <w:pStyle w:val="NoSpacing"/>
        <w:numPr>
          <w:ilvl w:val="1"/>
          <w:numId w:val="1"/>
        </w:numPr>
        <w:spacing w:before="120" w:after="240"/>
        <w:ind w:left="1276" w:hanging="425"/>
        <w:jc w:val="both"/>
      </w:pPr>
      <w:r>
        <w:t>set out</w:t>
      </w:r>
      <w:r w:rsidR="00FD1F27">
        <w:t xml:space="preserve">: </w:t>
      </w:r>
    </w:p>
    <w:p w14:paraId="5DD5315C" w14:textId="77777777" w:rsidR="00FD1F27" w:rsidRDefault="00FD1F27" w:rsidP="004E05DD">
      <w:pPr>
        <w:pStyle w:val="NoSpacing"/>
        <w:numPr>
          <w:ilvl w:val="2"/>
          <w:numId w:val="1"/>
        </w:numPr>
        <w:spacing w:before="120" w:after="240"/>
        <w:ind w:left="1843"/>
        <w:jc w:val="both"/>
      </w:pPr>
      <w:r>
        <w:t xml:space="preserve">why the disclosed witness statement/s may adversely affect the interests of the applicant if </w:t>
      </w:r>
      <w:r w:rsidR="00CC648D">
        <w:t xml:space="preserve">supplementary </w:t>
      </w:r>
      <w:r>
        <w:t xml:space="preserve">evidence is not received; </w:t>
      </w:r>
      <w:r w:rsidR="009D11F8">
        <w:t>and/</w:t>
      </w:r>
      <w:r>
        <w:t>or</w:t>
      </w:r>
    </w:p>
    <w:p w14:paraId="56D38C6F" w14:textId="77777777" w:rsidR="00FD1F27" w:rsidRDefault="00FD1F27" w:rsidP="004E05DD">
      <w:pPr>
        <w:pStyle w:val="NoSpacing"/>
        <w:numPr>
          <w:ilvl w:val="2"/>
          <w:numId w:val="1"/>
        </w:numPr>
        <w:spacing w:before="120" w:after="240"/>
        <w:ind w:left="1843"/>
        <w:jc w:val="both"/>
      </w:pPr>
      <w:r>
        <w:t xml:space="preserve">that receiving </w:t>
      </w:r>
      <w:r w:rsidR="00CC648D">
        <w:t xml:space="preserve">supplementary </w:t>
      </w:r>
      <w:r>
        <w:t xml:space="preserve">evidence is otherwise in the interests of justice.   </w:t>
      </w:r>
    </w:p>
    <w:p w14:paraId="0CBF5B63" w14:textId="77777777" w:rsidR="00160C22" w:rsidRDefault="00FD1F27" w:rsidP="004E05DD">
      <w:pPr>
        <w:pStyle w:val="NoSpacing"/>
        <w:numPr>
          <w:ilvl w:val="0"/>
          <w:numId w:val="1"/>
        </w:numPr>
        <w:spacing w:before="120" w:after="240"/>
        <w:ind w:left="567" w:hanging="567"/>
        <w:jc w:val="both"/>
      </w:pPr>
      <w:r>
        <w:t xml:space="preserve">The Inquiry will determine applications for </w:t>
      </w:r>
      <w:r w:rsidR="00CC648D">
        <w:t xml:space="preserve">permission </w:t>
      </w:r>
      <w:r>
        <w:t xml:space="preserve">to file </w:t>
      </w:r>
      <w:r w:rsidR="00CC648D">
        <w:t xml:space="preserve">supplementary </w:t>
      </w:r>
      <w:r>
        <w:t xml:space="preserve">evidence </w:t>
      </w:r>
      <w:r w:rsidRPr="00E35B87">
        <w:t xml:space="preserve">within </w:t>
      </w:r>
      <w:r w:rsidR="008554C9" w:rsidRPr="00E35B87">
        <w:t>7</w:t>
      </w:r>
      <w:r w:rsidRPr="00E35B87">
        <w:t xml:space="preserve"> working days of receipt. If </w:t>
      </w:r>
      <w:r w:rsidR="00CC648D" w:rsidRPr="00E35B87">
        <w:t xml:space="preserve">permission </w:t>
      </w:r>
      <w:r w:rsidRPr="00E35B87">
        <w:t xml:space="preserve">is granted to </w:t>
      </w:r>
      <w:r w:rsidR="00A36911" w:rsidRPr="00E35B87">
        <w:t>a participant</w:t>
      </w:r>
      <w:r w:rsidRPr="00E35B87">
        <w:t xml:space="preserve"> to file </w:t>
      </w:r>
      <w:r w:rsidR="00CC648D" w:rsidRPr="00E35B87">
        <w:t xml:space="preserve">supplementary </w:t>
      </w:r>
      <w:r w:rsidRPr="00E35B87">
        <w:t xml:space="preserve">evidence, any further witness statement/s must be filed </w:t>
      </w:r>
      <w:r w:rsidR="00FA0CCA" w:rsidRPr="00E35B87">
        <w:t xml:space="preserve">with the Inquiry </w:t>
      </w:r>
      <w:r w:rsidRPr="00E35B87">
        <w:t>within 10 working</w:t>
      </w:r>
      <w:r>
        <w:t xml:space="preserve"> days of </w:t>
      </w:r>
      <w:r w:rsidR="00CC648D">
        <w:t xml:space="preserve">permission </w:t>
      </w:r>
      <w:r>
        <w:t>being granted</w:t>
      </w:r>
      <w:r w:rsidR="00A36911">
        <w:t>,</w:t>
      </w:r>
      <w:r w:rsidR="00007EE8">
        <w:t xml:space="preserve"> or </w:t>
      </w:r>
      <w:r w:rsidR="00A36911">
        <w:t>by</w:t>
      </w:r>
      <w:r w:rsidR="00007EE8">
        <w:t xml:space="preserve"> some other specified date</w:t>
      </w:r>
      <w:r>
        <w:t xml:space="preserve">. </w:t>
      </w:r>
    </w:p>
    <w:p w14:paraId="2421AF5F" w14:textId="77777777" w:rsidR="008554C9" w:rsidRDefault="008554C9" w:rsidP="004E05DD">
      <w:pPr>
        <w:pStyle w:val="NoSpacing"/>
        <w:numPr>
          <w:ilvl w:val="0"/>
          <w:numId w:val="1"/>
        </w:numPr>
        <w:spacing w:before="120" w:after="240"/>
        <w:ind w:left="567" w:hanging="567"/>
        <w:jc w:val="both"/>
      </w:pPr>
      <w:r>
        <w:t xml:space="preserve">In exceptional circumstances, including where an evidence statement has been disclosed shortly before a hearing, </w:t>
      </w:r>
      <w:r w:rsidR="00AD5796">
        <w:t>an application can be made to shorten the</w:t>
      </w:r>
      <w:r w:rsidR="00CC648D">
        <w:t>se</w:t>
      </w:r>
      <w:r w:rsidR="00AD5796">
        <w:t xml:space="preserve"> timeframes. </w:t>
      </w:r>
      <w:r>
        <w:t xml:space="preserve"> </w:t>
      </w:r>
    </w:p>
    <w:p w14:paraId="3B519126" w14:textId="77777777" w:rsidR="009B7285" w:rsidRDefault="00FA0CCA" w:rsidP="004E05DD">
      <w:pPr>
        <w:pStyle w:val="NoSpacing"/>
        <w:numPr>
          <w:ilvl w:val="0"/>
          <w:numId w:val="1"/>
        </w:numPr>
        <w:spacing w:before="120" w:after="240"/>
        <w:ind w:left="567" w:hanging="567"/>
        <w:jc w:val="both"/>
      </w:pPr>
      <w:r>
        <w:t xml:space="preserve">The Inquiry will disclose </w:t>
      </w:r>
      <w:r w:rsidR="00CC648D">
        <w:t xml:space="preserve">supplementary </w:t>
      </w:r>
      <w:r>
        <w:t>evidence to</w:t>
      </w:r>
      <w:r w:rsidR="00A36911" w:rsidRPr="00A36911">
        <w:t xml:space="preserve"> </w:t>
      </w:r>
      <w:r w:rsidR="00A36911">
        <w:t>core participants to the investigation, those granted leave to appear at the hearing, and any other person</w:t>
      </w:r>
      <w:r w:rsidR="00A36911" w:rsidRPr="00CF7F7D">
        <w:t xml:space="preserve"> </w:t>
      </w:r>
      <w:r w:rsidR="00A36911">
        <w:t xml:space="preserve">where disclosure is necessary for effective participation in the public hearing. </w:t>
      </w:r>
      <w:r w:rsidR="008554C9">
        <w:t xml:space="preserve">Disclosure will be subject to the General Restriction Order and any other orders made under s 15 of the Act. </w:t>
      </w:r>
    </w:p>
    <w:p w14:paraId="433A3D24" w14:textId="77777777" w:rsidR="00367DE9" w:rsidRPr="00367DE9" w:rsidRDefault="00367DE9" w:rsidP="004E05DD">
      <w:pPr>
        <w:pStyle w:val="NoSpacing"/>
        <w:spacing w:before="120" w:after="240"/>
        <w:jc w:val="both"/>
        <w:rPr>
          <w:b/>
          <w:bCs/>
        </w:rPr>
      </w:pPr>
      <w:r w:rsidRPr="00367DE9">
        <w:rPr>
          <w:b/>
          <w:bCs/>
        </w:rPr>
        <w:t>SECTION 5 – SELECTION OF WITNESSES FOR HEARINGS</w:t>
      </w:r>
    </w:p>
    <w:p w14:paraId="2C485BDB" w14:textId="77777777" w:rsidR="00367DE9" w:rsidRDefault="00367DE9" w:rsidP="004E05DD">
      <w:pPr>
        <w:pStyle w:val="NoSpacing"/>
        <w:numPr>
          <w:ilvl w:val="0"/>
          <w:numId w:val="1"/>
        </w:numPr>
        <w:spacing w:before="120" w:after="240"/>
        <w:ind w:left="567" w:hanging="567"/>
        <w:jc w:val="both"/>
      </w:pPr>
      <w:r>
        <w:t xml:space="preserve">The Inquiry will decide the witnesses to be called to give oral evidence at a public hearing. All witness statements received by the Inquiry during an investigation will be part of the evidence considered, but not all witnesses who have filed witness statements will necessarily be called to give oral evidence at a hearing.  </w:t>
      </w:r>
    </w:p>
    <w:p w14:paraId="6EF8A8DD" w14:textId="77777777" w:rsidR="00367DE9" w:rsidRDefault="00367DE9" w:rsidP="004E05DD">
      <w:pPr>
        <w:pStyle w:val="NoSpacing"/>
        <w:numPr>
          <w:ilvl w:val="0"/>
          <w:numId w:val="1"/>
        </w:numPr>
        <w:spacing w:before="120" w:after="240"/>
        <w:ind w:left="567" w:hanging="567"/>
        <w:jc w:val="both"/>
      </w:pPr>
      <w:r>
        <w:t>Participants who have filed witness statement/s, including core participants and those  granted leave to appear, who believe that a particular witness (including themselves, if an individual) should be called to give oral evidence at the public hearing, should make a request in writing to the Inquiry at the time the witness statement is filed setting out:</w:t>
      </w:r>
    </w:p>
    <w:p w14:paraId="54730AFD" w14:textId="77777777" w:rsidR="00367DE9" w:rsidRDefault="00367DE9" w:rsidP="004E05DD">
      <w:pPr>
        <w:pStyle w:val="NoSpacing"/>
        <w:numPr>
          <w:ilvl w:val="1"/>
          <w:numId w:val="1"/>
        </w:numPr>
        <w:spacing w:before="120" w:after="240"/>
        <w:ind w:left="1276" w:hanging="425"/>
        <w:jc w:val="both"/>
      </w:pPr>
      <w:r>
        <w:lastRenderedPageBreak/>
        <w:t>The reasons why the witness should give oral evidence at the public hearing; and</w:t>
      </w:r>
    </w:p>
    <w:p w14:paraId="5C796A8B" w14:textId="77777777" w:rsidR="00367DE9" w:rsidRDefault="00367DE9" w:rsidP="004E05DD">
      <w:pPr>
        <w:pStyle w:val="NoSpacing"/>
        <w:numPr>
          <w:ilvl w:val="1"/>
          <w:numId w:val="1"/>
        </w:numPr>
        <w:spacing w:before="120" w:after="240"/>
        <w:ind w:left="1276" w:hanging="425"/>
        <w:jc w:val="both"/>
      </w:pPr>
      <w:r>
        <w:t>The parts of the witness statement the request relates to; and</w:t>
      </w:r>
    </w:p>
    <w:p w14:paraId="38F94025" w14:textId="77777777" w:rsidR="00FA4634" w:rsidRDefault="00367DE9" w:rsidP="004E05DD">
      <w:pPr>
        <w:pStyle w:val="NoSpacing"/>
        <w:numPr>
          <w:ilvl w:val="1"/>
          <w:numId w:val="1"/>
        </w:numPr>
        <w:spacing w:before="120" w:after="240"/>
        <w:ind w:left="1276" w:hanging="425"/>
        <w:jc w:val="both"/>
      </w:pPr>
      <w:r>
        <w:t>An estimate of the time required for the oral evidence</w:t>
      </w:r>
      <w:r w:rsidR="00FA4634">
        <w:t>; and</w:t>
      </w:r>
    </w:p>
    <w:p w14:paraId="4D1EA9A0" w14:textId="77777777" w:rsidR="00367DE9" w:rsidRDefault="00163F6B" w:rsidP="004E05DD">
      <w:pPr>
        <w:pStyle w:val="NoSpacing"/>
        <w:numPr>
          <w:ilvl w:val="1"/>
          <w:numId w:val="1"/>
        </w:numPr>
        <w:spacing w:before="120" w:after="240"/>
        <w:ind w:left="1276" w:hanging="425"/>
        <w:jc w:val="both"/>
      </w:pPr>
      <w:r>
        <w:t xml:space="preserve">Any request to give oral evidence in an alternative way, including by AVL from an appropriate place outside the hearing room. </w:t>
      </w:r>
      <w:r w:rsidR="00367DE9">
        <w:t xml:space="preserve"> </w:t>
      </w:r>
    </w:p>
    <w:p w14:paraId="2C5E4554" w14:textId="77777777" w:rsidR="00367DE9" w:rsidRDefault="00367DE9" w:rsidP="004E05DD">
      <w:pPr>
        <w:pStyle w:val="NoSpacing"/>
        <w:numPr>
          <w:ilvl w:val="0"/>
          <w:numId w:val="1"/>
        </w:numPr>
        <w:spacing w:before="120" w:after="240"/>
        <w:ind w:left="567" w:hanging="567"/>
        <w:jc w:val="both"/>
      </w:pPr>
      <w:r>
        <w:t xml:space="preserve">In deciding whether a witness should be called to give oral evidence at a public hearing the Inquiry </w:t>
      </w:r>
      <w:r w:rsidRPr="00AD619F">
        <w:t>may</w:t>
      </w:r>
      <w:r>
        <w:t xml:space="preserve"> consider the significance of part or all of a witness’s evidence, whether the evidence appears to be inconsistent with other evidence the Inquiry has received, whether evidence may adversely affect the interests of anyone, </w:t>
      </w:r>
      <w:r w:rsidR="00971416">
        <w:t>participation of M</w:t>
      </w:r>
      <w:r w:rsidR="00616719">
        <w:t xml:space="preserve">āori in accordance with Te Tiriti o Waitangi, participation of disproportionately represented groups, </w:t>
      </w:r>
      <w:r>
        <w:t xml:space="preserve">the available hearing time, and any other relevant matters. </w:t>
      </w:r>
    </w:p>
    <w:p w14:paraId="37967810" w14:textId="77777777" w:rsidR="00832C68" w:rsidRDefault="00367DE9" w:rsidP="004E05DD">
      <w:pPr>
        <w:pStyle w:val="NoSpacing"/>
        <w:numPr>
          <w:ilvl w:val="0"/>
          <w:numId w:val="1"/>
        </w:numPr>
        <w:spacing w:before="120" w:after="240"/>
        <w:ind w:left="567" w:hanging="567"/>
        <w:jc w:val="both"/>
      </w:pPr>
      <w:r>
        <w:t xml:space="preserve">On deciding that a witness will be called to give oral evidence at a hearing, the Inquiry will make directions on the nature and extent of the witness’s evidence that is to be given orally. A witness may not be required to give oral evidence on all matters in their statement. </w:t>
      </w:r>
    </w:p>
    <w:p w14:paraId="2288E1C5" w14:textId="77777777" w:rsidR="00367DE9" w:rsidRDefault="00367DE9" w:rsidP="004E05DD">
      <w:pPr>
        <w:pStyle w:val="NoSpacing"/>
        <w:spacing w:before="120" w:after="240"/>
        <w:jc w:val="both"/>
        <w:rPr>
          <w:b/>
          <w:bCs/>
        </w:rPr>
      </w:pPr>
      <w:r w:rsidRPr="00E52736">
        <w:rPr>
          <w:b/>
          <w:bCs/>
        </w:rPr>
        <w:t xml:space="preserve">SECTION </w:t>
      </w:r>
      <w:r>
        <w:rPr>
          <w:b/>
          <w:bCs/>
        </w:rPr>
        <w:t>6</w:t>
      </w:r>
      <w:r w:rsidRPr="00E52736">
        <w:rPr>
          <w:b/>
          <w:bCs/>
        </w:rPr>
        <w:t xml:space="preserve"> – </w:t>
      </w:r>
      <w:r>
        <w:rPr>
          <w:b/>
          <w:bCs/>
        </w:rPr>
        <w:t xml:space="preserve">QUESTIONING OF WITNESSES </w:t>
      </w:r>
    </w:p>
    <w:p w14:paraId="784A01E1" w14:textId="77777777" w:rsidR="00367DE9" w:rsidRDefault="00367DE9" w:rsidP="004E05DD">
      <w:pPr>
        <w:pStyle w:val="NoSpacing"/>
        <w:numPr>
          <w:ilvl w:val="0"/>
          <w:numId w:val="1"/>
        </w:numPr>
        <w:spacing w:before="120" w:after="240"/>
        <w:ind w:left="567" w:hanging="567"/>
        <w:jc w:val="both"/>
      </w:pPr>
      <w:r>
        <w:t xml:space="preserve">Where a witness is called to give oral evidence at a public hearing their evidence will be led by the lawyer who represents the witness, or the lawyer for the participant who filed the witness’s statement. In all other cases, a witness’s evidence will be led by Counsel Assisting the Inquiry. </w:t>
      </w:r>
    </w:p>
    <w:p w14:paraId="4A37013C" w14:textId="77777777" w:rsidR="00367DE9" w:rsidRDefault="00367DE9" w:rsidP="004E05DD">
      <w:pPr>
        <w:pStyle w:val="NoSpacing"/>
        <w:numPr>
          <w:ilvl w:val="0"/>
          <w:numId w:val="1"/>
        </w:numPr>
        <w:spacing w:before="120" w:after="240"/>
        <w:ind w:left="567" w:hanging="567"/>
        <w:jc w:val="both"/>
      </w:pPr>
      <w:r>
        <w:t xml:space="preserve">Counsel Assisting may question all witnesses. Lawyers for participants may suggest lines of questioning to Counsel Assisting and should do so in writing. Additional questioning of witnesses by lawyers for other participants will only be permitted if the Inquiry gives permission. Exceptional reasons will be required if the application is to question a witness who is a victim or survivor of abuse.  </w:t>
      </w:r>
    </w:p>
    <w:p w14:paraId="3B37353C" w14:textId="77777777" w:rsidR="00367DE9" w:rsidRDefault="00367DE9" w:rsidP="004E05DD">
      <w:pPr>
        <w:pStyle w:val="NoSpacing"/>
        <w:numPr>
          <w:ilvl w:val="0"/>
          <w:numId w:val="1"/>
        </w:numPr>
        <w:spacing w:before="120" w:after="240"/>
        <w:ind w:left="567" w:hanging="567"/>
        <w:jc w:val="both"/>
      </w:pPr>
      <w:r>
        <w:t xml:space="preserve">Applications should be made in writing to </w:t>
      </w:r>
      <w:hyperlink r:id="rId16" w:history="1">
        <w:r w:rsidRPr="00A6079C">
          <w:rPr>
            <w:rStyle w:val="Hyperlink"/>
          </w:rPr>
          <w:t>solicitorassisting@abuseincare.org.nz</w:t>
        </w:r>
      </w:hyperlink>
      <w:r>
        <w:t xml:space="preserve"> as soon as possible but no later than </w:t>
      </w:r>
      <w:r w:rsidRPr="00E35B87">
        <w:t>10</w:t>
      </w:r>
      <w:r>
        <w:t xml:space="preserve"> working days before the beginning of the public hearing and must set out:</w:t>
      </w:r>
    </w:p>
    <w:p w14:paraId="500221DA" w14:textId="77777777" w:rsidR="00367DE9" w:rsidRDefault="00367DE9" w:rsidP="004E05DD">
      <w:pPr>
        <w:pStyle w:val="NoSpacing"/>
        <w:numPr>
          <w:ilvl w:val="1"/>
          <w:numId w:val="1"/>
        </w:numPr>
        <w:spacing w:before="120" w:after="240"/>
        <w:ind w:left="1276" w:hanging="425"/>
        <w:jc w:val="both"/>
      </w:pPr>
      <w:r>
        <w:t>The proposed area/s of questioning; and</w:t>
      </w:r>
    </w:p>
    <w:p w14:paraId="7CD986FA" w14:textId="77777777" w:rsidR="00367DE9" w:rsidRDefault="00367DE9" w:rsidP="004E05DD">
      <w:pPr>
        <w:pStyle w:val="NoSpacing"/>
        <w:numPr>
          <w:ilvl w:val="1"/>
          <w:numId w:val="1"/>
        </w:numPr>
        <w:spacing w:before="120" w:after="240"/>
        <w:ind w:left="1276" w:hanging="425"/>
        <w:jc w:val="both"/>
      </w:pPr>
      <w:r>
        <w:t>The estimated time required for questioning; and</w:t>
      </w:r>
    </w:p>
    <w:p w14:paraId="401C1C68" w14:textId="77777777" w:rsidR="00367DE9" w:rsidRDefault="00367DE9" w:rsidP="004E05DD">
      <w:pPr>
        <w:pStyle w:val="NoSpacing"/>
        <w:numPr>
          <w:ilvl w:val="1"/>
          <w:numId w:val="1"/>
        </w:numPr>
        <w:spacing w:before="120" w:after="240"/>
        <w:ind w:left="1276" w:hanging="425"/>
        <w:jc w:val="both"/>
      </w:pPr>
      <w:r>
        <w:t>If the witness is a survivor, exceptional reasons why the questions could not be asked by Counsel Assisting.</w:t>
      </w:r>
    </w:p>
    <w:p w14:paraId="117A97BA" w14:textId="77777777" w:rsidR="00367DE9" w:rsidRDefault="00367DE9" w:rsidP="004E05DD">
      <w:pPr>
        <w:pStyle w:val="NoSpacing"/>
        <w:numPr>
          <w:ilvl w:val="0"/>
          <w:numId w:val="1"/>
        </w:numPr>
        <w:spacing w:before="120" w:after="240"/>
        <w:ind w:left="567" w:hanging="567"/>
        <w:jc w:val="both"/>
      </w:pPr>
      <w:r>
        <w:t xml:space="preserve">The Inquiry will determine written applications for leave to question and notify its decisions as soon as practicable. </w:t>
      </w:r>
    </w:p>
    <w:p w14:paraId="271B7B29" w14:textId="77777777" w:rsidR="00367DE9" w:rsidRDefault="00367DE9" w:rsidP="004E05DD">
      <w:pPr>
        <w:pStyle w:val="NoSpacing"/>
        <w:numPr>
          <w:ilvl w:val="0"/>
          <w:numId w:val="1"/>
        </w:numPr>
        <w:spacing w:before="120" w:after="240"/>
        <w:ind w:left="567" w:hanging="567"/>
        <w:jc w:val="both"/>
      </w:pPr>
      <w:r>
        <w:t>This process does not exclude participants making oral applications to the Chair during a hearing for leave to question witnesses, but this is not encouraged</w:t>
      </w:r>
      <w:r w:rsidRPr="00B61CAB">
        <w:t xml:space="preserve"> </w:t>
      </w:r>
      <w:r>
        <w:t xml:space="preserve">given the limited hearing time available. </w:t>
      </w:r>
    </w:p>
    <w:p w14:paraId="64509D66" w14:textId="35A55F83" w:rsidR="000144CF" w:rsidRDefault="000144CF" w:rsidP="004E05DD">
      <w:pPr>
        <w:pStyle w:val="NoSpacing"/>
        <w:spacing w:before="120" w:after="240"/>
        <w:jc w:val="both"/>
        <w:rPr>
          <w:b/>
          <w:bCs/>
        </w:rPr>
      </w:pPr>
    </w:p>
    <w:p w14:paraId="244DE2DB" w14:textId="77777777" w:rsidR="0097371C" w:rsidRDefault="0097371C" w:rsidP="004E05DD">
      <w:pPr>
        <w:pStyle w:val="NoSpacing"/>
        <w:spacing w:before="120" w:after="240"/>
        <w:jc w:val="both"/>
        <w:rPr>
          <w:b/>
          <w:bCs/>
        </w:rPr>
      </w:pPr>
    </w:p>
    <w:p w14:paraId="03B3332A" w14:textId="77777777" w:rsidR="009B7285" w:rsidRPr="009B7285" w:rsidRDefault="009B7285" w:rsidP="004E05DD">
      <w:pPr>
        <w:pStyle w:val="NoSpacing"/>
        <w:spacing w:before="120" w:after="240"/>
        <w:jc w:val="both"/>
        <w:rPr>
          <w:b/>
          <w:bCs/>
        </w:rPr>
      </w:pPr>
      <w:r>
        <w:rPr>
          <w:b/>
          <w:bCs/>
        </w:rPr>
        <w:lastRenderedPageBreak/>
        <w:t xml:space="preserve">SECTION </w:t>
      </w:r>
      <w:r w:rsidR="00367DE9">
        <w:rPr>
          <w:b/>
          <w:bCs/>
        </w:rPr>
        <w:t>7</w:t>
      </w:r>
      <w:r>
        <w:rPr>
          <w:b/>
          <w:bCs/>
        </w:rPr>
        <w:t xml:space="preserve"> – </w:t>
      </w:r>
      <w:r w:rsidR="0098690D">
        <w:rPr>
          <w:b/>
          <w:bCs/>
        </w:rPr>
        <w:t xml:space="preserve">DOCUMENT HEARING BUNDLES </w:t>
      </w:r>
    </w:p>
    <w:p w14:paraId="0CBE9552" w14:textId="77777777" w:rsidR="0003045A" w:rsidRDefault="00857323" w:rsidP="004E05DD">
      <w:pPr>
        <w:pStyle w:val="NoSpacing"/>
        <w:numPr>
          <w:ilvl w:val="0"/>
          <w:numId w:val="1"/>
        </w:numPr>
        <w:spacing w:before="120" w:after="240"/>
        <w:ind w:left="567" w:hanging="567"/>
        <w:jc w:val="both"/>
      </w:pPr>
      <w:r>
        <w:t>The</w:t>
      </w:r>
      <w:r w:rsidR="00854B09">
        <w:t xml:space="preserve"> Inquiry </w:t>
      </w:r>
      <w:r w:rsidR="00A36911">
        <w:t xml:space="preserve">may </w:t>
      </w:r>
      <w:r w:rsidR="00854B09">
        <w:t xml:space="preserve">collate a bundle </w:t>
      </w:r>
      <w:r w:rsidR="001E000C">
        <w:t xml:space="preserve">of documents </w:t>
      </w:r>
      <w:r w:rsidR="002D38A9">
        <w:t>for</w:t>
      </w:r>
      <w:r w:rsidR="00415C48">
        <w:t xml:space="preserve"> </w:t>
      </w:r>
      <w:r w:rsidR="00084E4E">
        <w:t xml:space="preserve">electronic </w:t>
      </w:r>
      <w:r w:rsidR="00415C48">
        <w:t xml:space="preserve">use at the hearing </w:t>
      </w:r>
      <w:r>
        <w:t>via</w:t>
      </w:r>
      <w:r w:rsidR="00415C48">
        <w:t xml:space="preserve"> the Inquiry’s </w:t>
      </w:r>
      <w:r w:rsidR="00AD2436">
        <w:t>Trial Director software</w:t>
      </w:r>
      <w:r>
        <w:t>,</w:t>
      </w:r>
      <w:r w:rsidR="002D38A9">
        <w:t xml:space="preserve"> </w:t>
      </w:r>
      <w:r w:rsidR="008554C9">
        <w:t xml:space="preserve">including witness statements, exhibits and any other </w:t>
      </w:r>
      <w:r w:rsidR="00B351E4">
        <w:t xml:space="preserve">relevant </w:t>
      </w:r>
      <w:r w:rsidR="008554C9">
        <w:t>evidence that the Inquiry chooses to include.</w:t>
      </w:r>
      <w:r w:rsidR="005B24D3">
        <w:t xml:space="preserve"> </w:t>
      </w:r>
    </w:p>
    <w:p w14:paraId="06733413" w14:textId="77777777" w:rsidR="008554C9" w:rsidRDefault="002A7046" w:rsidP="004E05DD">
      <w:pPr>
        <w:pStyle w:val="NoSpacing"/>
        <w:numPr>
          <w:ilvl w:val="0"/>
          <w:numId w:val="1"/>
        </w:numPr>
        <w:spacing w:before="120" w:after="240"/>
        <w:ind w:left="567" w:hanging="567"/>
        <w:jc w:val="both"/>
      </w:pPr>
      <w:r>
        <w:t xml:space="preserve">Participants </w:t>
      </w:r>
      <w:r w:rsidR="00B351E4">
        <w:t>may request</w:t>
      </w:r>
      <w:r w:rsidR="00857323">
        <w:t xml:space="preserve"> documents to be </w:t>
      </w:r>
      <w:r w:rsidR="0018331C">
        <w:t>included in</w:t>
      </w:r>
      <w:r w:rsidR="00857323">
        <w:t xml:space="preserve"> this hearing bundle but requests should be made at least four weeks prior to the hearing</w:t>
      </w:r>
      <w:r w:rsidR="00CB1FCE">
        <w:t xml:space="preserve">. </w:t>
      </w:r>
      <w:r w:rsidR="000C25F8">
        <w:t>D</w:t>
      </w:r>
      <w:r w:rsidR="00CB1FCE">
        <w:t>ocuments can be added to the hearing bundle</w:t>
      </w:r>
      <w:r w:rsidR="0018331C">
        <w:t xml:space="preserve"> later in exceptional circumstances</w:t>
      </w:r>
      <w:r w:rsidR="00AD1285">
        <w:t xml:space="preserve"> </w:t>
      </w:r>
      <w:r w:rsidR="00577854">
        <w:t>if</w:t>
      </w:r>
      <w:r w:rsidR="00AD1285">
        <w:t xml:space="preserve"> relevance was not </w:t>
      </w:r>
      <w:r w:rsidR="003D01EE">
        <w:t>foreseen</w:t>
      </w:r>
      <w:r w:rsidR="00AD1285">
        <w:t xml:space="preserve">, </w:t>
      </w:r>
      <w:r w:rsidR="00AC12F7">
        <w:t xml:space="preserve">but </w:t>
      </w:r>
      <w:r w:rsidR="00F82D35">
        <w:t xml:space="preserve">advance notice to the Inquiry is important </w:t>
      </w:r>
      <w:r w:rsidR="00577854">
        <w:t xml:space="preserve">because of the </w:t>
      </w:r>
      <w:r w:rsidR="00AC12F7">
        <w:t xml:space="preserve">need to ensure </w:t>
      </w:r>
      <w:r w:rsidR="00F87E39">
        <w:t xml:space="preserve">that </w:t>
      </w:r>
      <w:r w:rsidR="009F17C7">
        <w:t xml:space="preserve">un-redacted documents </w:t>
      </w:r>
      <w:r w:rsidR="00084E4E">
        <w:t xml:space="preserve">are not streamed to the public when restrictions are in place. </w:t>
      </w:r>
    </w:p>
    <w:p w14:paraId="0CA162BF" w14:textId="77777777" w:rsidR="00CC648D" w:rsidRDefault="008554C9" w:rsidP="004E05DD">
      <w:pPr>
        <w:pStyle w:val="NoSpacing"/>
        <w:numPr>
          <w:ilvl w:val="0"/>
          <w:numId w:val="1"/>
        </w:numPr>
        <w:spacing w:before="120" w:after="240"/>
        <w:ind w:left="567" w:hanging="567"/>
        <w:jc w:val="both"/>
      </w:pPr>
      <w:r>
        <w:t>The hearing bundle</w:t>
      </w:r>
      <w:r w:rsidR="00854B09">
        <w:t xml:space="preserve"> may be disclosed </w:t>
      </w:r>
      <w:r w:rsidR="00E416A9">
        <w:t xml:space="preserve">in advance of a public hearing </w:t>
      </w:r>
      <w:r w:rsidR="00854B09">
        <w:t xml:space="preserve">to </w:t>
      </w:r>
      <w:r w:rsidR="00E8420B">
        <w:t>core participants to the investigation, those granted leave to appear at the hearing, and any other person</w:t>
      </w:r>
      <w:r w:rsidR="00E8420B" w:rsidRPr="00CF7F7D">
        <w:t xml:space="preserve"> </w:t>
      </w:r>
      <w:r w:rsidR="00E8420B">
        <w:t xml:space="preserve">where disclosure is necessary for effective participation in the public hearing. </w:t>
      </w:r>
      <w:r w:rsidR="00CC648D">
        <w:t>Documents contained in hearing bundles will be subject to the General Restriction Order and any other orders made under s 15 of the Act.</w:t>
      </w:r>
    </w:p>
    <w:p w14:paraId="2655E273" w14:textId="77777777" w:rsidR="005D1A02" w:rsidRPr="005D1A02" w:rsidRDefault="005D1A02" w:rsidP="004E05DD">
      <w:pPr>
        <w:pStyle w:val="NoSpacing"/>
        <w:spacing w:before="120" w:after="240"/>
        <w:jc w:val="both"/>
        <w:rPr>
          <w:b/>
          <w:bCs/>
        </w:rPr>
      </w:pPr>
      <w:r>
        <w:rPr>
          <w:b/>
          <w:bCs/>
        </w:rPr>
        <w:t xml:space="preserve">SECTION </w:t>
      </w:r>
      <w:r w:rsidR="00367DE9">
        <w:rPr>
          <w:b/>
          <w:bCs/>
        </w:rPr>
        <w:t>8</w:t>
      </w:r>
      <w:r w:rsidR="007A5C35">
        <w:rPr>
          <w:b/>
          <w:bCs/>
        </w:rPr>
        <w:t xml:space="preserve"> </w:t>
      </w:r>
      <w:r>
        <w:rPr>
          <w:b/>
          <w:bCs/>
        </w:rPr>
        <w:t xml:space="preserve">– PROCEDURAL </w:t>
      </w:r>
      <w:r w:rsidR="004B62BF">
        <w:rPr>
          <w:b/>
          <w:bCs/>
        </w:rPr>
        <w:t>MATTERS</w:t>
      </w:r>
    </w:p>
    <w:p w14:paraId="47DD1DEF" w14:textId="77777777" w:rsidR="00A144A0" w:rsidRDefault="00A144A0" w:rsidP="004E05DD">
      <w:pPr>
        <w:pStyle w:val="NoSpacing"/>
        <w:numPr>
          <w:ilvl w:val="0"/>
          <w:numId w:val="1"/>
        </w:numPr>
        <w:spacing w:before="120" w:after="240"/>
        <w:ind w:left="567" w:hanging="567"/>
        <w:jc w:val="both"/>
      </w:pPr>
      <w:r>
        <w:t>The Inquiry does not intend to hold procedural hearings as a matter of course prior to every public hearing</w:t>
      </w:r>
      <w:r w:rsidR="007A5C35">
        <w:t xml:space="preserve"> unless there is good reason to do so that could not be </w:t>
      </w:r>
      <w:r w:rsidR="00F53A72">
        <w:t>adequately addressed</w:t>
      </w:r>
      <w:r w:rsidR="007A5C35">
        <w:t xml:space="preserve"> by </w:t>
      </w:r>
      <w:r w:rsidR="004B62BF">
        <w:t xml:space="preserve">consideration </w:t>
      </w:r>
      <w:r w:rsidR="007A5C35">
        <w:t>of written submissions</w:t>
      </w:r>
      <w:r>
        <w:t xml:space="preserve">. </w:t>
      </w:r>
    </w:p>
    <w:p w14:paraId="08D23098" w14:textId="77777777" w:rsidR="00A144A0" w:rsidRDefault="005D1A02" w:rsidP="004E05DD">
      <w:pPr>
        <w:pStyle w:val="NoSpacing"/>
        <w:numPr>
          <w:ilvl w:val="0"/>
          <w:numId w:val="1"/>
        </w:numPr>
        <w:spacing w:before="120" w:after="240"/>
        <w:ind w:left="567" w:hanging="567"/>
        <w:jc w:val="both"/>
      </w:pPr>
      <w:r>
        <w:t xml:space="preserve">Counsel for a participant, or a participant in person if not represented by a lawyer, who has a procedural question or issue relating to hearings should raise it </w:t>
      </w:r>
      <w:r w:rsidR="00A144A0">
        <w:t>in writing</w:t>
      </w:r>
      <w:r>
        <w:t xml:space="preserve"> in the first instance with Counsel Assisting the Inquiry, identifying the issue and setting out the contentions and the outcome sought. </w:t>
      </w:r>
      <w:r w:rsidR="00A144A0">
        <w:t>Such issues should be raised as soon as they arise</w:t>
      </w:r>
      <w:r w:rsidR="00AD5796">
        <w:t xml:space="preserve"> </w:t>
      </w:r>
      <w:r w:rsidR="00A64938">
        <w:t xml:space="preserve">by email </w:t>
      </w:r>
      <w:r w:rsidR="00AD5796">
        <w:t>to</w:t>
      </w:r>
      <w:r w:rsidR="003D7C60">
        <w:t>:</w:t>
      </w:r>
      <w:r w:rsidR="00AD5796">
        <w:t xml:space="preserve"> </w:t>
      </w:r>
      <w:hyperlink r:id="rId17" w:history="1">
        <w:r w:rsidR="00AD5796" w:rsidRPr="00452BFE">
          <w:rPr>
            <w:rStyle w:val="Hyperlink"/>
          </w:rPr>
          <w:t>counselassisting@abuseincare.org.nz</w:t>
        </w:r>
      </w:hyperlink>
      <w:r w:rsidR="00AD5796">
        <w:t xml:space="preserve"> </w:t>
      </w:r>
    </w:p>
    <w:p w14:paraId="029EF7BC" w14:textId="2F0515F0" w:rsidR="00F6301C" w:rsidRDefault="00A144A0" w:rsidP="004E05DD">
      <w:pPr>
        <w:pStyle w:val="NoSpacing"/>
        <w:numPr>
          <w:ilvl w:val="0"/>
          <w:numId w:val="1"/>
        </w:numPr>
        <w:spacing w:before="120" w:after="240"/>
        <w:ind w:left="567" w:hanging="567"/>
        <w:jc w:val="both"/>
      </w:pPr>
      <w:r>
        <w:t xml:space="preserve">If necessary Counsel Assisting will make inquiries of other counsel/participants on </w:t>
      </w:r>
      <w:r w:rsidR="004876E2">
        <w:t xml:space="preserve">procedural </w:t>
      </w:r>
      <w:r>
        <w:t>issue</w:t>
      </w:r>
      <w:r w:rsidR="006F72E8">
        <w:t>s</w:t>
      </w:r>
      <w:r w:rsidR="00F6301C">
        <w:t xml:space="preserve"> and, where possible, resolve issues on</w:t>
      </w:r>
      <w:r w:rsidR="005D1A02">
        <w:t xml:space="preserve"> mutually acceptable terms agreed in writing</w:t>
      </w:r>
      <w:r>
        <w:t xml:space="preserve">. </w:t>
      </w:r>
    </w:p>
    <w:p w14:paraId="2792A9D6" w14:textId="77777777" w:rsidR="00A144A0" w:rsidRDefault="00A144A0" w:rsidP="004E05DD">
      <w:pPr>
        <w:pStyle w:val="NoSpacing"/>
        <w:numPr>
          <w:ilvl w:val="0"/>
          <w:numId w:val="1"/>
        </w:numPr>
        <w:spacing w:before="120" w:after="240"/>
        <w:ind w:left="567" w:hanging="567"/>
        <w:jc w:val="both"/>
      </w:pPr>
      <w:r>
        <w:t>If resolution of a procedural issue cannot be reached between counsel</w:t>
      </w:r>
      <w:r w:rsidR="008554C9">
        <w:t>,</w:t>
      </w:r>
      <w:r>
        <w:t xml:space="preserve"> the Chair will</w:t>
      </w:r>
      <w:r w:rsidR="00F6301C">
        <w:t>,</w:t>
      </w:r>
      <w:r>
        <w:t xml:space="preserve"> </w:t>
      </w:r>
      <w:r w:rsidR="00F6301C">
        <w:t>having regard to the need to avoid unnecessary delay or cost and complying with the rules of natural justice, issue a ruling</w:t>
      </w:r>
      <w:r>
        <w:t>:</w:t>
      </w:r>
    </w:p>
    <w:p w14:paraId="408A359C" w14:textId="77777777" w:rsidR="00A144A0" w:rsidRDefault="00F6301C" w:rsidP="004E05DD">
      <w:pPr>
        <w:pStyle w:val="NoSpacing"/>
        <w:numPr>
          <w:ilvl w:val="1"/>
          <w:numId w:val="1"/>
        </w:numPr>
        <w:spacing w:before="120" w:after="240"/>
        <w:ind w:left="1276" w:hanging="425"/>
        <w:jc w:val="both"/>
      </w:pPr>
      <w:r>
        <w:t xml:space="preserve">After </w:t>
      </w:r>
      <w:r w:rsidR="00A144A0">
        <w:t>consider</w:t>
      </w:r>
      <w:r>
        <w:t>ing</w:t>
      </w:r>
      <w:r w:rsidR="00A144A0">
        <w:t xml:space="preserve"> the matter on the papers, if </w:t>
      </w:r>
      <w:r w:rsidR="00341EC0">
        <w:t xml:space="preserve">the Chair </w:t>
      </w:r>
      <w:r w:rsidR="001847CB">
        <w:t>considers</w:t>
      </w:r>
      <w:r w:rsidR="00341EC0">
        <w:t xml:space="preserve"> </w:t>
      </w:r>
      <w:r w:rsidR="001847CB">
        <w:t xml:space="preserve">it </w:t>
      </w:r>
      <w:r w:rsidR="00A144A0">
        <w:t>appropriate; or</w:t>
      </w:r>
    </w:p>
    <w:p w14:paraId="11377B5D" w14:textId="77777777" w:rsidR="007F463C" w:rsidRDefault="00F6301C" w:rsidP="004E05DD">
      <w:pPr>
        <w:pStyle w:val="NoSpacing"/>
        <w:numPr>
          <w:ilvl w:val="1"/>
          <w:numId w:val="1"/>
        </w:numPr>
        <w:spacing w:before="120" w:after="240"/>
        <w:ind w:left="1276" w:hanging="425"/>
        <w:jc w:val="both"/>
      </w:pPr>
      <w:r>
        <w:t>After hearing oral submissions from counsel at a</w:t>
      </w:r>
      <w:r w:rsidR="00A144A0">
        <w:t xml:space="preserve"> procedural hearing</w:t>
      </w:r>
      <w:r>
        <w:t xml:space="preserve">, or during a public hearing. </w:t>
      </w:r>
    </w:p>
    <w:p w14:paraId="18846286" w14:textId="77777777" w:rsidR="00C93E25" w:rsidRDefault="00C93E25" w:rsidP="004E05DD">
      <w:pPr>
        <w:pStyle w:val="NoSpacing"/>
        <w:numPr>
          <w:ilvl w:val="0"/>
          <w:numId w:val="1"/>
        </w:numPr>
        <w:spacing w:before="120" w:after="240"/>
        <w:ind w:left="567" w:hanging="567"/>
        <w:jc w:val="both"/>
      </w:pPr>
      <w:r>
        <w:t xml:space="preserve">Prior to each public hearing the Inquiry will issue a Minute to participants </w:t>
      </w:r>
      <w:r w:rsidR="009002C2">
        <w:t>which may include</w:t>
      </w:r>
      <w:r>
        <w:t xml:space="preserve"> timetabling directions, notif</w:t>
      </w:r>
      <w:r w:rsidR="009002C2">
        <w:t>ication</w:t>
      </w:r>
      <w:r>
        <w:t xml:space="preserve"> of decisions on applications</w:t>
      </w:r>
      <w:r w:rsidR="009002C2">
        <w:t xml:space="preserve"> and requests, </w:t>
      </w:r>
      <w:r w:rsidR="000D228F">
        <w:t xml:space="preserve">and </w:t>
      </w:r>
      <w:r w:rsidR="00DD3988">
        <w:t>procedural rulings wh</w:t>
      </w:r>
      <w:r w:rsidR="009002C2">
        <w:t>e</w:t>
      </w:r>
      <w:r w:rsidR="00DD3988">
        <w:t xml:space="preserve">re appropriate. </w:t>
      </w:r>
    </w:p>
    <w:p w14:paraId="29C469F3" w14:textId="77777777" w:rsidR="002E3FDE" w:rsidRPr="00DB6FA8" w:rsidRDefault="002E3FDE" w:rsidP="004E05DD">
      <w:pPr>
        <w:pStyle w:val="NoSpacing"/>
        <w:spacing w:before="120" w:after="240"/>
        <w:jc w:val="both"/>
        <w:rPr>
          <w:b/>
          <w:bCs/>
        </w:rPr>
      </w:pPr>
      <w:r>
        <w:rPr>
          <w:b/>
          <w:bCs/>
        </w:rPr>
        <w:t xml:space="preserve">SECTION </w:t>
      </w:r>
      <w:r w:rsidR="00367DE9">
        <w:rPr>
          <w:b/>
          <w:bCs/>
        </w:rPr>
        <w:t>9</w:t>
      </w:r>
      <w:r>
        <w:rPr>
          <w:b/>
          <w:bCs/>
        </w:rPr>
        <w:t xml:space="preserve"> – HEARING PLAN</w:t>
      </w:r>
    </w:p>
    <w:p w14:paraId="6F215CC0" w14:textId="1065A4EE" w:rsidR="002E3FDE" w:rsidRDefault="002E3FDE" w:rsidP="004E05DD">
      <w:pPr>
        <w:pStyle w:val="NoSpacing"/>
        <w:numPr>
          <w:ilvl w:val="0"/>
          <w:numId w:val="1"/>
        </w:numPr>
        <w:spacing w:before="120" w:after="240"/>
        <w:ind w:left="567" w:hanging="567"/>
        <w:jc w:val="both"/>
      </w:pPr>
      <w:r>
        <w:t>The Inquiry will publish a hearing plan on its website and distribute it to participants as soon as practicable prior to the hearing, after written applications for leave to question witnesses at the hearing have been received</w:t>
      </w:r>
      <w:r w:rsidR="00B90654">
        <w:t>.</w:t>
      </w:r>
    </w:p>
    <w:p w14:paraId="6DF02AE8" w14:textId="77777777" w:rsidR="002E3FDE" w:rsidRDefault="002E3FDE" w:rsidP="004E05DD">
      <w:pPr>
        <w:pStyle w:val="NoSpacing"/>
        <w:numPr>
          <w:ilvl w:val="0"/>
          <w:numId w:val="1"/>
        </w:numPr>
        <w:spacing w:before="120" w:after="240"/>
        <w:ind w:left="567" w:hanging="567"/>
        <w:jc w:val="both"/>
      </w:pPr>
      <w:r>
        <w:lastRenderedPageBreak/>
        <w:t>The hearing plan will set out the timetable for witnesses giving oral evidence. It may include time limits on the questioning of witnesses, and other arrangements for the hearing.</w:t>
      </w:r>
    </w:p>
    <w:p w14:paraId="31AAFB8C" w14:textId="77777777" w:rsidR="002E3FDE" w:rsidRPr="0098690D" w:rsidRDefault="002E3FDE" w:rsidP="004E05DD">
      <w:pPr>
        <w:pStyle w:val="NoSpacing"/>
        <w:spacing w:before="120" w:after="240"/>
        <w:jc w:val="both"/>
        <w:rPr>
          <w:b/>
          <w:bCs/>
        </w:rPr>
      </w:pPr>
      <w:r>
        <w:rPr>
          <w:b/>
          <w:bCs/>
        </w:rPr>
        <w:t xml:space="preserve">SECTION </w:t>
      </w:r>
      <w:r w:rsidR="00367DE9">
        <w:rPr>
          <w:b/>
          <w:bCs/>
        </w:rPr>
        <w:t>10</w:t>
      </w:r>
      <w:r>
        <w:rPr>
          <w:b/>
          <w:bCs/>
        </w:rPr>
        <w:t xml:space="preserve"> – CONDUCT OF HEARINGS</w:t>
      </w:r>
    </w:p>
    <w:p w14:paraId="0780E7AE" w14:textId="77777777" w:rsidR="002E3FDE" w:rsidRDefault="002E3FDE" w:rsidP="004E05DD">
      <w:pPr>
        <w:pStyle w:val="NoSpacing"/>
        <w:numPr>
          <w:ilvl w:val="0"/>
          <w:numId w:val="1"/>
        </w:numPr>
        <w:spacing w:before="120" w:after="240"/>
        <w:ind w:left="567" w:hanging="567"/>
        <w:jc w:val="both"/>
      </w:pPr>
      <w:r>
        <w:t>The Inquiry’s public hearings will commence on the first sitting day with mihi whakatau</w:t>
      </w:r>
      <w:r w:rsidR="001A31BE">
        <w:t>.</w:t>
      </w:r>
      <w:r>
        <w:t xml:space="preserve"> </w:t>
      </w:r>
      <w:r w:rsidR="001A31BE">
        <w:t xml:space="preserve">The Inquiry will consult with mana whenua in the preparation and delivery of mihi whakatau for each hearing. </w:t>
      </w:r>
    </w:p>
    <w:p w14:paraId="7744AC10" w14:textId="095F9100" w:rsidR="001A31BE" w:rsidRDefault="007716E1" w:rsidP="004E05DD">
      <w:pPr>
        <w:pStyle w:val="NoSpacing"/>
        <w:numPr>
          <w:ilvl w:val="0"/>
          <w:numId w:val="1"/>
        </w:numPr>
        <w:spacing w:before="120" w:after="240"/>
        <w:ind w:left="567" w:hanging="567"/>
        <w:jc w:val="both"/>
      </w:pPr>
      <w:r>
        <w:t xml:space="preserve">Other hearing days </w:t>
      </w:r>
      <w:r w:rsidR="004F0966">
        <w:t xml:space="preserve">may </w:t>
      </w:r>
      <w:r w:rsidR="001A31BE">
        <w:t xml:space="preserve">open and close with </w:t>
      </w:r>
      <w:proofErr w:type="spellStart"/>
      <w:r w:rsidR="001A31BE">
        <w:t>karakia</w:t>
      </w:r>
      <w:proofErr w:type="spellEnd"/>
      <w:r w:rsidR="001A31BE">
        <w:t xml:space="preserve"> and </w:t>
      </w:r>
      <w:proofErr w:type="spellStart"/>
      <w:r w:rsidR="00553ADC">
        <w:t>waiata</w:t>
      </w:r>
      <w:proofErr w:type="spellEnd"/>
      <w:r w:rsidR="004F0966">
        <w:t xml:space="preserve">. </w:t>
      </w:r>
    </w:p>
    <w:p w14:paraId="2089E850" w14:textId="6F7DD557" w:rsidR="002E3FDE" w:rsidRDefault="002E3FDE" w:rsidP="004E05DD">
      <w:pPr>
        <w:pStyle w:val="NoSpacing"/>
        <w:numPr>
          <w:ilvl w:val="0"/>
          <w:numId w:val="1"/>
        </w:numPr>
        <w:spacing w:before="120" w:after="240"/>
        <w:ind w:left="567" w:hanging="567"/>
        <w:jc w:val="both"/>
      </w:pPr>
      <w:r>
        <w:t xml:space="preserve">Counsel </w:t>
      </w:r>
      <w:r w:rsidR="0027547A">
        <w:t>A</w:t>
      </w:r>
      <w:r>
        <w:t>ssisting the Inquiry</w:t>
      </w:r>
      <w:r w:rsidR="003F4210">
        <w:t>,</w:t>
      </w:r>
      <w:r>
        <w:t xml:space="preserve"> lawyers appearing for participants</w:t>
      </w:r>
      <w:r w:rsidR="003F4210">
        <w:t xml:space="preserve"> and participants who have leave to appear</w:t>
      </w:r>
      <w:r>
        <w:t xml:space="preserve"> at the hearing will then be invited to introduce themselves to Commissioners. </w:t>
      </w:r>
      <w:r w:rsidR="001D37C7">
        <w:t>The Inquiry welcomes</w:t>
      </w:r>
      <w:r w:rsidR="00533F37">
        <w:t xml:space="preserve"> the use of te </w:t>
      </w:r>
      <w:r w:rsidR="00A12874">
        <w:t>r</w:t>
      </w:r>
      <w:r w:rsidR="00533F37">
        <w:t>eo Māori, languages of the Pacifi</w:t>
      </w:r>
      <w:r w:rsidR="009B369F">
        <w:t>c</w:t>
      </w:r>
      <w:r w:rsidR="00533F37">
        <w:t xml:space="preserve"> and other ind</w:t>
      </w:r>
      <w:r w:rsidR="009B369F">
        <w:t>ig</w:t>
      </w:r>
      <w:r w:rsidR="00533F37">
        <w:t xml:space="preserve">enous languages </w:t>
      </w:r>
      <w:r w:rsidR="009B369F">
        <w:t xml:space="preserve">in announcing appearances and making introductions. </w:t>
      </w:r>
    </w:p>
    <w:p w14:paraId="65A1FA56" w14:textId="77777777" w:rsidR="002E3FDE" w:rsidRDefault="002E3FDE" w:rsidP="004E05DD">
      <w:pPr>
        <w:pStyle w:val="NoSpacing"/>
        <w:numPr>
          <w:ilvl w:val="0"/>
          <w:numId w:val="1"/>
        </w:numPr>
        <w:spacing w:before="120" w:after="240"/>
        <w:ind w:left="567" w:hanging="567"/>
        <w:jc w:val="both"/>
      </w:pPr>
      <w:r>
        <w:t xml:space="preserve">Counsel Assisting may then make an opening statement addressing relevant matters including the topics or issues to be examined in the course of the hearing, the witnesses to be called, and procedural matters. </w:t>
      </w:r>
    </w:p>
    <w:p w14:paraId="120D94B4" w14:textId="4FEEFA87" w:rsidR="002E3FDE" w:rsidRDefault="005B24D3" w:rsidP="004E05DD">
      <w:pPr>
        <w:pStyle w:val="NoSpacing"/>
        <w:numPr>
          <w:ilvl w:val="0"/>
          <w:numId w:val="1"/>
        </w:numPr>
        <w:spacing w:before="120" w:after="240"/>
        <w:ind w:left="567" w:hanging="567"/>
        <w:jc w:val="both"/>
      </w:pPr>
      <w:r>
        <w:t xml:space="preserve">The Inquiry will not ordinarily require opening statements from participants unless permission is granted by the Chair. </w:t>
      </w:r>
    </w:p>
    <w:p w14:paraId="2E0E809A" w14:textId="77777777" w:rsidR="002E3FDE" w:rsidRDefault="002E3FDE" w:rsidP="004E05DD">
      <w:pPr>
        <w:pStyle w:val="NoSpacing"/>
        <w:numPr>
          <w:ilvl w:val="0"/>
          <w:numId w:val="1"/>
        </w:numPr>
        <w:spacing w:before="120" w:after="240"/>
        <w:ind w:left="567" w:hanging="567"/>
        <w:jc w:val="both"/>
      </w:pPr>
      <w:r>
        <w:t>The hearing will proceed with witnesses being called to give oral evidence</w:t>
      </w:r>
      <w:r w:rsidR="00367DE9">
        <w:t xml:space="preserve"> on oath or affirmation. </w:t>
      </w:r>
    </w:p>
    <w:p w14:paraId="7D686B29" w14:textId="77777777" w:rsidR="002E3FDE" w:rsidRDefault="00DD3988" w:rsidP="004E05DD">
      <w:pPr>
        <w:pStyle w:val="NoSpacing"/>
        <w:numPr>
          <w:ilvl w:val="0"/>
          <w:numId w:val="1"/>
        </w:numPr>
        <w:spacing w:before="120" w:after="240"/>
        <w:ind w:left="567" w:hanging="567"/>
        <w:jc w:val="both"/>
      </w:pPr>
      <w:r>
        <w:t xml:space="preserve">Oral closing </w:t>
      </w:r>
      <w:r w:rsidR="002E3FDE">
        <w:t xml:space="preserve">statements or submissions </w:t>
      </w:r>
      <w:r w:rsidR="00CC3802">
        <w:t xml:space="preserve">are not required </w:t>
      </w:r>
      <w:r w:rsidR="004815BE">
        <w:t xml:space="preserve">from </w:t>
      </w:r>
      <w:r w:rsidR="00A726E8">
        <w:t xml:space="preserve">Counsel Assisting or participants </w:t>
      </w:r>
      <w:r>
        <w:t>at the end of a public hearing</w:t>
      </w:r>
      <w:r w:rsidR="005B24D3">
        <w:t>,</w:t>
      </w:r>
      <w:r>
        <w:t xml:space="preserve"> </w:t>
      </w:r>
      <w:r w:rsidR="00CC3802">
        <w:t xml:space="preserve">unless </w:t>
      </w:r>
      <w:r w:rsidR="005B24D3">
        <w:t>permitted or directed</w:t>
      </w:r>
      <w:r w:rsidR="00CC3802">
        <w:t xml:space="preserve"> by the Chair. </w:t>
      </w:r>
      <w:r w:rsidR="002E3FDE">
        <w:t xml:space="preserve"> </w:t>
      </w:r>
    </w:p>
    <w:p w14:paraId="29E3EE38" w14:textId="77777777" w:rsidR="00D5625F" w:rsidRPr="00EE44E9" w:rsidRDefault="00C95F47" w:rsidP="004E05DD">
      <w:pPr>
        <w:pStyle w:val="NoSpacing"/>
        <w:numPr>
          <w:ilvl w:val="0"/>
          <w:numId w:val="1"/>
        </w:numPr>
        <w:spacing w:before="120" w:after="240"/>
        <w:ind w:left="567" w:hanging="567"/>
        <w:jc w:val="both"/>
      </w:pPr>
      <w:r>
        <w:t xml:space="preserve">The last sitting day of each public hearing will close with </w:t>
      </w:r>
      <w:r w:rsidR="006C7C08">
        <w:t xml:space="preserve">mihimihi, </w:t>
      </w:r>
      <w:r>
        <w:t>waiata and karakia.</w:t>
      </w:r>
    </w:p>
    <w:p w14:paraId="2836AA98" w14:textId="77777777" w:rsidR="00804D2E" w:rsidRDefault="00804D2E" w:rsidP="004E05DD">
      <w:pPr>
        <w:pStyle w:val="NoSpacing"/>
        <w:spacing w:before="120" w:after="240"/>
        <w:jc w:val="both"/>
        <w:rPr>
          <w:b/>
          <w:bCs/>
        </w:rPr>
      </w:pPr>
      <w:r>
        <w:rPr>
          <w:b/>
          <w:bCs/>
        </w:rPr>
        <w:t xml:space="preserve">SECTION </w:t>
      </w:r>
      <w:r w:rsidR="002E3FDE">
        <w:rPr>
          <w:b/>
          <w:bCs/>
        </w:rPr>
        <w:t>1</w:t>
      </w:r>
      <w:r w:rsidR="00367DE9">
        <w:rPr>
          <w:b/>
          <w:bCs/>
        </w:rPr>
        <w:t>1</w:t>
      </w:r>
      <w:r>
        <w:rPr>
          <w:b/>
          <w:bCs/>
        </w:rPr>
        <w:t xml:space="preserve"> –</w:t>
      </w:r>
      <w:r w:rsidR="00870E3F">
        <w:rPr>
          <w:b/>
          <w:bCs/>
        </w:rPr>
        <w:t xml:space="preserve"> </w:t>
      </w:r>
      <w:r w:rsidR="00A56C78">
        <w:rPr>
          <w:b/>
          <w:bCs/>
        </w:rPr>
        <w:t>TE REO AND TIKANGA MĀORI</w:t>
      </w:r>
    </w:p>
    <w:p w14:paraId="543B514D" w14:textId="77777777" w:rsidR="00A56C78" w:rsidRDefault="007510AB" w:rsidP="004E05DD">
      <w:pPr>
        <w:pStyle w:val="NoSpacing"/>
        <w:numPr>
          <w:ilvl w:val="0"/>
          <w:numId w:val="1"/>
        </w:numPr>
        <w:spacing w:before="120" w:after="240"/>
        <w:ind w:left="567" w:hanging="567"/>
        <w:jc w:val="both"/>
      </w:pPr>
      <w:r>
        <w:t>T</w:t>
      </w:r>
      <w:r w:rsidR="00A56C78">
        <w:t>he Inquiry welcomes the use of t</w:t>
      </w:r>
      <w:r>
        <w:t xml:space="preserve">e reo Māori </w:t>
      </w:r>
      <w:r w:rsidR="00A56C78">
        <w:t xml:space="preserve">in all aspects of its public hearings. The Inquiry also </w:t>
      </w:r>
      <w:r w:rsidR="00EC0157">
        <w:t xml:space="preserve">acknowledges the important link between te reo Māori and tikanga Māori. </w:t>
      </w:r>
    </w:p>
    <w:p w14:paraId="02AAC6C6" w14:textId="77777777" w:rsidR="00DE535F" w:rsidRDefault="008A6626" w:rsidP="004E05DD">
      <w:pPr>
        <w:pStyle w:val="NoSpacing"/>
        <w:numPr>
          <w:ilvl w:val="0"/>
          <w:numId w:val="1"/>
        </w:numPr>
        <w:spacing w:before="120" w:after="240"/>
        <w:ind w:left="567" w:hanging="567"/>
        <w:jc w:val="both"/>
      </w:pPr>
      <w:r>
        <w:t>Some</w:t>
      </w:r>
      <w:r w:rsidR="00DE535F">
        <w:t xml:space="preserve"> witnesses or participants may wish to give evidence or engage in a public hearing solely in te reo Māori. This is welcomed and is provided for below.  </w:t>
      </w:r>
    </w:p>
    <w:p w14:paraId="6C985E90" w14:textId="297AB62D" w:rsidR="00DE535F" w:rsidRDefault="00DE535F" w:rsidP="004E05DD">
      <w:pPr>
        <w:pStyle w:val="NoSpacing"/>
        <w:numPr>
          <w:ilvl w:val="0"/>
          <w:numId w:val="1"/>
        </w:numPr>
        <w:spacing w:before="120" w:after="240"/>
        <w:ind w:left="567" w:hanging="567"/>
        <w:jc w:val="both"/>
      </w:pPr>
      <w:r>
        <w:t>It is also acknowledged that other witnesses or participants may wish to give evidence or participate primarily in English, but may wish to incorporate te reo and tikanga Māori in the process of the hearing (for example, mihi, pepeha, kupu Māori, whakataukī, waiata/haka tautoko), or otherwise engaging in the public hearing. This is also welcomed</w:t>
      </w:r>
      <w:r w:rsidR="00BA289E">
        <w:t>. To ensure that the</w:t>
      </w:r>
      <w:r>
        <w:t xml:space="preserve"> Inquiry can respond appropriately where necessary, we encourage participants to signal such matters to </w:t>
      </w:r>
      <w:r w:rsidR="000B5556">
        <w:t>C</w:t>
      </w:r>
      <w:r>
        <w:t xml:space="preserve">ounsel </w:t>
      </w:r>
      <w:r w:rsidR="000B5556">
        <w:t>A</w:t>
      </w:r>
      <w:r>
        <w:t xml:space="preserve">ssisting the </w:t>
      </w:r>
      <w:r w:rsidR="0027547A">
        <w:t>I</w:t>
      </w:r>
      <w:r>
        <w:t xml:space="preserve">nquiry in advance of the public hearing. </w:t>
      </w:r>
    </w:p>
    <w:p w14:paraId="2C70A2D7" w14:textId="709180A0" w:rsidR="00F36E20" w:rsidRDefault="00F36E20" w:rsidP="004E05DD">
      <w:pPr>
        <w:pStyle w:val="NoSpacing"/>
        <w:numPr>
          <w:ilvl w:val="0"/>
          <w:numId w:val="1"/>
        </w:numPr>
        <w:spacing w:before="120" w:after="240"/>
        <w:ind w:left="567" w:hanging="567"/>
        <w:jc w:val="both"/>
      </w:pPr>
      <w:r>
        <w:t xml:space="preserve">In accordance with the Māori Language Act </w:t>
      </w:r>
      <w:r w:rsidR="00D225B6">
        <w:t>2016</w:t>
      </w:r>
      <w:r>
        <w:t>, the Inquiry will provide te reo Māori interpretation for participants that wish to give evidence or otherwise engage in proceedings solely in te reo Māori.</w:t>
      </w:r>
      <w:r>
        <w:rPr>
          <w:rStyle w:val="FootnoteReference"/>
        </w:rPr>
        <w:footnoteReference w:id="3"/>
      </w:r>
    </w:p>
    <w:p w14:paraId="7823EB7E" w14:textId="77777777" w:rsidR="004C6C01" w:rsidRPr="00870E3F" w:rsidRDefault="00DE535F" w:rsidP="004E05DD">
      <w:pPr>
        <w:pStyle w:val="NoSpacing"/>
        <w:numPr>
          <w:ilvl w:val="0"/>
          <w:numId w:val="1"/>
        </w:numPr>
        <w:spacing w:before="120" w:after="240"/>
        <w:ind w:left="567" w:hanging="567"/>
        <w:jc w:val="both"/>
      </w:pPr>
      <w:r>
        <w:lastRenderedPageBreak/>
        <w:t>To ensure</w:t>
      </w:r>
      <w:r w:rsidR="00FB3ACA">
        <w:t xml:space="preserve"> appropriate </w:t>
      </w:r>
      <w:r w:rsidR="00167931">
        <w:t xml:space="preserve">interpretation </w:t>
      </w:r>
      <w:r w:rsidR="00FB3ACA">
        <w:t>arrang</w:t>
      </w:r>
      <w:r w:rsidR="004653DD">
        <w:t>e</w:t>
      </w:r>
      <w:r w:rsidR="00FB3ACA">
        <w:t xml:space="preserve">ments are made, </w:t>
      </w:r>
      <w:r w:rsidR="00167931">
        <w:t xml:space="preserve">notice </w:t>
      </w:r>
      <w:r w:rsidR="00285507">
        <w:t xml:space="preserve">must be </w:t>
      </w:r>
      <w:r w:rsidR="00167931">
        <w:t xml:space="preserve">given to the Inquiry </w:t>
      </w:r>
      <w:r w:rsidR="00285507">
        <w:t xml:space="preserve">in writing to </w:t>
      </w:r>
      <w:hyperlink r:id="rId18" w:history="1">
        <w:r w:rsidR="00285507" w:rsidRPr="00285377">
          <w:rPr>
            <w:rStyle w:val="Hyperlink"/>
          </w:rPr>
          <w:t>solicitorassisting@abuseincare.org.nz</w:t>
        </w:r>
      </w:hyperlink>
      <w:r w:rsidR="00285507">
        <w:t xml:space="preserve"> </w:t>
      </w:r>
      <w:r w:rsidR="007F7059">
        <w:t xml:space="preserve">as soon as possible but </w:t>
      </w:r>
      <w:r w:rsidR="00285507">
        <w:t>no late</w:t>
      </w:r>
      <w:r w:rsidR="007F7059">
        <w:t>r</w:t>
      </w:r>
      <w:r w:rsidR="00285507">
        <w:t xml:space="preserve"> </w:t>
      </w:r>
      <w:r w:rsidR="00285507" w:rsidRPr="00870E3F">
        <w:t xml:space="preserve">than 10 working days before </w:t>
      </w:r>
      <w:r w:rsidR="007F7059" w:rsidRPr="00870E3F">
        <w:t xml:space="preserve">the beginning of the hearing. </w:t>
      </w:r>
    </w:p>
    <w:p w14:paraId="150E355D" w14:textId="77777777" w:rsidR="00F94AD9" w:rsidRDefault="004A3C82" w:rsidP="004E05DD">
      <w:pPr>
        <w:pStyle w:val="NoSpacing"/>
        <w:numPr>
          <w:ilvl w:val="0"/>
          <w:numId w:val="1"/>
        </w:numPr>
        <w:spacing w:before="120" w:after="240"/>
        <w:ind w:left="567" w:hanging="567"/>
        <w:jc w:val="both"/>
      </w:pPr>
      <w:r w:rsidRPr="00870E3F">
        <w:t>In</w:t>
      </w:r>
      <w:r w:rsidR="00622397">
        <w:t>-</w:t>
      </w:r>
      <w:r w:rsidRPr="00870E3F">
        <w:t xml:space="preserve">hearing interpretation </w:t>
      </w:r>
      <w:r w:rsidR="00622397">
        <w:t xml:space="preserve">of English into </w:t>
      </w:r>
      <w:proofErr w:type="spellStart"/>
      <w:r w:rsidR="00622397">
        <w:t>te</w:t>
      </w:r>
      <w:proofErr w:type="spellEnd"/>
      <w:r w:rsidR="00622397">
        <w:t xml:space="preserve"> </w:t>
      </w:r>
      <w:proofErr w:type="spellStart"/>
      <w:r w:rsidR="00622397">
        <w:t>reo</w:t>
      </w:r>
      <w:proofErr w:type="spellEnd"/>
      <w:r w:rsidR="00190350">
        <w:t xml:space="preserve"> Māori </w:t>
      </w:r>
      <w:r w:rsidR="00845452">
        <w:t>will also be available</w:t>
      </w:r>
      <w:r w:rsidR="00F7767A">
        <w:t xml:space="preserve"> </w:t>
      </w:r>
      <w:r w:rsidRPr="00870E3F">
        <w:t>on request</w:t>
      </w:r>
      <w:r w:rsidR="009739FA">
        <w:t xml:space="preserve"> to participants</w:t>
      </w:r>
      <w:r w:rsidR="00F7767A">
        <w:t>. Requests should be made</w:t>
      </w:r>
      <w:r w:rsidR="00EF7EDE">
        <w:t xml:space="preserve"> in writing to </w:t>
      </w:r>
      <w:hyperlink r:id="rId19" w:history="1">
        <w:r w:rsidR="00EF7EDE" w:rsidRPr="00285377">
          <w:rPr>
            <w:rStyle w:val="Hyperlink"/>
          </w:rPr>
          <w:t>solicitorassisting@abuseincare.org.nz</w:t>
        </w:r>
      </w:hyperlink>
      <w:r w:rsidR="00EF7EDE">
        <w:t xml:space="preserve"> as soon as possible but no later </w:t>
      </w:r>
      <w:r w:rsidR="00EF7EDE" w:rsidRPr="00870E3F">
        <w:t xml:space="preserve">than 10 working days before the beginning of the hearing. </w:t>
      </w:r>
    </w:p>
    <w:p w14:paraId="5D21FC89" w14:textId="77777777" w:rsidR="00C81524" w:rsidRPr="00C81524" w:rsidRDefault="00C81524" w:rsidP="004E05DD">
      <w:pPr>
        <w:pStyle w:val="NoSpacing"/>
        <w:spacing w:before="120" w:after="240"/>
        <w:jc w:val="both"/>
        <w:rPr>
          <w:b/>
          <w:bCs/>
        </w:rPr>
      </w:pPr>
      <w:r>
        <w:rPr>
          <w:b/>
          <w:bCs/>
        </w:rPr>
        <w:t xml:space="preserve">SECTION 12 – PACIFIC </w:t>
      </w:r>
      <w:r w:rsidR="00F040B0">
        <w:rPr>
          <w:b/>
          <w:bCs/>
        </w:rPr>
        <w:t>LANGUAGES</w:t>
      </w:r>
    </w:p>
    <w:p w14:paraId="7BE2061B" w14:textId="77777777" w:rsidR="00870E3F" w:rsidRDefault="00870E3F" w:rsidP="004E05DD">
      <w:pPr>
        <w:pStyle w:val="NoSpacing"/>
        <w:numPr>
          <w:ilvl w:val="0"/>
          <w:numId w:val="1"/>
        </w:numPr>
        <w:spacing w:before="120" w:after="240"/>
        <w:ind w:left="567" w:hanging="567"/>
        <w:jc w:val="both"/>
      </w:pPr>
      <w:r>
        <w:t>Pacific language interpretation</w:t>
      </w:r>
      <w:r w:rsidDel="009042D4">
        <w:t xml:space="preserve"> </w:t>
      </w:r>
      <w:r>
        <w:t>services will be provided for public hearings where requested by a participant</w:t>
      </w:r>
      <w:r w:rsidR="00FA033C">
        <w:t xml:space="preserve"> who wishes to </w:t>
      </w:r>
      <w:r w:rsidR="005E5B1B">
        <w:t>give evidence</w:t>
      </w:r>
      <w:r w:rsidR="00F27453">
        <w:t xml:space="preserve"> solely </w:t>
      </w:r>
      <w:r w:rsidR="007A3AB0">
        <w:t>in their language</w:t>
      </w:r>
      <w:r>
        <w:t xml:space="preserve">. A request for oral interpretation at a hearing must be made in writing to </w:t>
      </w:r>
      <w:hyperlink r:id="rId20" w:history="1">
        <w:r w:rsidRPr="00285377">
          <w:rPr>
            <w:rStyle w:val="Hyperlink"/>
          </w:rPr>
          <w:t>solicitorassisting@abuseincare.org.nz</w:t>
        </w:r>
      </w:hyperlink>
      <w:r>
        <w:t xml:space="preserve"> as soon as possible but no later </w:t>
      </w:r>
      <w:r w:rsidRPr="00870E3F">
        <w:t xml:space="preserve">than 10 working days before the beginning of the hearing. </w:t>
      </w:r>
    </w:p>
    <w:p w14:paraId="2911410E" w14:textId="77777777" w:rsidR="00C81524" w:rsidRPr="000136E4" w:rsidRDefault="00C81524" w:rsidP="004E05DD">
      <w:pPr>
        <w:pStyle w:val="NoSpacing"/>
        <w:spacing w:before="120" w:after="240"/>
        <w:jc w:val="both"/>
        <w:rPr>
          <w:b/>
          <w:bCs/>
        </w:rPr>
      </w:pPr>
      <w:r>
        <w:rPr>
          <w:b/>
          <w:bCs/>
        </w:rPr>
        <w:t>SECTION 1</w:t>
      </w:r>
      <w:r w:rsidR="00BC1FA5">
        <w:rPr>
          <w:b/>
          <w:bCs/>
        </w:rPr>
        <w:t>3</w:t>
      </w:r>
      <w:r>
        <w:rPr>
          <w:b/>
          <w:bCs/>
        </w:rPr>
        <w:t xml:space="preserve"> – </w:t>
      </w:r>
      <w:r w:rsidR="00211B51">
        <w:rPr>
          <w:b/>
          <w:bCs/>
        </w:rPr>
        <w:t>SIGN LANGUAGE</w:t>
      </w:r>
    </w:p>
    <w:p w14:paraId="15F98AAF" w14:textId="77777777" w:rsidR="00804D2E" w:rsidRDefault="0078614A" w:rsidP="004E05DD">
      <w:pPr>
        <w:pStyle w:val="NoSpacing"/>
        <w:numPr>
          <w:ilvl w:val="0"/>
          <w:numId w:val="1"/>
        </w:numPr>
        <w:spacing w:before="120" w:after="240"/>
        <w:ind w:left="567" w:hanging="567"/>
        <w:jc w:val="both"/>
      </w:pPr>
      <w:r>
        <w:t xml:space="preserve">All public hearings will have New Zealand Sign Language interpretation. </w:t>
      </w:r>
    </w:p>
    <w:p w14:paraId="214A11D3" w14:textId="77777777" w:rsidR="000136E4" w:rsidRPr="000136E4" w:rsidRDefault="000136E4" w:rsidP="004E05DD">
      <w:pPr>
        <w:pStyle w:val="NoSpacing"/>
        <w:spacing w:before="120" w:after="240"/>
        <w:jc w:val="both"/>
        <w:rPr>
          <w:b/>
          <w:bCs/>
        </w:rPr>
      </w:pPr>
      <w:r>
        <w:rPr>
          <w:b/>
          <w:bCs/>
        </w:rPr>
        <w:t xml:space="preserve">SECTION </w:t>
      </w:r>
      <w:r w:rsidR="00B61CAB">
        <w:rPr>
          <w:b/>
          <w:bCs/>
        </w:rPr>
        <w:t>1</w:t>
      </w:r>
      <w:r w:rsidR="00211B51">
        <w:rPr>
          <w:b/>
          <w:bCs/>
        </w:rPr>
        <w:t>4</w:t>
      </w:r>
      <w:r>
        <w:rPr>
          <w:b/>
          <w:bCs/>
        </w:rPr>
        <w:t xml:space="preserve"> –</w:t>
      </w:r>
      <w:r w:rsidR="00612819">
        <w:rPr>
          <w:b/>
          <w:bCs/>
        </w:rPr>
        <w:t xml:space="preserve"> </w:t>
      </w:r>
      <w:r>
        <w:rPr>
          <w:b/>
          <w:bCs/>
        </w:rPr>
        <w:t>STREAMING</w:t>
      </w:r>
      <w:r w:rsidR="00612819">
        <w:rPr>
          <w:b/>
          <w:bCs/>
        </w:rPr>
        <w:t xml:space="preserve"> AND PUBLICATION OF EVIDENCE</w:t>
      </w:r>
    </w:p>
    <w:p w14:paraId="319A929C" w14:textId="77777777" w:rsidR="000136E4" w:rsidRDefault="00612819" w:rsidP="004E05DD">
      <w:pPr>
        <w:pStyle w:val="NoSpacing"/>
        <w:numPr>
          <w:ilvl w:val="0"/>
          <w:numId w:val="1"/>
        </w:numPr>
        <w:spacing w:before="120" w:after="240"/>
        <w:ind w:left="567" w:hanging="567"/>
        <w:jc w:val="both"/>
      </w:pPr>
      <w:r>
        <w:t>Hearings will be streamed via the Inquiry’s website to enable the New Zealand public who cannot attend hearings in person to be able to watch remotely. There will be a f</w:t>
      </w:r>
      <w:r w:rsidR="00431B40">
        <w:t xml:space="preserve">ive-minute delay to ensure that any issues that may arise regarding </w:t>
      </w:r>
      <w:r w:rsidR="003359B2">
        <w:t>s 15 restriction</w:t>
      </w:r>
      <w:r w:rsidR="00431B40">
        <w:t xml:space="preserve"> </w:t>
      </w:r>
      <w:r w:rsidR="009C10C5">
        <w:t xml:space="preserve">and anonymity </w:t>
      </w:r>
      <w:r w:rsidR="00431B40">
        <w:t xml:space="preserve">orders can be addressed, and where this occurs footage may be edited.  </w:t>
      </w:r>
      <w:r>
        <w:t xml:space="preserve"> </w:t>
      </w:r>
    </w:p>
    <w:p w14:paraId="11F7450A" w14:textId="77777777" w:rsidR="00612819" w:rsidRDefault="00612819" w:rsidP="004E05DD">
      <w:pPr>
        <w:pStyle w:val="NoSpacing"/>
        <w:numPr>
          <w:ilvl w:val="0"/>
          <w:numId w:val="1"/>
        </w:numPr>
        <w:spacing w:before="120" w:after="240"/>
        <w:ind w:left="567" w:hanging="567"/>
        <w:jc w:val="both"/>
      </w:pPr>
      <w:r>
        <w:t xml:space="preserve">After a witness has given oral evidence at a hearing, their </w:t>
      </w:r>
      <w:r w:rsidR="002B6CD6">
        <w:t xml:space="preserve">written </w:t>
      </w:r>
      <w:r>
        <w:t xml:space="preserve">witness statement/s will be published on the Inquiry’s website subject to any </w:t>
      </w:r>
      <w:r w:rsidR="003359B2">
        <w:t>s 15 restriction</w:t>
      </w:r>
      <w:r w:rsidR="009C10C5">
        <w:t xml:space="preserve"> and anonymity</w:t>
      </w:r>
      <w:r w:rsidR="003359B2">
        <w:t xml:space="preserve"> orders</w:t>
      </w:r>
      <w:r w:rsidR="0092328F">
        <w:t>.</w:t>
      </w:r>
      <w:r>
        <w:t xml:space="preserve"> </w:t>
      </w:r>
    </w:p>
    <w:p w14:paraId="5620465B" w14:textId="77777777" w:rsidR="00D76970" w:rsidRDefault="00D76970" w:rsidP="004E05DD">
      <w:pPr>
        <w:pStyle w:val="NoSpacing"/>
        <w:numPr>
          <w:ilvl w:val="0"/>
          <w:numId w:val="1"/>
        </w:numPr>
        <w:spacing w:before="120" w:after="240"/>
        <w:ind w:left="567" w:hanging="567"/>
        <w:jc w:val="both"/>
      </w:pPr>
      <w:r>
        <w:t xml:space="preserve">Oral evidence given at a hearing primarily in te </w:t>
      </w:r>
      <w:r w:rsidR="0024398D">
        <w:t>r</w:t>
      </w:r>
      <w:r>
        <w:t>eo Māori or any other language will be interpreted into English and this will form part of the official transcript.  A draft transcript  will be distributed to counsel as soon as practicable</w:t>
      </w:r>
      <w:r w:rsidR="002E4001">
        <w:t xml:space="preserve">, and final transcripts will be published on the Inquiry’s website once available. </w:t>
      </w:r>
    </w:p>
    <w:p w14:paraId="2F37F3F7" w14:textId="77777777" w:rsidR="00372EDB" w:rsidRDefault="00372EDB" w:rsidP="004E05DD">
      <w:pPr>
        <w:pStyle w:val="NoSpacing"/>
        <w:numPr>
          <w:ilvl w:val="0"/>
          <w:numId w:val="1"/>
        </w:numPr>
        <w:spacing w:before="120" w:after="240"/>
        <w:ind w:left="567" w:hanging="567"/>
        <w:jc w:val="both"/>
      </w:pPr>
      <w:r w:rsidRPr="001A31AA">
        <w:t>Where</w:t>
      </w:r>
      <w:r>
        <w:t xml:space="preserve"> </w:t>
      </w:r>
      <w:r w:rsidRPr="001A31AA">
        <w:t>any question arises as to the accuracy of any interpret</w:t>
      </w:r>
      <w:r w:rsidR="0086309B">
        <w:t xml:space="preserve">ing </w:t>
      </w:r>
      <w:r w:rsidRPr="001A31AA">
        <w:t xml:space="preserve">from Māori into English or from English into Māori, the question shall be determined by the </w:t>
      </w:r>
      <w:r>
        <w:t>Chair</w:t>
      </w:r>
      <w:r w:rsidRPr="001A31AA">
        <w:t xml:space="preserve"> in such manner as the </w:t>
      </w:r>
      <w:r>
        <w:t>Chair</w:t>
      </w:r>
      <w:r w:rsidRPr="001A31AA">
        <w:t xml:space="preserve"> thinks fit.</w:t>
      </w:r>
      <w:r>
        <w:rPr>
          <w:rStyle w:val="FootnoteReference"/>
        </w:rPr>
        <w:footnoteReference w:id="4"/>
      </w:r>
      <w:r>
        <w:t xml:space="preserve"> </w:t>
      </w:r>
    </w:p>
    <w:p w14:paraId="10971B95" w14:textId="77777777" w:rsidR="00612819" w:rsidRPr="00122753" w:rsidRDefault="00612819" w:rsidP="004E05DD">
      <w:pPr>
        <w:pStyle w:val="NoSpacing"/>
        <w:spacing w:before="120" w:after="240"/>
        <w:jc w:val="both"/>
        <w:rPr>
          <w:b/>
          <w:bCs/>
        </w:rPr>
      </w:pPr>
      <w:r>
        <w:rPr>
          <w:b/>
          <w:bCs/>
        </w:rPr>
        <w:t xml:space="preserve">SECTION </w:t>
      </w:r>
      <w:r w:rsidR="00B61CAB">
        <w:rPr>
          <w:b/>
          <w:bCs/>
        </w:rPr>
        <w:t>1</w:t>
      </w:r>
      <w:r w:rsidR="00211B51">
        <w:rPr>
          <w:b/>
          <w:bCs/>
        </w:rPr>
        <w:t>5</w:t>
      </w:r>
      <w:r>
        <w:rPr>
          <w:b/>
          <w:bCs/>
        </w:rPr>
        <w:t xml:space="preserve"> – CLOSED SITTINGS</w:t>
      </w:r>
    </w:p>
    <w:p w14:paraId="1009D63C" w14:textId="77777777" w:rsidR="00BD0A9F" w:rsidRDefault="00612819" w:rsidP="004E05DD">
      <w:pPr>
        <w:pStyle w:val="NoSpacing"/>
        <w:numPr>
          <w:ilvl w:val="0"/>
          <w:numId w:val="1"/>
        </w:numPr>
        <w:spacing w:before="120" w:after="240"/>
        <w:ind w:left="567" w:hanging="567"/>
        <w:jc w:val="both"/>
      </w:pPr>
      <w:r>
        <w:t xml:space="preserve">The Inquiry recognises that in rare circumstances oral evidence intended to be given by a witness at a hearing may be of such sensitivity that it should not be heard publicly, even if </w:t>
      </w:r>
      <w:r w:rsidR="00DF54AB">
        <w:t xml:space="preserve">s 15 </w:t>
      </w:r>
      <w:r>
        <w:t xml:space="preserve">anonymity and redaction orders are made. In such circumstances, the Inquiry </w:t>
      </w:r>
      <w:r w:rsidR="00035554">
        <w:t xml:space="preserve">may </w:t>
      </w:r>
      <w:r>
        <w:t xml:space="preserve">direct the witness’s oral evidence be </w:t>
      </w:r>
      <w:r w:rsidR="00035554">
        <w:t xml:space="preserve">given </w:t>
      </w:r>
      <w:r>
        <w:t xml:space="preserve">in a closed sitting. </w:t>
      </w:r>
    </w:p>
    <w:p w14:paraId="646C6AA0" w14:textId="77777777" w:rsidR="00612819" w:rsidRDefault="00612819" w:rsidP="004E05DD">
      <w:pPr>
        <w:pStyle w:val="NoSpacing"/>
        <w:numPr>
          <w:ilvl w:val="0"/>
          <w:numId w:val="1"/>
        </w:numPr>
        <w:spacing w:before="120" w:after="240"/>
        <w:ind w:left="567" w:hanging="567"/>
        <w:jc w:val="both"/>
      </w:pPr>
      <w:r>
        <w:t>A closed sitting will proceed in the presence only of Commissioners</w:t>
      </w:r>
      <w:r w:rsidR="008C5DE3">
        <w:t xml:space="preserve"> </w:t>
      </w:r>
      <w:r>
        <w:t xml:space="preserve">and any other person permitted by the Chair.  </w:t>
      </w:r>
    </w:p>
    <w:p w14:paraId="2E436A1F" w14:textId="77777777" w:rsidR="00612819" w:rsidRDefault="00612819" w:rsidP="004E05DD">
      <w:pPr>
        <w:pStyle w:val="NoSpacing"/>
        <w:numPr>
          <w:ilvl w:val="0"/>
          <w:numId w:val="1"/>
        </w:numPr>
        <w:spacing w:before="120" w:after="240"/>
        <w:ind w:left="567" w:hanging="567"/>
        <w:jc w:val="both"/>
      </w:pPr>
      <w:r>
        <w:t xml:space="preserve">Oral evidence given in a closed sitting will not be streamed </w:t>
      </w:r>
      <w:r w:rsidR="0077382A">
        <w:t xml:space="preserve">to the public </w:t>
      </w:r>
      <w:r w:rsidR="00431B40">
        <w:t>or</w:t>
      </w:r>
      <w:r>
        <w:t xml:space="preserve"> published</w:t>
      </w:r>
      <w:r w:rsidR="00B61CAB">
        <w:t xml:space="preserve"> in full</w:t>
      </w:r>
      <w:r>
        <w:t xml:space="preserve"> on the Inquiry’s website. </w:t>
      </w:r>
      <w:r w:rsidR="00B61CAB">
        <w:t>A summary of the evidence may be published</w:t>
      </w:r>
      <w:r w:rsidR="005A4B25">
        <w:t xml:space="preserve"> at the Inquiry’s discretion</w:t>
      </w:r>
      <w:r w:rsidR="00B61CAB">
        <w:t xml:space="preserve">. </w:t>
      </w:r>
    </w:p>
    <w:p w14:paraId="3570AB66" w14:textId="77777777" w:rsidR="00142F4A" w:rsidRPr="00B7052B" w:rsidRDefault="00142F4A" w:rsidP="00142F4A">
      <w:pPr>
        <w:pStyle w:val="NoSpacing"/>
        <w:rPr>
          <w:b/>
          <w:bCs/>
        </w:rPr>
      </w:pPr>
      <w:r w:rsidRPr="00B7052B">
        <w:rPr>
          <w:b/>
          <w:bCs/>
        </w:rPr>
        <w:lastRenderedPageBreak/>
        <w:t>Produced by:</w:t>
      </w:r>
    </w:p>
    <w:p w14:paraId="3E6C281E" w14:textId="77777777" w:rsidR="00142F4A" w:rsidRDefault="00142F4A" w:rsidP="00142F4A">
      <w:pPr>
        <w:pStyle w:val="NoSpacing"/>
      </w:pPr>
    </w:p>
    <w:p w14:paraId="564BEC5A" w14:textId="77777777" w:rsidR="00142F4A" w:rsidRDefault="00142F4A" w:rsidP="00142F4A">
      <w:pPr>
        <w:pStyle w:val="NoSpacing"/>
        <w:rPr>
          <w:b/>
          <w:bCs/>
        </w:rPr>
      </w:pPr>
      <w:r>
        <w:rPr>
          <w:b/>
          <w:bCs/>
        </w:rPr>
        <w:t>The Royal Commission of Inquiry into Historical Abuse in</w:t>
      </w:r>
    </w:p>
    <w:p w14:paraId="39B7104A" w14:textId="77777777" w:rsidR="00142F4A" w:rsidRDefault="00142F4A" w:rsidP="00142F4A">
      <w:pPr>
        <w:pStyle w:val="NoSpacing"/>
        <w:rPr>
          <w:b/>
          <w:bCs/>
        </w:rPr>
      </w:pPr>
      <w:r>
        <w:rPr>
          <w:b/>
          <w:bCs/>
        </w:rPr>
        <w:t>State Care and in the Care of Faith-based Institutions</w:t>
      </w:r>
    </w:p>
    <w:p w14:paraId="3EF8A752" w14:textId="77777777" w:rsidR="00142F4A" w:rsidRDefault="00142F4A" w:rsidP="00142F4A">
      <w:pPr>
        <w:pStyle w:val="NoSpacing"/>
      </w:pPr>
      <w:r>
        <w:t>PO Box 10071</w:t>
      </w:r>
    </w:p>
    <w:p w14:paraId="6437D6B8" w14:textId="77777777" w:rsidR="00142F4A" w:rsidRDefault="00142F4A" w:rsidP="00142F4A">
      <w:pPr>
        <w:pStyle w:val="NoSpacing"/>
      </w:pPr>
      <w:r>
        <w:t>The Terrace</w:t>
      </w:r>
    </w:p>
    <w:p w14:paraId="4D353A31" w14:textId="77777777" w:rsidR="00142F4A" w:rsidRDefault="00142F4A" w:rsidP="00142F4A">
      <w:pPr>
        <w:pStyle w:val="NoSpacing"/>
      </w:pPr>
      <w:r>
        <w:t>WELLINGTON 6143</w:t>
      </w:r>
    </w:p>
    <w:p w14:paraId="0E06527B" w14:textId="77777777" w:rsidR="00142F4A" w:rsidRDefault="00142F4A" w:rsidP="00142F4A">
      <w:pPr>
        <w:pStyle w:val="NoSpacing"/>
      </w:pPr>
    </w:p>
    <w:p w14:paraId="2396E2A5" w14:textId="4CB3C752" w:rsidR="00081635" w:rsidRDefault="005600FF" w:rsidP="00142F4A">
      <w:pPr>
        <w:pStyle w:val="NoSpacing"/>
        <w:rPr>
          <w:b/>
          <w:bCs/>
        </w:rPr>
      </w:pPr>
      <w:r>
        <w:rPr>
          <w:b/>
          <w:bCs/>
        </w:rPr>
        <w:tab/>
      </w:r>
      <w:r>
        <w:rPr>
          <w:b/>
          <w:bCs/>
        </w:rPr>
        <w:tab/>
      </w:r>
      <w:r>
        <w:rPr>
          <w:noProof/>
        </w:rPr>
        <w:drawing>
          <wp:inline distT="0" distB="0" distL="0" distR="0" wp14:anchorId="27F26890" wp14:editId="19A212A3">
            <wp:extent cx="2533650" cy="5524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inline>
        </w:drawing>
      </w:r>
      <w:bookmarkStart w:id="0" w:name="_GoBack"/>
      <w:bookmarkEnd w:id="0"/>
    </w:p>
    <w:p w14:paraId="6E81A2FD" w14:textId="77777777" w:rsidR="00081635" w:rsidRDefault="00081635" w:rsidP="00142F4A">
      <w:pPr>
        <w:pStyle w:val="NoSpacing"/>
        <w:rPr>
          <w:b/>
          <w:bCs/>
        </w:rPr>
      </w:pPr>
    </w:p>
    <w:p w14:paraId="7E56B5F3" w14:textId="77777777" w:rsidR="00081635" w:rsidRDefault="00081635" w:rsidP="00142F4A">
      <w:pPr>
        <w:pStyle w:val="NoSpacing"/>
        <w:rPr>
          <w:b/>
          <w:bCs/>
        </w:rPr>
      </w:pPr>
    </w:p>
    <w:p w14:paraId="5F8F16CC" w14:textId="77777777" w:rsidR="00081635" w:rsidRDefault="00081635" w:rsidP="00142F4A">
      <w:pPr>
        <w:pStyle w:val="NoSpacing"/>
      </w:pPr>
      <w:r w:rsidRPr="00081635">
        <w:rPr>
          <w:b/>
          <w:bCs/>
        </w:rPr>
        <w:t>Signed:</w:t>
      </w:r>
      <w:r>
        <w:tab/>
      </w:r>
      <w:r>
        <w:tab/>
        <w:t>Judge Coral Shaw</w:t>
      </w:r>
    </w:p>
    <w:p w14:paraId="0F6A8321" w14:textId="77777777" w:rsidR="00081635" w:rsidRDefault="00081635" w:rsidP="00142F4A">
      <w:pPr>
        <w:pStyle w:val="NoSpacing"/>
      </w:pPr>
      <w:r>
        <w:tab/>
      </w:r>
      <w:r>
        <w:tab/>
        <w:t>Chair</w:t>
      </w:r>
    </w:p>
    <w:p w14:paraId="04353580" w14:textId="69C3B8CE" w:rsidR="00E244EA" w:rsidRPr="00DE5E75" w:rsidRDefault="00142F4A" w:rsidP="00DE5E75">
      <w:pPr>
        <w:pStyle w:val="NoSpacing"/>
      </w:pPr>
      <w:r w:rsidRPr="00B7052B">
        <w:rPr>
          <w:b/>
          <w:bCs/>
        </w:rPr>
        <w:t xml:space="preserve">Dated: </w:t>
      </w:r>
      <w:r>
        <w:rPr>
          <w:b/>
          <w:bCs/>
        </w:rPr>
        <w:t xml:space="preserve"> </w:t>
      </w:r>
      <w:r w:rsidR="00081635">
        <w:rPr>
          <w:b/>
          <w:bCs/>
        </w:rPr>
        <w:tab/>
      </w:r>
      <w:r w:rsidR="00081635">
        <w:rPr>
          <w:b/>
          <w:bCs/>
        </w:rPr>
        <w:tab/>
      </w:r>
      <w:r w:rsidR="008456D2">
        <w:t xml:space="preserve">2 </w:t>
      </w:r>
      <w:r w:rsidR="00BA184A">
        <w:t>September</w:t>
      </w:r>
      <w:r w:rsidR="00A06548">
        <w:t xml:space="preserve"> </w:t>
      </w:r>
      <w:r w:rsidR="00587CAE">
        <w:t>2020</w:t>
      </w:r>
    </w:p>
    <w:p w14:paraId="08521EEF" w14:textId="77777777" w:rsidR="00F303F1" w:rsidRDefault="00F303F1" w:rsidP="00EE2950">
      <w:pPr>
        <w:pStyle w:val="ListParagraph"/>
        <w:ind w:left="567"/>
        <w:rPr>
          <w:lang w:eastAsia="en-NZ"/>
        </w:rPr>
      </w:pPr>
    </w:p>
    <w:p w14:paraId="5179697A" w14:textId="77777777" w:rsidR="00F303F1" w:rsidRPr="00BE0DE4" w:rsidRDefault="00F303F1" w:rsidP="006E019D">
      <w:pPr>
        <w:pStyle w:val="ListParagraph"/>
        <w:ind w:left="567" w:hanging="567"/>
        <w:rPr>
          <w:lang w:eastAsia="en-NZ"/>
        </w:rPr>
      </w:pPr>
    </w:p>
    <w:p w14:paraId="39D03F11" w14:textId="77777777" w:rsidR="00C46ADD" w:rsidRDefault="00C46ADD" w:rsidP="001B0E7E">
      <w:pPr>
        <w:spacing w:after="160" w:line="259" w:lineRule="auto"/>
      </w:pPr>
    </w:p>
    <w:p w14:paraId="05104F8A" w14:textId="77777777" w:rsidR="00C46ADD" w:rsidRDefault="00C46ADD" w:rsidP="008A4C02">
      <w:pPr>
        <w:spacing w:after="160" w:line="259" w:lineRule="auto"/>
        <w:jc w:val="center"/>
        <w:rPr>
          <w:b/>
          <w:bCs/>
          <w:lang w:eastAsia="en-NZ"/>
        </w:rPr>
      </w:pPr>
    </w:p>
    <w:sectPr w:rsidR="00C46ADD">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CBEBE" w14:textId="77777777" w:rsidR="001B460A" w:rsidRDefault="001B460A" w:rsidP="006454F4">
      <w:r>
        <w:separator/>
      </w:r>
    </w:p>
  </w:endnote>
  <w:endnote w:type="continuationSeparator" w:id="0">
    <w:p w14:paraId="3B37A5A1" w14:textId="77777777" w:rsidR="001B460A" w:rsidRDefault="001B460A" w:rsidP="006454F4">
      <w:r>
        <w:continuationSeparator/>
      </w:r>
    </w:p>
  </w:endnote>
  <w:endnote w:type="continuationNotice" w:id="1">
    <w:p w14:paraId="23764392" w14:textId="77777777" w:rsidR="001B460A" w:rsidRDefault="001B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1332681"/>
      <w:docPartObj>
        <w:docPartGallery w:val="Page Numbers (Bottom of Page)"/>
        <w:docPartUnique/>
      </w:docPartObj>
    </w:sdtPr>
    <w:sdtEndPr>
      <w:rPr>
        <w:rStyle w:val="PageNumber"/>
      </w:rPr>
    </w:sdtEndPr>
    <w:sdtContent>
      <w:p w14:paraId="640883B9" w14:textId="77777777" w:rsidR="00A06548" w:rsidRDefault="00A06548" w:rsidP="008542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2489E" w14:textId="77777777" w:rsidR="00A06548" w:rsidRDefault="00A06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0873186"/>
      <w:docPartObj>
        <w:docPartGallery w:val="Page Numbers (Bottom of Page)"/>
        <w:docPartUnique/>
      </w:docPartObj>
    </w:sdtPr>
    <w:sdtEndPr>
      <w:rPr>
        <w:rStyle w:val="PageNumber"/>
      </w:rPr>
    </w:sdtEndPr>
    <w:sdtContent>
      <w:p w14:paraId="62EF2FAF" w14:textId="77777777" w:rsidR="00A06548" w:rsidRDefault="00A06548" w:rsidP="008542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054091" w14:textId="57A5DB97" w:rsidR="00A06548" w:rsidRDefault="00A0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B0165" w14:textId="77777777" w:rsidR="001B460A" w:rsidRDefault="001B460A" w:rsidP="006454F4">
      <w:r>
        <w:separator/>
      </w:r>
    </w:p>
  </w:footnote>
  <w:footnote w:type="continuationSeparator" w:id="0">
    <w:p w14:paraId="4117BEF8" w14:textId="77777777" w:rsidR="001B460A" w:rsidRDefault="001B460A" w:rsidP="006454F4">
      <w:r>
        <w:continuationSeparator/>
      </w:r>
    </w:p>
  </w:footnote>
  <w:footnote w:type="continuationNotice" w:id="1">
    <w:p w14:paraId="4DBAD2D5" w14:textId="77777777" w:rsidR="001B460A" w:rsidRDefault="001B460A"/>
  </w:footnote>
  <w:footnote w:id="2">
    <w:p w14:paraId="3DB12270" w14:textId="77777777" w:rsidR="003756E7" w:rsidRPr="00554D35" w:rsidRDefault="003756E7">
      <w:pPr>
        <w:pStyle w:val="FootnoteText"/>
        <w:rPr>
          <w:rFonts w:asciiTheme="minorHAnsi" w:hAnsiTheme="minorHAnsi" w:cstheme="minorHAnsi"/>
          <w:sz w:val="18"/>
          <w:szCs w:val="18"/>
          <w:lang w:val="en-AU"/>
        </w:rPr>
      </w:pPr>
      <w:r w:rsidRPr="00554D35">
        <w:rPr>
          <w:rStyle w:val="FootnoteReference"/>
          <w:rFonts w:asciiTheme="minorHAnsi" w:hAnsiTheme="minorHAnsi" w:cstheme="minorHAnsi"/>
          <w:sz w:val="18"/>
          <w:szCs w:val="18"/>
        </w:rPr>
        <w:footnoteRef/>
      </w:r>
      <w:r w:rsidRPr="00554D35">
        <w:rPr>
          <w:rFonts w:asciiTheme="minorHAnsi" w:hAnsiTheme="minorHAnsi" w:cstheme="minorHAnsi"/>
          <w:sz w:val="18"/>
          <w:szCs w:val="18"/>
        </w:rPr>
        <w:t xml:space="preserve"> </w:t>
      </w:r>
      <w:r>
        <w:rPr>
          <w:rFonts w:asciiTheme="minorHAnsi" w:hAnsiTheme="minorHAnsi" w:cstheme="minorHAnsi"/>
          <w:sz w:val="18"/>
          <w:szCs w:val="18"/>
        </w:rPr>
        <w:t>Witness statement in this Practice Note i</w:t>
      </w:r>
      <w:r w:rsidRPr="00554D35">
        <w:rPr>
          <w:rFonts w:asciiTheme="minorHAnsi" w:hAnsiTheme="minorHAnsi" w:cstheme="minorHAnsi"/>
          <w:sz w:val="18"/>
          <w:szCs w:val="18"/>
        </w:rPr>
        <w:t>nclud</w:t>
      </w:r>
      <w:r>
        <w:rPr>
          <w:rFonts w:asciiTheme="minorHAnsi" w:hAnsiTheme="minorHAnsi" w:cstheme="minorHAnsi"/>
          <w:sz w:val="18"/>
          <w:szCs w:val="18"/>
        </w:rPr>
        <w:t xml:space="preserve">es </w:t>
      </w:r>
      <w:r w:rsidRPr="00554D35">
        <w:rPr>
          <w:rFonts w:asciiTheme="minorHAnsi" w:hAnsiTheme="minorHAnsi" w:cstheme="minorHAnsi"/>
          <w:sz w:val="18"/>
          <w:szCs w:val="18"/>
        </w:rPr>
        <w:t>supporting documents and material</w:t>
      </w:r>
      <w:r>
        <w:rPr>
          <w:rFonts w:asciiTheme="minorHAnsi" w:hAnsiTheme="minorHAnsi" w:cstheme="minorHAnsi"/>
          <w:sz w:val="18"/>
          <w:szCs w:val="18"/>
        </w:rPr>
        <w:t xml:space="preserve"> annexed or exhibited to the statement</w:t>
      </w:r>
    </w:p>
  </w:footnote>
  <w:footnote w:id="3">
    <w:p w14:paraId="4F82ED17" w14:textId="77777777" w:rsidR="00F36E20" w:rsidRPr="00423030" w:rsidRDefault="00F36E20" w:rsidP="00F36E20">
      <w:pPr>
        <w:pStyle w:val="FootnoteText"/>
        <w:rPr>
          <w:rFonts w:asciiTheme="minorHAnsi" w:hAnsiTheme="minorHAnsi" w:cstheme="minorHAnsi"/>
        </w:rPr>
      </w:pPr>
      <w:r w:rsidRPr="00423030">
        <w:rPr>
          <w:rStyle w:val="FootnoteReference"/>
          <w:rFonts w:asciiTheme="minorHAnsi" w:hAnsiTheme="minorHAnsi" w:cstheme="minorHAnsi"/>
        </w:rPr>
        <w:footnoteRef/>
      </w:r>
      <w:r w:rsidRPr="00423030">
        <w:rPr>
          <w:rFonts w:asciiTheme="minorHAnsi" w:hAnsiTheme="minorHAnsi" w:cstheme="minorHAnsi"/>
        </w:rPr>
        <w:t xml:space="preserve"> Interpretation as defined in s</w:t>
      </w:r>
      <w:r w:rsidR="00554F28">
        <w:rPr>
          <w:rFonts w:asciiTheme="minorHAnsi" w:hAnsiTheme="minorHAnsi" w:cstheme="minorHAnsi"/>
        </w:rPr>
        <w:t xml:space="preserve"> </w:t>
      </w:r>
      <w:r w:rsidR="00D225B6">
        <w:rPr>
          <w:rFonts w:asciiTheme="minorHAnsi" w:hAnsiTheme="minorHAnsi" w:cstheme="minorHAnsi"/>
        </w:rPr>
        <w:t>7(7)</w:t>
      </w:r>
      <w:r w:rsidRPr="00423030">
        <w:rPr>
          <w:rFonts w:asciiTheme="minorHAnsi" w:hAnsiTheme="minorHAnsi" w:cstheme="minorHAnsi"/>
        </w:rPr>
        <w:t xml:space="preserve"> of the Māori Language Act </w:t>
      </w:r>
      <w:r w:rsidR="0097588C">
        <w:rPr>
          <w:rFonts w:asciiTheme="minorHAnsi" w:hAnsiTheme="minorHAnsi" w:cstheme="minorHAnsi"/>
        </w:rPr>
        <w:t>2016</w:t>
      </w:r>
      <w:r w:rsidRPr="00423030">
        <w:rPr>
          <w:rFonts w:asciiTheme="minorHAnsi" w:hAnsiTheme="minorHAnsi" w:cstheme="minorHAnsi"/>
        </w:rPr>
        <w:t xml:space="preserve">. </w:t>
      </w:r>
    </w:p>
  </w:footnote>
  <w:footnote w:id="4">
    <w:p w14:paraId="6CCE735B" w14:textId="77777777" w:rsidR="00372EDB" w:rsidRPr="00980960" w:rsidRDefault="00372EDB" w:rsidP="00372EDB">
      <w:pPr>
        <w:pStyle w:val="FootnoteText"/>
        <w:rPr>
          <w:rFonts w:asciiTheme="minorHAnsi" w:hAnsiTheme="minorHAnsi" w:cstheme="minorHAnsi"/>
        </w:rPr>
      </w:pPr>
      <w:r w:rsidRPr="00980960">
        <w:rPr>
          <w:rStyle w:val="FootnoteReference"/>
          <w:rFonts w:asciiTheme="minorHAnsi" w:hAnsiTheme="minorHAnsi" w:cstheme="minorHAnsi"/>
        </w:rPr>
        <w:footnoteRef/>
      </w:r>
      <w:r w:rsidRPr="00980960">
        <w:rPr>
          <w:rFonts w:asciiTheme="minorHAnsi" w:hAnsiTheme="minorHAnsi" w:cstheme="minorHAnsi"/>
        </w:rPr>
        <w:t xml:space="preserve"> Section </w:t>
      </w:r>
      <w:r w:rsidR="00460B24" w:rsidRPr="00980960">
        <w:rPr>
          <w:rFonts w:asciiTheme="minorHAnsi" w:hAnsiTheme="minorHAnsi" w:cstheme="minorHAnsi"/>
        </w:rPr>
        <w:t>7</w:t>
      </w:r>
      <w:r w:rsidRPr="00980960">
        <w:rPr>
          <w:rFonts w:asciiTheme="minorHAnsi" w:hAnsiTheme="minorHAnsi" w:cstheme="minorHAnsi"/>
        </w:rPr>
        <w:t xml:space="preserve">(4) Māori Language Act </w:t>
      </w:r>
      <w:r w:rsidR="0086309B" w:rsidRPr="00980960">
        <w:rPr>
          <w:rFonts w:asciiTheme="minorHAnsi" w:hAnsiTheme="minorHAnsi" w:cstheme="minorHAnsi"/>
        </w:rPr>
        <w:t>2016</w:t>
      </w:r>
      <w:r w:rsidRPr="00980960">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27BABA"/>
    <w:multiLevelType w:val="hybridMultilevel"/>
    <w:tmpl w:val="0AB6A8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329C"/>
    <w:multiLevelType w:val="hybridMultilevel"/>
    <w:tmpl w:val="D6ACFCBE"/>
    <w:lvl w:ilvl="0" w:tplc="7E6EE7D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 w15:restartNumberingAfterBreak="0">
    <w:nsid w:val="03F33E9E"/>
    <w:multiLevelType w:val="hybridMultilevel"/>
    <w:tmpl w:val="EB408F3E"/>
    <w:lvl w:ilvl="0" w:tplc="1409000F">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7B0785"/>
    <w:multiLevelType w:val="hybridMultilevel"/>
    <w:tmpl w:val="88EEA16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97D3984"/>
    <w:multiLevelType w:val="hybridMultilevel"/>
    <w:tmpl w:val="8DA0D502"/>
    <w:lvl w:ilvl="0" w:tplc="9E2C7A1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B74DD8"/>
    <w:multiLevelType w:val="multilevel"/>
    <w:tmpl w:val="51883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350F35"/>
    <w:multiLevelType w:val="multilevel"/>
    <w:tmpl w:val="2380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72D46"/>
    <w:multiLevelType w:val="hybridMultilevel"/>
    <w:tmpl w:val="F45E3D1A"/>
    <w:lvl w:ilvl="0" w:tplc="1409000F">
      <w:start w:val="2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4A7ACA"/>
    <w:multiLevelType w:val="hybridMultilevel"/>
    <w:tmpl w:val="F5BCB938"/>
    <w:lvl w:ilvl="0" w:tplc="0336B06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 w15:restartNumberingAfterBreak="0">
    <w:nsid w:val="166CD2A8"/>
    <w:multiLevelType w:val="hybridMultilevel"/>
    <w:tmpl w:val="7475502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C07253"/>
    <w:multiLevelType w:val="hybridMultilevel"/>
    <w:tmpl w:val="46BAA1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A015D2C"/>
    <w:multiLevelType w:val="hybridMultilevel"/>
    <w:tmpl w:val="7A3E35F0"/>
    <w:lvl w:ilvl="0" w:tplc="04090001">
      <w:start w:val="1"/>
      <w:numFmt w:val="bullet"/>
      <w:lvlText w:val=""/>
      <w:lvlJc w:val="left"/>
      <w:pPr>
        <w:ind w:left="4375" w:hanging="360"/>
      </w:pPr>
      <w:rPr>
        <w:rFonts w:ascii="Symbol" w:hAnsi="Symbol" w:hint="default"/>
      </w:rPr>
    </w:lvl>
    <w:lvl w:ilvl="1" w:tplc="04090003" w:tentative="1">
      <w:start w:val="1"/>
      <w:numFmt w:val="bullet"/>
      <w:lvlText w:val="o"/>
      <w:lvlJc w:val="left"/>
      <w:pPr>
        <w:ind w:left="5095" w:hanging="360"/>
      </w:pPr>
      <w:rPr>
        <w:rFonts w:ascii="Courier New" w:hAnsi="Courier New" w:cs="Courier New" w:hint="default"/>
      </w:rPr>
    </w:lvl>
    <w:lvl w:ilvl="2" w:tplc="04090005" w:tentative="1">
      <w:start w:val="1"/>
      <w:numFmt w:val="bullet"/>
      <w:lvlText w:val=""/>
      <w:lvlJc w:val="left"/>
      <w:pPr>
        <w:ind w:left="5815" w:hanging="360"/>
      </w:pPr>
      <w:rPr>
        <w:rFonts w:ascii="Wingdings" w:hAnsi="Wingdings" w:hint="default"/>
      </w:rPr>
    </w:lvl>
    <w:lvl w:ilvl="3" w:tplc="04090001" w:tentative="1">
      <w:start w:val="1"/>
      <w:numFmt w:val="bullet"/>
      <w:lvlText w:val=""/>
      <w:lvlJc w:val="left"/>
      <w:pPr>
        <w:ind w:left="6535" w:hanging="360"/>
      </w:pPr>
      <w:rPr>
        <w:rFonts w:ascii="Symbol" w:hAnsi="Symbol" w:hint="default"/>
      </w:rPr>
    </w:lvl>
    <w:lvl w:ilvl="4" w:tplc="04090003" w:tentative="1">
      <w:start w:val="1"/>
      <w:numFmt w:val="bullet"/>
      <w:lvlText w:val="o"/>
      <w:lvlJc w:val="left"/>
      <w:pPr>
        <w:ind w:left="7255" w:hanging="360"/>
      </w:pPr>
      <w:rPr>
        <w:rFonts w:ascii="Courier New" w:hAnsi="Courier New" w:cs="Courier New" w:hint="default"/>
      </w:rPr>
    </w:lvl>
    <w:lvl w:ilvl="5" w:tplc="04090005" w:tentative="1">
      <w:start w:val="1"/>
      <w:numFmt w:val="bullet"/>
      <w:lvlText w:val=""/>
      <w:lvlJc w:val="left"/>
      <w:pPr>
        <w:ind w:left="7975" w:hanging="360"/>
      </w:pPr>
      <w:rPr>
        <w:rFonts w:ascii="Wingdings" w:hAnsi="Wingdings" w:hint="default"/>
      </w:rPr>
    </w:lvl>
    <w:lvl w:ilvl="6" w:tplc="04090001" w:tentative="1">
      <w:start w:val="1"/>
      <w:numFmt w:val="bullet"/>
      <w:lvlText w:val=""/>
      <w:lvlJc w:val="left"/>
      <w:pPr>
        <w:ind w:left="8695" w:hanging="360"/>
      </w:pPr>
      <w:rPr>
        <w:rFonts w:ascii="Symbol" w:hAnsi="Symbol" w:hint="default"/>
      </w:rPr>
    </w:lvl>
    <w:lvl w:ilvl="7" w:tplc="04090003" w:tentative="1">
      <w:start w:val="1"/>
      <w:numFmt w:val="bullet"/>
      <w:lvlText w:val="o"/>
      <w:lvlJc w:val="left"/>
      <w:pPr>
        <w:ind w:left="9415" w:hanging="360"/>
      </w:pPr>
      <w:rPr>
        <w:rFonts w:ascii="Courier New" w:hAnsi="Courier New" w:cs="Courier New" w:hint="default"/>
      </w:rPr>
    </w:lvl>
    <w:lvl w:ilvl="8" w:tplc="04090005" w:tentative="1">
      <w:start w:val="1"/>
      <w:numFmt w:val="bullet"/>
      <w:lvlText w:val=""/>
      <w:lvlJc w:val="left"/>
      <w:pPr>
        <w:ind w:left="10135" w:hanging="360"/>
      </w:pPr>
      <w:rPr>
        <w:rFonts w:ascii="Wingdings" w:hAnsi="Wingdings" w:hint="default"/>
      </w:rPr>
    </w:lvl>
  </w:abstractNum>
  <w:abstractNum w:abstractNumId="12" w15:restartNumberingAfterBreak="0">
    <w:nsid w:val="1BA42B53"/>
    <w:multiLevelType w:val="hybridMultilevel"/>
    <w:tmpl w:val="D9AAE4D6"/>
    <w:lvl w:ilvl="0" w:tplc="9A58CC0E">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3" w15:restartNumberingAfterBreak="0">
    <w:nsid w:val="234E1AE5"/>
    <w:multiLevelType w:val="hybridMultilevel"/>
    <w:tmpl w:val="27AEA172"/>
    <w:lvl w:ilvl="0" w:tplc="B8F6441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4836A33"/>
    <w:multiLevelType w:val="hybridMultilevel"/>
    <w:tmpl w:val="F0522A3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5D81A37"/>
    <w:multiLevelType w:val="hybridMultilevel"/>
    <w:tmpl w:val="0F849D3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6A95089"/>
    <w:multiLevelType w:val="hybridMultilevel"/>
    <w:tmpl w:val="89028FA4"/>
    <w:lvl w:ilvl="0" w:tplc="4EB4CB22">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15:restartNumberingAfterBreak="0">
    <w:nsid w:val="26B94342"/>
    <w:multiLevelType w:val="hybridMultilevel"/>
    <w:tmpl w:val="92460FDA"/>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D5972B7"/>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9" w15:restartNumberingAfterBreak="0">
    <w:nsid w:val="2D9D15A7"/>
    <w:multiLevelType w:val="hybridMultilevel"/>
    <w:tmpl w:val="9A32F5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1B36AA7"/>
    <w:multiLevelType w:val="hybridMultilevel"/>
    <w:tmpl w:val="C95EBCE4"/>
    <w:lvl w:ilvl="0" w:tplc="807A300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1" w15:restartNumberingAfterBreak="0">
    <w:nsid w:val="35FC3EA9"/>
    <w:multiLevelType w:val="hybridMultilevel"/>
    <w:tmpl w:val="E79CE5F8"/>
    <w:lvl w:ilvl="0" w:tplc="7D220D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DC2CB2"/>
    <w:multiLevelType w:val="hybridMultilevel"/>
    <w:tmpl w:val="CA383FF8"/>
    <w:lvl w:ilvl="0" w:tplc="506E1BF4">
      <w:start w:val="1"/>
      <w:numFmt w:val="bullet"/>
      <w:lvlText w:val="-"/>
      <w:lvlJc w:val="left"/>
      <w:pPr>
        <w:ind w:left="1494" w:hanging="360"/>
      </w:pPr>
      <w:rPr>
        <w:rFonts w:ascii="Calibri" w:eastAsia="Times New Roman" w:hAnsi="Calibri" w:cs="Calibri"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23" w15:restartNumberingAfterBreak="0">
    <w:nsid w:val="3A84226E"/>
    <w:multiLevelType w:val="hybridMultilevel"/>
    <w:tmpl w:val="044AE4D2"/>
    <w:lvl w:ilvl="0" w:tplc="7800327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4" w15:restartNumberingAfterBreak="0">
    <w:nsid w:val="3C706708"/>
    <w:multiLevelType w:val="hybridMultilevel"/>
    <w:tmpl w:val="524EDC02"/>
    <w:lvl w:ilvl="0" w:tplc="25E0774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3EC54A40"/>
    <w:multiLevelType w:val="hybridMultilevel"/>
    <w:tmpl w:val="D93EB6DE"/>
    <w:lvl w:ilvl="0" w:tplc="E0E8C22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41AC254C"/>
    <w:multiLevelType w:val="hybridMultilevel"/>
    <w:tmpl w:val="92460FDA"/>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5201541"/>
    <w:multiLevelType w:val="hybridMultilevel"/>
    <w:tmpl w:val="27CE6A1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31C83"/>
    <w:multiLevelType w:val="hybridMultilevel"/>
    <w:tmpl w:val="0C8EE1B8"/>
    <w:lvl w:ilvl="0" w:tplc="28DC0AAE">
      <w:start w:val="16"/>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9" w15:restartNumberingAfterBreak="0">
    <w:nsid w:val="52375537"/>
    <w:multiLevelType w:val="hybridMultilevel"/>
    <w:tmpl w:val="ACBC3C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4015F45"/>
    <w:multiLevelType w:val="hybridMultilevel"/>
    <w:tmpl w:val="5D24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72D56"/>
    <w:multiLevelType w:val="hybridMultilevel"/>
    <w:tmpl w:val="AAD88B7E"/>
    <w:lvl w:ilvl="0" w:tplc="B28AD45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B5B6F12"/>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3" w15:restartNumberingAfterBreak="0">
    <w:nsid w:val="5C463FB9"/>
    <w:multiLevelType w:val="hybridMultilevel"/>
    <w:tmpl w:val="D9B0D50C"/>
    <w:lvl w:ilvl="0" w:tplc="DE3064E8">
      <w:start w:val="33"/>
      <w:numFmt w:val="decimal"/>
      <w:lvlText w:val="%1."/>
      <w:lvlJc w:val="left"/>
      <w:pPr>
        <w:ind w:left="360" w:hanging="360"/>
      </w:pPr>
      <w:rPr>
        <w:rFonts w:hint="default"/>
      </w:rPr>
    </w:lvl>
    <w:lvl w:ilvl="1" w:tplc="14090019" w:tentative="1">
      <w:start w:val="1"/>
      <w:numFmt w:val="lowerLetter"/>
      <w:lvlText w:val="%2."/>
      <w:lvlJc w:val="left"/>
      <w:pPr>
        <w:ind w:left="1014" w:hanging="360"/>
      </w:pPr>
    </w:lvl>
    <w:lvl w:ilvl="2" w:tplc="1409001B" w:tentative="1">
      <w:start w:val="1"/>
      <w:numFmt w:val="lowerRoman"/>
      <w:lvlText w:val="%3."/>
      <w:lvlJc w:val="right"/>
      <w:pPr>
        <w:ind w:left="1734" w:hanging="180"/>
      </w:pPr>
    </w:lvl>
    <w:lvl w:ilvl="3" w:tplc="1409000F" w:tentative="1">
      <w:start w:val="1"/>
      <w:numFmt w:val="decimal"/>
      <w:lvlText w:val="%4."/>
      <w:lvlJc w:val="left"/>
      <w:pPr>
        <w:ind w:left="2454" w:hanging="360"/>
      </w:pPr>
    </w:lvl>
    <w:lvl w:ilvl="4" w:tplc="14090019" w:tentative="1">
      <w:start w:val="1"/>
      <w:numFmt w:val="lowerLetter"/>
      <w:lvlText w:val="%5."/>
      <w:lvlJc w:val="left"/>
      <w:pPr>
        <w:ind w:left="3174" w:hanging="360"/>
      </w:pPr>
    </w:lvl>
    <w:lvl w:ilvl="5" w:tplc="1409001B" w:tentative="1">
      <w:start w:val="1"/>
      <w:numFmt w:val="lowerRoman"/>
      <w:lvlText w:val="%6."/>
      <w:lvlJc w:val="right"/>
      <w:pPr>
        <w:ind w:left="3894" w:hanging="180"/>
      </w:pPr>
    </w:lvl>
    <w:lvl w:ilvl="6" w:tplc="1409000F" w:tentative="1">
      <w:start w:val="1"/>
      <w:numFmt w:val="decimal"/>
      <w:lvlText w:val="%7."/>
      <w:lvlJc w:val="left"/>
      <w:pPr>
        <w:ind w:left="4614" w:hanging="360"/>
      </w:pPr>
    </w:lvl>
    <w:lvl w:ilvl="7" w:tplc="14090019" w:tentative="1">
      <w:start w:val="1"/>
      <w:numFmt w:val="lowerLetter"/>
      <w:lvlText w:val="%8."/>
      <w:lvlJc w:val="left"/>
      <w:pPr>
        <w:ind w:left="5334" w:hanging="360"/>
      </w:pPr>
    </w:lvl>
    <w:lvl w:ilvl="8" w:tplc="1409001B" w:tentative="1">
      <w:start w:val="1"/>
      <w:numFmt w:val="lowerRoman"/>
      <w:lvlText w:val="%9."/>
      <w:lvlJc w:val="right"/>
      <w:pPr>
        <w:ind w:left="6054" w:hanging="180"/>
      </w:pPr>
    </w:lvl>
  </w:abstractNum>
  <w:abstractNum w:abstractNumId="34" w15:restartNumberingAfterBreak="0">
    <w:nsid w:val="60B2456C"/>
    <w:multiLevelType w:val="hybridMultilevel"/>
    <w:tmpl w:val="F7DE8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391BE2"/>
    <w:multiLevelType w:val="hybridMultilevel"/>
    <w:tmpl w:val="CFD6E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26D2F"/>
    <w:multiLevelType w:val="hybridMultilevel"/>
    <w:tmpl w:val="EEAE130A"/>
    <w:lvl w:ilvl="0" w:tplc="9A3EE7AA">
      <w:start w:val="19"/>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7" w15:restartNumberingAfterBreak="0">
    <w:nsid w:val="6FCA5D65"/>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8" w15:restartNumberingAfterBreak="0">
    <w:nsid w:val="71DB3715"/>
    <w:multiLevelType w:val="hybridMultilevel"/>
    <w:tmpl w:val="D6ACFCBE"/>
    <w:lvl w:ilvl="0" w:tplc="7E6EE7D8">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9" w15:restartNumberingAfterBreak="0">
    <w:nsid w:val="71F940EB"/>
    <w:multiLevelType w:val="hybridMultilevel"/>
    <w:tmpl w:val="1FD69DFE"/>
    <w:lvl w:ilvl="0" w:tplc="378C562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4CE4DCE"/>
    <w:multiLevelType w:val="hybridMultilevel"/>
    <w:tmpl w:val="D6ACFCBE"/>
    <w:lvl w:ilvl="0" w:tplc="7E6EE7D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1" w15:restartNumberingAfterBreak="0">
    <w:nsid w:val="787C7FC6"/>
    <w:multiLevelType w:val="hybridMultilevel"/>
    <w:tmpl w:val="2A3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B09DD"/>
    <w:multiLevelType w:val="hybridMultilevel"/>
    <w:tmpl w:val="79F89528"/>
    <w:lvl w:ilvl="0" w:tplc="98AEE4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BAC58F9"/>
    <w:multiLevelType w:val="hybridMultilevel"/>
    <w:tmpl w:val="1A28F00A"/>
    <w:lvl w:ilvl="0" w:tplc="7F0A22D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DC95DBB"/>
    <w:multiLevelType w:val="hybridMultilevel"/>
    <w:tmpl w:val="12B4C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
  </w:num>
  <w:num w:numId="3">
    <w:abstractNumId w:val="20"/>
  </w:num>
  <w:num w:numId="4">
    <w:abstractNumId w:val="24"/>
  </w:num>
  <w:num w:numId="5">
    <w:abstractNumId w:val="23"/>
  </w:num>
  <w:num w:numId="6">
    <w:abstractNumId w:val="8"/>
  </w:num>
  <w:num w:numId="7">
    <w:abstractNumId w:val="22"/>
  </w:num>
  <w:num w:numId="8">
    <w:abstractNumId w:val="39"/>
  </w:num>
  <w:num w:numId="9">
    <w:abstractNumId w:val="15"/>
  </w:num>
  <w:num w:numId="10">
    <w:abstractNumId w:val="25"/>
  </w:num>
  <w:num w:numId="11">
    <w:abstractNumId w:val="27"/>
  </w:num>
  <w:num w:numId="12">
    <w:abstractNumId w:val="3"/>
  </w:num>
  <w:num w:numId="13">
    <w:abstractNumId w:val="11"/>
  </w:num>
  <w:num w:numId="14">
    <w:abstractNumId w:val="29"/>
  </w:num>
  <w:num w:numId="15">
    <w:abstractNumId w:val="10"/>
  </w:num>
  <w:num w:numId="16">
    <w:abstractNumId w:val="16"/>
  </w:num>
  <w:num w:numId="17">
    <w:abstractNumId w:val="7"/>
  </w:num>
  <w:num w:numId="18">
    <w:abstractNumId w:val="30"/>
  </w:num>
  <w:num w:numId="19">
    <w:abstractNumId w:val="13"/>
  </w:num>
  <w:num w:numId="20">
    <w:abstractNumId w:val="4"/>
  </w:num>
  <w:num w:numId="21">
    <w:abstractNumId w:val="34"/>
  </w:num>
  <w:num w:numId="22">
    <w:abstractNumId w:val="31"/>
  </w:num>
  <w:num w:numId="23">
    <w:abstractNumId w:val="26"/>
  </w:num>
  <w:num w:numId="24">
    <w:abstractNumId w:val="14"/>
  </w:num>
  <w:num w:numId="25">
    <w:abstractNumId w:val="33"/>
  </w:num>
  <w:num w:numId="26">
    <w:abstractNumId w:val="17"/>
  </w:num>
  <w:num w:numId="27">
    <w:abstractNumId w:val="36"/>
  </w:num>
  <w:num w:numId="28">
    <w:abstractNumId w:val="2"/>
  </w:num>
  <w:num w:numId="29">
    <w:abstractNumId w:val="28"/>
  </w:num>
  <w:num w:numId="30">
    <w:abstractNumId w:val="42"/>
  </w:num>
  <w:num w:numId="31">
    <w:abstractNumId w:val="38"/>
  </w:num>
  <w:num w:numId="32">
    <w:abstractNumId w:val="40"/>
  </w:num>
  <w:num w:numId="33">
    <w:abstractNumId w:val="12"/>
  </w:num>
  <w:num w:numId="34">
    <w:abstractNumId w:val="21"/>
  </w:num>
  <w:num w:numId="35">
    <w:abstractNumId w:val="43"/>
  </w:num>
  <w:num w:numId="36">
    <w:abstractNumId w:val="19"/>
  </w:num>
  <w:num w:numId="37">
    <w:abstractNumId w:val="37"/>
  </w:num>
  <w:num w:numId="38">
    <w:abstractNumId w:val="18"/>
  </w:num>
  <w:num w:numId="39">
    <w:abstractNumId w:val="5"/>
  </w:num>
  <w:num w:numId="40">
    <w:abstractNumId w:val="6"/>
  </w:num>
  <w:num w:numId="41">
    <w:abstractNumId w:val="9"/>
  </w:num>
  <w:num w:numId="42">
    <w:abstractNumId w:val="0"/>
  </w:num>
  <w:num w:numId="43">
    <w:abstractNumId w:val="35"/>
  </w:num>
  <w:num w:numId="44">
    <w:abstractNumId w:val="4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8C"/>
    <w:rsid w:val="00000065"/>
    <w:rsid w:val="0000067A"/>
    <w:rsid w:val="00001133"/>
    <w:rsid w:val="000025CF"/>
    <w:rsid w:val="00002665"/>
    <w:rsid w:val="000033CD"/>
    <w:rsid w:val="00004658"/>
    <w:rsid w:val="00006314"/>
    <w:rsid w:val="00007919"/>
    <w:rsid w:val="00007EE8"/>
    <w:rsid w:val="00011DCD"/>
    <w:rsid w:val="00012CFC"/>
    <w:rsid w:val="000136E4"/>
    <w:rsid w:val="000144CF"/>
    <w:rsid w:val="00017DCD"/>
    <w:rsid w:val="00020552"/>
    <w:rsid w:val="0002470D"/>
    <w:rsid w:val="000260C3"/>
    <w:rsid w:val="000260F4"/>
    <w:rsid w:val="000271C2"/>
    <w:rsid w:val="0003045A"/>
    <w:rsid w:val="00031EC0"/>
    <w:rsid w:val="00033060"/>
    <w:rsid w:val="00033502"/>
    <w:rsid w:val="00035554"/>
    <w:rsid w:val="00037372"/>
    <w:rsid w:val="00037EA6"/>
    <w:rsid w:val="00040CED"/>
    <w:rsid w:val="000426AC"/>
    <w:rsid w:val="00046A9C"/>
    <w:rsid w:val="000541D9"/>
    <w:rsid w:val="00054BDF"/>
    <w:rsid w:val="00055333"/>
    <w:rsid w:val="00055E1A"/>
    <w:rsid w:val="00060CCA"/>
    <w:rsid w:val="000642F1"/>
    <w:rsid w:val="00065458"/>
    <w:rsid w:val="00065E4B"/>
    <w:rsid w:val="00067BD7"/>
    <w:rsid w:val="0007021E"/>
    <w:rsid w:val="000726DC"/>
    <w:rsid w:val="00077301"/>
    <w:rsid w:val="00080CA7"/>
    <w:rsid w:val="00081635"/>
    <w:rsid w:val="00081B63"/>
    <w:rsid w:val="000843C8"/>
    <w:rsid w:val="00084E4E"/>
    <w:rsid w:val="00084FB7"/>
    <w:rsid w:val="00087B87"/>
    <w:rsid w:val="00090577"/>
    <w:rsid w:val="000908ED"/>
    <w:rsid w:val="00093E6B"/>
    <w:rsid w:val="00094DB4"/>
    <w:rsid w:val="000964AF"/>
    <w:rsid w:val="0009790A"/>
    <w:rsid w:val="000A07EB"/>
    <w:rsid w:val="000A0E05"/>
    <w:rsid w:val="000A2D03"/>
    <w:rsid w:val="000A3221"/>
    <w:rsid w:val="000A3656"/>
    <w:rsid w:val="000A377F"/>
    <w:rsid w:val="000B38CB"/>
    <w:rsid w:val="000B5556"/>
    <w:rsid w:val="000B6793"/>
    <w:rsid w:val="000B7215"/>
    <w:rsid w:val="000C25F8"/>
    <w:rsid w:val="000C3327"/>
    <w:rsid w:val="000C3B39"/>
    <w:rsid w:val="000C73FA"/>
    <w:rsid w:val="000D058F"/>
    <w:rsid w:val="000D1B50"/>
    <w:rsid w:val="000D1CFF"/>
    <w:rsid w:val="000D228F"/>
    <w:rsid w:val="000D3657"/>
    <w:rsid w:val="000D4483"/>
    <w:rsid w:val="000D5423"/>
    <w:rsid w:val="000D648E"/>
    <w:rsid w:val="000D7017"/>
    <w:rsid w:val="000D70F9"/>
    <w:rsid w:val="000D773B"/>
    <w:rsid w:val="000D7B2E"/>
    <w:rsid w:val="000E1BBF"/>
    <w:rsid w:val="000E3E30"/>
    <w:rsid w:val="000E6DE1"/>
    <w:rsid w:val="000F0EA5"/>
    <w:rsid w:val="000F1226"/>
    <w:rsid w:val="000F166B"/>
    <w:rsid w:val="000F49B0"/>
    <w:rsid w:val="000F4D3C"/>
    <w:rsid w:val="000F4D56"/>
    <w:rsid w:val="000F4DE7"/>
    <w:rsid w:val="000F71C9"/>
    <w:rsid w:val="000F7892"/>
    <w:rsid w:val="000F7A58"/>
    <w:rsid w:val="0010026B"/>
    <w:rsid w:val="001020DA"/>
    <w:rsid w:val="001026F4"/>
    <w:rsid w:val="00103559"/>
    <w:rsid w:val="00103579"/>
    <w:rsid w:val="00106A70"/>
    <w:rsid w:val="00107F41"/>
    <w:rsid w:val="00111B1B"/>
    <w:rsid w:val="00111C5B"/>
    <w:rsid w:val="00114572"/>
    <w:rsid w:val="00116182"/>
    <w:rsid w:val="001171A5"/>
    <w:rsid w:val="00120B51"/>
    <w:rsid w:val="0012144C"/>
    <w:rsid w:val="001216F6"/>
    <w:rsid w:val="00121AFE"/>
    <w:rsid w:val="00122753"/>
    <w:rsid w:val="00124206"/>
    <w:rsid w:val="001254B2"/>
    <w:rsid w:val="0013013B"/>
    <w:rsid w:val="00130213"/>
    <w:rsid w:val="00131E4E"/>
    <w:rsid w:val="00134639"/>
    <w:rsid w:val="00134688"/>
    <w:rsid w:val="00134AE1"/>
    <w:rsid w:val="001356DD"/>
    <w:rsid w:val="0013796C"/>
    <w:rsid w:val="00137DDE"/>
    <w:rsid w:val="0014030D"/>
    <w:rsid w:val="00140E7D"/>
    <w:rsid w:val="001412A8"/>
    <w:rsid w:val="001412E2"/>
    <w:rsid w:val="00142F4A"/>
    <w:rsid w:val="00144D65"/>
    <w:rsid w:val="001453DF"/>
    <w:rsid w:val="00145F8D"/>
    <w:rsid w:val="00150346"/>
    <w:rsid w:val="001519F2"/>
    <w:rsid w:val="0015210F"/>
    <w:rsid w:val="001548FA"/>
    <w:rsid w:val="00154D91"/>
    <w:rsid w:val="00156394"/>
    <w:rsid w:val="00156494"/>
    <w:rsid w:val="00160C22"/>
    <w:rsid w:val="001618ED"/>
    <w:rsid w:val="00163F6B"/>
    <w:rsid w:val="0016492A"/>
    <w:rsid w:val="001653C3"/>
    <w:rsid w:val="00167931"/>
    <w:rsid w:val="00170A78"/>
    <w:rsid w:val="0017369D"/>
    <w:rsid w:val="00174879"/>
    <w:rsid w:val="00174D5B"/>
    <w:rsid w:val="00180B11"/>
    <w:rsid w:val="00180C8E"/>
    <w:rsid w:val="0018331C"/>
    <w:rsid w:val="00183DC5"/>
    <w:rsid w:val="00183ED2"/>
    <w:rsid w:val="001847CB"/>
    <w:rsid w:val="00185017"/>
    <w:rsid w:val="00185A48"/>
    <w:rsid w:val="0018683C"/>
    <w:rsid w:val="0018742E"/>
    <w:rsid w:val="00190350"/>
    <w:rsid w:val="00190D9E"/>
    <w:rsid w:val="001921C5"/>
    <w:rsid w:val="00195900"/>
    <w:rsid w:val="00196A9E"/>
    <w:rsid w:val="0019757F"/>
    <w:rsid w:val="001A1BF7"/>
    <w:rsid w:val="001A2D32"/>
    <w:rsid w:val="001A2F9E"/>
    <w:rsid w:val="001A31BE"/>
    <w:rsid w:val="001B0E7E"/>
    <w:rsid w:val="001B18BB"/>
    <w:rsid w:val="001B3044"/>
    <w:rsid w:val="001B3A2E"/>
    <w:rsid w:val="001B3FDF"/>
    <w:rsid w:val="001B460A"/>
    <w:rsid w:val="001B708B"/>
    <w:rsid w:val="001C086B"/>
    <w:rsid w:val="001C1865"/>
    <w:rsid w:val="001C1DAD"/>
    <w:rsid w:val="001C2603"/>
    <w:rsid w:val="001C26B2"/>
    <w:rsid w:val="001C2E02"/>
    <w:rsid w:val="001C2EB7"/>
    <w:rsid w:val="001C3E71"/>
    <w:rsid w:val="001C7799"/>
    <w:rsid w:val="001D321E"/>
    <w:rsid w:val="001D37C7"/>
    <w:rsid w:val="001D4401"/>
    <w:rsid w:val="001D5110"/>
    <w:rsid w:val="001D51DB"/>
    <w:rsid w:val="001E000C"/>
    <w:rsid w:val="001E2065"/>
    <w:rsid w:val="001E2545"/>
    <w:rsid w:val="001E2928"/>
    <w:rsid w:val="001E53D2"/>
    <w:rsid w:val="001E5C71"/>
    <w:rsid w:val="001E6348"/>
    <w:rsid w:val="001F0F7E"/>
    <w:rsid w:val="001F1933"/>
    <w:rsid w:val="001F1C60"/>
    <w:rsid w:val="001F3B8F"/>
    <w:rsid w:val="001F4611"/>
    <w:rsid w:val="001F6E0F"/>
    <w:rsid w:val="00202E9E"/>
    <w:rsid w:val="00203121"/>
    <w:rsid w:val="00203F11"/>
    <w:rsid w:val="0020452E"/>
    <w:rsid w:val="00206E95"/>
    <w:rsid w:val="00207542"/>
    <w:rsid w:val="002079F8"/>
    <w:rsid w:val="00211B51"/>
    <w:rsid w:val="00213140"/>
    <w:rsid w:val="0021433F"/>
    <w:rsid w:val="00217BEA"/>
    <w:rsid w:val="00221499"/>
    <w:rsid w:val="00222E9A"/>
    <w:rsid w:val="00224C2D"/>
    <w:rsid w:val="00225B39"/>
    <w:rsid w:val="002265F5"/>
    <w:rsid w:val="002274FB"/>
    <w:rsid w:val="0023010D"/>
    <w:rsid w:val="0023557A"/>
    <w:rsid w:val="00235930"/>
    <w:rsid w:val="002368FB"/>
    <w:rsid w:val="00236BEE"/>
    <w:rsid w:val="00241427"/>
    <w:rsid w:val="0024188E"/>
    <w:rsid w:val="00242E8C"/>
    <w:rsid w:val="0024398D"/>
    <w:rsid w:val="00245007"/>
    <w:rsid w:val="00245BF0"/>
    <w:rsid w:val="002501F4"/>
    <w:rsid w:val="002505DC"/>
    <w:rsid w:val="002508B6"/>
    <w:rsid w:val="00250A90"/>
    <w:rsid w:val="00250ED6"/>
    <w:rsid w:val="00251D12"/>
    <w:rsid w:val="00254547"/>
    <w:rsid w:val="00254629"/>
    <w:rsid w:val="00254F32"/>
    <w:rsid w:val="00256296"/>
    <w:rsid w:val="002566B7"/>
    <w:rsid w:val="00257D90"/>
    <w:rsid w:val="00261174"/>
    <w:rsid w:val="0026138F"/>
    <w:rsid w:val="002616D5"/>
    <w:rsid w:val="00261994"/>
    <w:rsid w:val="00262CB2"/>
    <w:rsid w:val="002638DC"/>
    <w:rsid w:val="00263C16"/>
    <w:rsid w:val="00266513"/>
    <w:rsid w:val="002669D1"/>
    <w:rsid w:val="002702A4"/>
    <w:rsid w:val="00270D22"/>
    <w:rsid w:val="00272A2B"/>
    <w:rsid w:val="0027547A"/>
    <w:rsid w:val="00276E3C"/>
    <w:rsid w:val="002772CD"/>
    <w:rsid w:val="00277B9F"/>
    <w:rsid w:val="002812F0"/>
    <w:rsid w:val="002827B3"/>
    <w:rsid w:val="00282E20"/>
    <w:rsid w:val="002830A6"/>
    <w:rsid w:val="00285507"/>
    <w:rsid w:val="00290221"/>
    <w:rsid w:val="0029250D"/>
    <w:rsid w:val="00293135"/>
    <w:rsid w:val="00294D19"/>
    <w:rsid w:val="00295478"/>
    <w:rsid w:val="002A00B8"/>
    <w:rsid w:val="002A0A08"/>
    <w:rsid w:val="002A1179"/>
    <w:rsid w:val="002A2466"/>
    <w:rsid w:val="002A43BA"/>
    <w:rsid w:val="002A4845"/>
    <w:rsid w:val="002A48A2"/>
    <w:rsid w:val="002A6B93"/>
    <w:rsid w:val="002A7046"/>
    <w:rsid w:val="002A75B0"/>
    <w:rsid w:val="002B18C9"/>
    <w:rsid w:val="002B2689"/>
    <w:rsid w:val="002B3174"/>
    <w:rsid w:val="002B4793"/>
    <w:rsid w:val="002B5183"/>
    <w:rsid w:val="002B6CD6"/>
    <w:rsid w:val="002B6D50"/>
    <w:rsid w:val="002B773C"/>
    <w:rsid w:val="002C04F2"/>
    <w:rsid w:val="002C20D1"/>
    <w:rsid w:val="002C2356"/>
    <w:rsid w:val="002C2EF0"/>
    <w:rsid w:val="002D0ACD"/>
    <w:rsid w:val="002D0D52"/>
    <w:rsid w:val="002D170F"/>
    <w:rsid w:val="002D2F3A"/>
    <w:rsid w:val="002D38A9"/>
    <w:rsid w:val="002D4008"/>
    <w:rsid w:val="002D4F4A"/>
    <w:rsid w:val="002D5183"/>
    <w:rsid w:val="002D76CC"/>
    <w:rsid w:val="002E016D"/>
    <w:rsid w:val="002E20F6"/>
    <w:rsid w:val="002E3338"/>
    <w:rsid w:val="002E3FDE"/>
    <w:rsid w:val="002E4001"/>
    <w:rsid w:val="002E5306"/>
    <w:rsid w:val="002E53E9"/>
    <w:rsid w:val="002E5D26"/>
    <w:rsid w:val="002E7E36"/>
    <w:rsid w:val="002F02C7"/>
    <w:rsid w:val="002F02CC"/>
    <w:rsid w:val="002F0318"/>
    <w:rsid w:val="002F3C9C"/>
    <w:rsid w:val="002F4594"/>
    <w:rsid w:val="002F5A42"/>
    <w:rsid w:val="00300B91"/>
    <w:rsid w:val="003024E3"/>
    <w:rsid w:val="00302F2F"/>
    <w:rsid w:val="003045F0"/>
    <w:rsid w:val="00307567"/>
    <w:rsid w:val="00311431"/>
    <w:rsid w:val="00311BEF"/>
    <w:rsid w:val="0031207D"/>
    <w:rsid w:val="00312218"/>
    <w:rsid w:val="003125F1"/>
    <w:rsid w:val="00315114"/>
    <w:rsid w:val="00316046"/>
    <w:rsid w:val="00316D01"/>
    <w:rsid w:val="00317F45"/>
    <w:rsid w:val="0032121B"/>
    <w:rsid w:val="00322272"/>
    <w:rsid w:val="00323204"/>
    <w:rsid w:val="0032507B"/>
    <w:rsid w:val="0032601F"/>
    <w:rsid w:val="00327001"/>
    <w:rsid w:val="00330D88"/>
    <w:rsid w:val="00332556"/>
    <w:rsid w:val="0033407C"/>
    <w:rsid w:val="003349F3"/>
    <w:rsid w:val="003359B2"/>
    <w:rsid w:val="003360C6"/>
    <w:rsid w:val="0033744F"/>
    <w:rsid w:val="003374A0"/>
    <w:rsid w:val="00337A08"/>
    <w:rsid w:val="00341EC0"/>
    <w:rsid w:val="003427D0"/>
    <w:rsid w:val="00344D6C"/>
    <w:rsid w:val="00346A69"/>
    <w:rsid w:val="0035053B"/>
    <w:rsid w:val="003511A5"/>
    <w:rsid w:val="003515A4"/>
    <w:rsid w:val="00357276"/>
    <w:rsid w:val="00357F80"/>
    <w:rsid w:val="00360B16"/>
    <w:rsid w:val="003622EB"/>
    <w:rsid w:val="00364AB8"/>
    <w:rsid w:val="00366AC3"/>
    <w:rsid w:val="00367DE9"/>
    <w:rsid w:val="00367FCE"/>
    <w:rsid w:val="0037207F"/>
    <w:rsid w:val="003724B2"/>
    <w:rsid w:val="00372EDB"/>
    <w:rsid w:val="003730E9"/>
    <w:rsid w:val="003756E7"/>
    <w:rsid w:val="0037606A"/>
    <w:rsid w:val="003765F3"/>
    <w:rsid w:val="00377297"/>
    <w:rsid w:val="003773A3"/>
    <w:rsid w:val="0039252D"/>
    <w:rsid w:val="00393FD8"/>
    <w:rsid w:val="00394F24"/>
    <w:rsid w:val="00395432"/>
    <w:rsid w:val="00395AF4"/>
    <w:rsid w:val="00396342"/>
    <w:rsid w:val="0039690F"/>
    <w:rsid w:val="003969C8"/>
    <w:rsid w:val="003A0895"/>
    <w:rsid w:val="003A3127"/>
    <w:rsid w:val="003B0A35"/>
    <w:rsid w:val="003B287C"/>
    <w:rsid w:val="003B3485"/>
    <w:rsid w:val="003B3DF3"/>
    <w:rsid w:val="003B54C6"/>
    <w:rsid w:val="003B5863"/>
    <w:rsid w:val="003B6C47"/>
    <w:rsid w:val="003B720E"/>
    <w:rsid w:val="003C1355"/>
    <w:rsid w:val="003C5FF7"/>
    <w:rsid w:val="003C70DC"/>
    <w:rsid w:val="003C75BE"/>
    <w:rsid w:val="003D01EE"/>
    <w:rsid w:val="003D21CA"/>
    <w:rsid w:val="003D7C60"/>
    <w:rsid w:val="003D7E52"/>
    <w:rsid w:val="003E15C4"/>
    <w:rsid w:val="003E5C15"/>
    <w:rsid w:val="003E5FD6"/>
    <w:rsid w:val="003F05DC"/>
    <w:rsid w:val="003F0AB5"/>
    <w:rsid w:val="003F1263"/>
    <w:rsid w:val="003F1726"/>
    <w:rsid w:val="003F3657"/>
    <w:rsid w:val="003F3AC4"/>
    <w:rsid w:val="003F4210"/>
    <w:rsid w:val="003F4D62"/>
    <w:rsid w:val="003F6FBA"/>
    <w:rsid w:val="003F7952"/>
    <w:rsid w:val="00400133"/>
    <w:rsid w:val="00401021"/>
    <w:rsid w:val="004016EE"/>
    <w:rsid w:val="00401781"/>
    <w:rsid w:val="004020CB"/>
    <w:rsid w:val="004026FB"/>
    <w:rsid w:val="00402B58"/>
    <w:rsid w:val="00404474"/>
    <w:rsid w:val="00404775"/>
    <w:rsid w:val="0040519D"/>
    <w:rsid w:val="00405C8D"/>
    <w:rsid w:val="00406A6F"/>
    <w:rsid w:val="0041290B"/>
    <w:rsid w:val="00412EFE"/>
    <w:rsid w:val="00415C48"/>
    <w:rsid w:val="0041641D"/>
    <w:rsid w:val="0041684D"/>
    <w:rsid w:val="00420003"/>
    <w:rsid w:val="00421B92"/>
    <w:rsid w:val="00421FC3"/>
    <w:rsid w:val="00423030"/>
    <w:rsid w:val="00423385"/>
    <w:rsid w:val="00423A3D"/>
    <w:rsid w:val="004243EB"/>
    <w:rsid w:val="0042449A"/>
    <w:rsid w:val="004246A3"/>
    <w:rsid w:val="00426DFA"/>
    <w:rsid w:val="00427256"/>
    <w:rsid w:val="004275D0"/>
    <w:rsid w:val="00431B0D"/>
    <w:rsid w:val="00431B40"/>
    <w:rsid w:val="00434233"/>
    <w:rsid w:val="00434E38"/>
    <w:rsid w:val="004350F5"/>
    <w:rsid w:val="00435743"/>
    <w:rsid w:val="0043656E"/>
    <w:rsid w:val="00440957"/>
    <w:rsid w:val="0044279C"/>
    <w:rsid w:val="00443169"/>
    <w:rsid w:val="00443A5F"/>
    <w:rsid w:val="0044765E"/>
    <w:rsid w:val="00450E39"/>
    <w:rsid w:val="0045172C"/>
    <w:rsid w:val="004517A1"/>
    <w:rsid w:val="00454BE8"/>
    <w:rsid w:val="0045560B"/>
    <w:rsid w:val="004573C1"/>
    <w:rsid w:val="00457AC4"/>
    <w:rsid w:val="00457F94"/>
    <w:rsid w:val="00460B24"/>
    <w:rsid w:val="00460E8C"/>
    <w:rsid w:val="00461AB9"/>
    <w:rsid w:val="004627C8"/>
    <w:rsid w:val="00462F26"/>
    <w:rsid w:val="004633E4"/>
    <w:rsid w:val="004645F1"/>
    <w:rsid w:val="0046521E"/>
    <w:rsid w:val="004653DD"/>
    <w:rsid w:val="00465AAF"/>
    <w:rsid w:val="004706F7"/>
    <w:rsid w:val="004736EB"/>
    <w:rsid w:val="00475482"/>
    <w:rsid w:val="0047629B"/>
    <w:rsid w:val="00477D7F"/>
    <w:rsid w:val="004813D9"/>
    <w:rsid w:val="004815BE"/>
    <w:rsid w:val="004826E9"/>
    <w:rsid w:val="004827AA"/>
    <w:rsid w:val="00485758"/>
    <w:rsid w:val="00485E3A"/>
    <w:rsid w:val="004876E2"/>
    <w:rsid w:val="00487AB0"/>
    <w:rsid w:val="00490948"/>
    <w:rsid w:val="0049216F"/>
    <w:rsid w:val="00492E03"/>
    <w:rsid w:val="004A3C82"/>
    <w:rsid w:val="004A4864"/>
    <w:rsid w:val="004A6490"/>
    <w:rsid w:val="004A71F8"/>
    <w:rsid w:val="004A7DE7"/>
    <w:rsid w:val="004B031E"/>
    <w:rsid w:val="004B05F7"/>
    <w:rsid w:val="004B0B7E"/>
    <w:rsid w:val="004B143D"/>
    <w:rsid w:val="004B1B2F"/>
    <w:rsid w:val="004B1D6F"/>
    <w:rsid w:val="004B1EE5"/>
    <w:rsid w:val="004B2C13"/>
    <w:rsid w:val="004B3B54"/>
    <w:rsid w:val="004B3CCB"/>
    <w:rsid w:val="004B62BF"/>
    <w:rsid w:val="004C3CDE"/>
    <w:rsid w:val="004C6B3D"/>
    <w:rsid w:val="004C6C01"/>
    <w:rsid w:val="004D1D10"/>
    <w:rsid w:val="004D38CB"/>
    <w:rsid w:val="004D623A"/>
    <w:rsid w:val="004D7E50"/>
    <w:rsid w:val="004D7F0A"/>
    <w:rsid w:val="004E05DD"/>
    <w:rsid w:val="004E11B5"/>
    <w:rsid w:val="004E26F7"/>
    <w:rsid w:val="004E2A54"/>
    <w:rsid w:val="004E5C35"/>
    <w:rsid w:val="004F0389"/>
    <w:rsid w:val="004F0966"/>
    <w:rsid w:val="004F0BEB"/>
    <w:rsid w:val="004F1CC4"/>
    <w:rsid w:val="004F2D6E"/>
    <w:rsid w:val="004F3938"/>
    <w:rsid w:val="004F6A3D"/>
    <w:rsid w:val="004F73B0"/>
    <w:rsid w:val="004F7AF7"/>
    <w:rsid w:val="00500510"/>
    <w:rsid w:val="0050186A"/>
    <w:rsid w:val="005020C0"/>
    <w:rsid w:val="005077DA"/>
    <w:rsid w:val="00510330"/>
    <w:rsid w:val="00510DE6"/>
    <w:rsid w:val="005119C8"/>
    <w:rsid w:val="00511BD7"/>
    <w:rsid w:val="00514C85"/>
    <w:rsid w:val="00515808"/>
    <w:rsid w:val="00515F09"/>
    <w:rsid w:val="0051701B"/>
    <w:rsid w:val="0051753B"/>
    <w:rsid w:val="0052014D"/>
    <w:rsid w:val="00523075"/>
    <w:rsid w:val="005263A6"/>
    <w:rsid w:val="0052681E"/>
    <w:rsid w:val="00526E97"/>
    <w:rsid w:val="005275C2"/>
    <w:rsid w:val="00527940"/>
    <w:rsid w:val="00527D61"/>
    <w:rsid w:val="00527DCE"/>
    <w:rsid w:val="00530C79"/>
    <w:rsid w:val="0053196A"/>
    <w:rsid w:val="00533086"/>
    <w:rsid w:val="005337B3"/>
    <w:rsid w:val="00533F37"/>
    <w:rsid w:val="00534116"/>
    <w:rsid w:val="00537C97"/>
    <w:rsid w:val="005401D4"/>
    <w:rsid w:val="0054024C"/>
    <w:rsid w:val="00540E56"/>
    <w:rsid w:val="00547257"/>
    <w:rsid w:val="005477DC"/>
    <w:rsid w:val="00550197"/>
    <w:rsid w:val="00551323"/>
    <w:rsid w:val="005515DF"/>
    <w:rsid w:val="005524CD"/>
    <w:rsid w:val="00552FE8"/>
    <w:rsid w:val="005533B3"/>
    <w:rsid w:val="00553ADC"/>
    <w:rsid w:val="00554D35"/>
    <w:rsid w:val="00554E6D"/>
    <w:rsid w:val="00554F28"/>
    <w:rsid w:val="005600FF"/>
    <w:rsid w:val="005631DC"/>
    <w:rsid w:val="00565104"/>
    <w:rsid w:val="005743F1"/>
    <w:rsid w:val="00576A15"/>
    <w:rsid w:val="00576FCE"/>
    <w:rsid w:val="00577099"/>
    <w:rsid w:val="00577854"/>
    <w:rsid w:val="00582355"/>
    <w:rsid w:val="00584EBE"/>
    <w:rsid w:val="005853B0"/>
    <w:rsid w:val="00586209"/>
    <w:rsid w:val="00586C9D"/>
    <w:rsid w:val="00587CAE"/>
    <w:rsid w:val="00590EE0"/>
    <w:rsid w:val="005921E9"/>
    <w:rsid w:val="00592775"/>
    <w:rsid w:val="00593615"/>
    <w:rsid w:val="005939EC"/>
    <w:rsid w:val="00593F64"/>
    <w:rsid w:val="00594190"/>
    <w:rsid w:val="005942F4"/>
    <w:rsid w:val="00594632"/>
    <w:rsid w:val="0059550E"/>
    <w:rsid w:val="00596072"/>
    <w:rsid w:val="005A0B56"/>
    <w:rsid w:val="005A0EEB"/>
    <w:rsid w:val="005A13EA"/>
    <w:rsid w:val="005A1502"/>
    <w:rsid w:val="005A2AC0"/>
    <w:rsid w:val="005A3750"/>
    <w:rsid w:val="005A386C"/>
    <w:rsid w:val="005A458A"/>
    <w:rsid w:val="005A4B25"/>
    <w:rsid w:val="005A5B97"/>
    <w:rsid w:val="005A5F3C"/>
    <w:rsid w:val="005B1CB4"/>
    <w:rsid w:val="005B1E82"/>
    <w:rsid w:val="005B24D3"/>
    <w:rsid w:val="005B2DB3"/>
    <w:rsid w:val="005B38F9"/>
    <w:rsid w:val="005B4F08"/>
    <w:rsid w:val="005B517E"/>
    <w:rsid w:val="005B5535"/>
    <w:rsid w:val="005B6011"/>
    <w:rsid w:val="005B7AA5"/>
    <w:rsid w:val="005C1856"/>
    <w:rsid w:val="005C1FCA"/>
    <w:rsid w:val="005C2829"/>
    <w:rsid w:val="005C3A13"/>
    <w:rsid w:val="005C43D4"/>
    <w:rsid w:val="005C4FD3"/>
    <w:rsid w:val="005C5CF8"/>
    <w:rsid w:val="005C5DD2"/>
    <w:rsid w:val="005C7BBC"/>
    <w:rsid w:val="005D047A"/>
    <w:rsid w:val="005D091A"/>
    <w:rsid w:val="005D1324"/>
    <w:rsid w:val="005D1697"/>
    <w:rsid w:val="005D1A02"/>
    <w:rsid w:val="005D3001"/>
    <w:rsid w:val="005D59F9"/>
    <w:rsid w:val="005D5C3B"/>
    <w:rsid w:val="005D6C8F"/>
    <w:rsid w:val="005D6DFC"/>
    <w:rsid w:val="005E0419"/>
    <w:rsid w:val="005E31C2"/>
    <w:rsid w:val="005E3C08"/>
    <w:rsid w:val="005E5A52"/>
    <w:rsid w:val="005E5B1B"/>
    <w:rsid w:val="005E5D06"/>
    <w:rsid w:val="005E7C40"/>
    <w:rsid w:val="005F073E"/>
    <w:rsid w:val="005F2840"/>
    <w:rsid w:val="005F3539"/>
    <w:rsid w:val="005F754F"/>
    <w:rsid w:val="005F7A99"/>
    <w:rsid w:val="005F7AB4"/>
    <w:rsid w:val="00600ED9"/>
    <w:rsid w:val="00610424"/>
    <w:rsid w:val="00612164"/>
    <w:rsid w:val="00612197"/>
    <w:rsid w:val="00612819"/>
    <w:rsid w:val="00613D3F"/>
    <w:rsid w:val="00614BF5"/>
    <w:rsid w:val="00614C31"/>
    <w:rsid w:val="00616719"/>
    <w:rsid w:val="006167E6"/>
    <w:rsid w:val="00620BDD"/>
    <w:rsid w:val="00622397"/>
    <w:rsid w:val="00622DC1"/>
    <w:rsid w:val="00624639"/>
    <w:rsid w:val="00625E28"/>
    <w:rsid w:val="00630A08"/>
    <w:rsid w:val="00631DD1"/>
    <w:rsid w:val="006325FD"/>
    <w:rsid w:val="00632DB7"/>
    <w:rsid w:val="00636020"/>
    <w:rsid w:val="00636B73"/>
    <w:rsid w:val="00637415"/>
    <w:rsid w:val="00640D70"/>
    <w:rsid w:val="00641288"/>
    <w:rsid w:val="00643990"/>
    <w:rsid w:val="006454F4"/>
    <w:rsid w:val="006469C9"/>
    <w:rsid w:val="00647088"/>
    <w:rsid w:val="006476F5"/>
    <w:rsid w:val="00647CE0"/>
    <w:rsid w:val="0065011A"/>
    <w:rsid w:val="00651AD8"/>
    <w:rsid w:val="0065358F"/>
    <w:rsid w:val="006536D0"/>
    <w:rsid w:val="006538EF"/>
    <w:rsid w:val="00653D6C"/>
    <w:rsid w:val="00661CD2"/>
    <w:rsid w:val="00665319"/>
    <w:rsid w:val="006678C9"/>
    <w:rsid w:val="00670483"/>
    <w:rsid w:val="0067182C"/>
    <w:rsid w:val="0067328D"/>
    <w:rsid w:val="00676B30"/>
    <w:rsid w:val="00676CB6"/>
    <w:rsid w:val="00676F9C"/>
    <w:rsid w:val="006810FE"/>
    <w:rsid w:val="006826A2"/>
    <w:rsid w:val="00682D28"/>
    <w:rsid w:val="00682E6D"/>
    <w:rsid w:val="0068412E"/>
    <w:rsid w:val="00684F0E"/>
    <w:rsid w:val="00686C2E"/>
    <w:rsid w:val="00690939"/>
    <w:rsid w:val="00691218"/>
    <w:rsid w:val="00692328"/>
    <w:rsid w:val="00692600"/>
    <w:rsid w:val="006927D8"/>
    <w:rsid w:val="00692E3D"/>
    <w:rsid w:val="0069340D"/>
    <w:rsid w:val="00695393"/>
    <w:rsid w:val="00695865"/>
    <w:rsid w:val="006A0788"/>
    <w:rsid w:val="006A09DB"/>
    <w:rsid w:val="006A2A4C"/>
    <w:rsid w:val="006A3797"/>
    <w:rsid w:val="006A68EC"/>
    <w:rsid w:val="006A7D9B"/>
    <w:rsid w:val="006B0A21"/>
    <w:rsid w:val="006B1B1E"/>
    <w:rsid w:val="006B1C9F"/>
    <w:rsid w:val="006B460C"/>
    <w:rsid w:val="006B65E6"/>
    <w:rsid w:val="006B7378"/>
    <w:rsid w:val="006C0FD8"/>
    <w:rsid w:val="006C483F"/>
    <w:rsid w:val="006C68EC"/>
    <w:rsid w:val="006C7115"/>
    <w:rsid w:val="006C7C08"/>
    <w:rsid w:val="006D0200"/>
    <w:rsid w:val="006D0BF5"/>
    <w:rsid w:val="006D1656"/>
    <w:rsid w:val="006D336F"/>
    <w:rsid w:val="006D5EC4"/>
    <w:rsid w:val="006D6C36"/>
    <w:rsid w:val="006D6D2E"/>
    <w:rsid w:val="006E019D"/>
    <w:rsid w:val="006E0C1E"/>
    <w:rsid w:val="006E103C"/>
    <w:rsid w:val="006E12D4"/>
    <w:rsid w:val="006E1C99"/>
    <w:rsid w:val="006E2C3A"/>
    <w:rsid w:val="006E32CC"/>
    <w:rsid w:val="006E4269"/>
    <w:rsid w:val="006E503F"/>
    <w:rsid w:val="006E669C"/>
    <w:rsid w:val="006E7AAF"/>
    <w:rsid w:val="006F0142"/>
    <w:rsid w:val="006F07BB"/>
    <w:rsid w:val="006F23FB"/>
    <w:rsid w:val="006F4012"/>
    <w:rsid w:val="006F4B2C"/>
    <w:rsid w:val="006F623A"/>
    <w:rsid w:val="006F6541"/>
    <w:rsid w:val="006F68D1"/>
    <w:rsid w:val="006F72E8"/>
    <w:rsid w:val="007016DE"/>
    <w:rsid w:val="00702032"/>
    <w:rsid w:val="007028EE"/>
    <w:rsid w:val="00702D32"/>
    <w:rsid w:val="00703FD1"/>
    <w:rsid w:val="00711CA2"/>
    <w:rsid w:val="0071561D"/>
    <w:rsid w:val="0071674C"/>
    <w:rsid w:val="00716E71"/>
    <w:rsid w:val="007221B9"/>
    <w:rsid w:val="00723FA0"/>
    <w:rsid w:val="00723FD8"/>
    <w:rsid w:val="007264B9"/>
    <w:rsid w:val="007275F6"/>
    <w:rsid w:val="00727F50"/>
    <w:rsid w:val="00731394"/>
    <w:rsid w:val="00731F13"/>
    <w:rsid w:val="00733AB1"/>
    <w:rsid w:val="00737F9F"/>
    <w:rsid w:val="007418F6"/>
    <w:rsid w:val="00744650"/>
    <w:rsid w:val="00744CD9"/>
    <w:rsid w:val="00744E58"/>
    <w:rsid w:val="00745363"/>
    <w:rsid w:val="00745986"/>
    <w:rsid w:val="007510AB"/>
    <w:rsid w:val="0075192A"/>
    <w:rsid w:val="00752449"/>
    <w:rsid w:val="00752E31"/>
    <w:rsid w:val="00753700"/>
    <w:rsid w:val="00753DA3"/>
    <w:rsid w:val="00753FA8"/>
    <w:rsid w:val="00757950"/>
    <w:rsid w:val="007612A6"/>
    <w:rsid w:val="00762818"/>
    <w:rsid w:val="00762C75"/>
    <w:rsid w:val="00762FF2"/>
    <w:rsid w:val="0076545F"/>
    <w:rsid w:val="0076578D"/>
    <w:rsid w:val="007666CE"/>
    <w:rsid w:val="007676FC"/>
    <w:rsid w:val="007704B6"/>
    <w:rsid w:val="007716C3"/>
    <w:rsid w:val="007716E1"/>
    <w:rsid w:val="0077382A"/>
    <w:rsid w:val="00773FD2"/>
    <w:rsid w:val="00774472"/>
    <w:rsid w:val="007745B9"/>
    <w:rsid w:val="00774DED"/>
    <w:rsid w:val="007764B0"/>
    <w:rsid w:val="007773D7"/>
    <w:rsid w:val="0077750D"/>
    <w:rsid w:val="00777817"/>
    <w:rsid w:val="00780829"/>
    <w:rsid w:val="00781F40"/>
    <w:rsid w:val="00783D03"/>
    <w:rsid w:val="00783D1B"/>
    <w:rsid w:val="00784357"/>
    <w:rsid w:val="00785230"/>
    <w:rsid w:val="0078614A"/>
    <w:rsid w:val="007866B7"/>
    <w:rsid w:val="007872A3"/>
    <w:rsid w:val="007902E0"/>
    <w:rsid w:val="00790F4E"/>
    <w:rsid w:val="007911D3"/>
    <w:rsid w:val="00791303"/>
    <w:rsid w:val="00792657"/>
    <w:rsid w:val="00793B08"/>
    <w:rsid w:val="00795C36"/>
    <w:rsid w:val="007A04A0"/>
    <w:rsid w:val="007A0577"/>
    <w:rsid w:val="007A23DD"/>
    <w:rsid w:val="007A3AB0"/>
    <w:rsid w:val="007A3ECC"/>
    <w:rsid w:val="007A405C"/>
    <w:rsid w:val="007A51AA"/>
    <w:rsid w:val="007A561E"/>
    <w:rsid w:val="007A58E5"/>
    <w:rsid w:val="007A5C35"/>
    <w:rsid w:val="007A6849"/>
    <w:rsid w:val="007A7522"/>
    <w:rsid w:val="007A7E2E"/>
    <w:rsid w:val="007A7ECC"/>
    <w:rsid w:val="007B13A6"/>
    <w:rsid w:val="007B561D"/>
    <w:rsid w:val="007B64FE"/>
    <w:rsid w:val="007B78B1"/>
    <w:rsid w:val="007C4CF4"/>
    <w:rsid w:val="007C7225"/>
    <w:rsid w:val="007D2815"/>
    <w:rsid w:val="007D7D19"/>
    <w:rsid w:val="007E0724"/>
    <w:rsid w:val="007E15F0"/>
    <w:rsid w:val="007E1CCD"/>
    <w:rsid w:val="007E2354"/>
    <w:rsid w:val="007E2C9D"/>
    <w:rsid w:val="007E2D91"/>
    <w:rsid w:val="007E44BB"/>
    <w:rsid w:val="007E5527"/>
    <w:rsid w:val="007E65B8"/>
    <w:rsid w:val="007E6DF4"/>
    <w:rsid w:val="007F07E5"/>
    <w:rsid w:val="007F1055"/>
    <w:rsid w:val="007F3992"/>
    <w:rsid w:val="007F463C"/>
    <w:rsid w:val="007F4912"/>
    <w:rsid w:val="007F5845"/>
    <w:rsid w:val="007F68C2"/>
    <w:rsid w:val="007F7059"/>
    <w:rsid w:val="00801BBC"/>
    <w:rsid w:val="00802C10"/>
    <w:rsid w:val="00804716"/>
    <w:rsid w:val="00804D2E"/>
    <w:rsid w:val="008061B5"/>
    <w:rsid w:val="0081023C"/>
    <w:rsid w:val="00811BB4"/>
    <w:rsid w:val="00811E42"/>
    <w:rsid w:val="008138C2"/>
    <w:rsid w:val="00816E7E"/>
    <w:rsid w:val="0082001F"/>
    <w:rsid w:val="00820156"/>
    <w:rsid w:val="00820C79"/>
    <w:rsid w:val="00822B8C"/>
    <w:rsid w:val="00823603"/>
    <w:rsid w:val="0082375D"/>
    <w:rsid w:val="00827098"/>
    <w:rsid w:val="00827B2E"/>
    <w:rsid w:val="008323C1"/>
    <w:rsid w:val="00832C68"/>
    <w:rsid w:val="0083520E"/>
    <w:rsid w:val="008360C0"/>
    <w:rsid w:val="00837887"/>
    <w:rsid w:val="008404AA"/>
    <w:rsid w:val="00844C24"/>
    <w:rsid w:val="00844F40"/>
    <w:rsid w:val="00845452"/>
    <w:rsid w:val="008456D2"/>
    <w:rsid w:val="00845810"/>
    <w:rsid w:val="008462DB"/>
    <w:rsid w:val="00847B00"/>
    <w:rsid w:val="00852F21"/>
    <w:rsid w:val="00854241"/>
    <w:rsid w:val="00854B09"/>
    <w:rsid w:val="008554C9"/>
    <w:rsid w:val="0085661D"/>
    <w:rsid w:val="00857323"/>
    <w:rsid w:val="008573B2"/>
    <w:rsid w:val="0085775D"/>
    <w:rsid w:val="008602A9"/>
    <w:rsid w:val="00860E54"/>
    <w:rsid w:val="008618EE"/>
    <w:rsid w:val="0086309B"/>
    <w:rsid w:val="00864730"/>
    <w:rsid w:val="008651EC"/>
    <w:rsid w:val="00866696"/>
    <w:rsid w:val="00866C6C"/>
    <w:rsid w:val="00870E3F"/>
    <w:rsid w:val="0087154A"/>
    <w:rsid w:val="00875654"/>
    <w:rsid w:val="00875DB8"/>
    <w:rsid w:val="00876922"/>
    <w:rsid w:val="00876C64"/>
    <w:rsid w:val="008771F4"/>
    <w:rsid w:val="00881C33"/>
    <w:rsid w:val="00882CC9"/>
    <w:rsid w:val="008846B6"/>
    <w:rsid w:val="0088693D"/>
    <w:rsid w:val="00891A09"/>
    <w:rsid w:val="00892BE0"/>
    <w:rsid w:val="008932BF"/>
    <w:rsid w:val="00893501"/>
    <w:rsid w:val="00896420"/>
    <w:rsid w:val="00897220"/>
    <w:rsid w:val="00897A98"/>
    <w:rsid w:val="008A060A"/>
    <w:rsid w:val="008A287B"/>
    <w:rsid w:val="008A2964"/>
    <w:rsid w:val="008A2A97"/>
    <w:rsid w:val="008A485E"/>
    <w:rsid w:val="008A4C02"/>
    <w:rsid w:val="008A5E3B"/>
    <w:rsid w:val="008A6626"/>
    <w:rsid w:val="008A66E3"/>
    <w:rsid w:val="008B0F0B"/>
    <w:rsid w:val="008B1CEF"/>
    <w:rsid w:val="008B38F5"/>
    <w:rsid w:val="008B6174"/>
    <w:rsid w:val="008B6F62"/>
    <w:rsid w:val="008C2C09"/>
    <w:rsid w:val="008C2F19"/>
    <w:rsid w:val="008C441F"/>
    <w:rsid w:val="008C4580"/>
    <w:rsid w:val="008C4E38"/>
    <w:rsid w:val="008C5DE3"/>
    <w:rsid w:val="008C65BA"/>
    <w:rsid w:val="008C6B89"/>
    <w:rsid w:val="008D1781"/>
    <w:rsid w:val="008D260A"/>
    <w:rsid w:val="008D3A0A"/>
    <w:rsid w:val="008D3E1A"/>
    <w:rsid w:val="008D4274"/>
    <w:rsid w:val="008D48DB"/>
    <w:rsid w:val="008D7CC3"/>
    <w:rsid w:val="008E54F8"/>
    <w:rsid w:val="008E6452"/>
    <w:rsid w:val="008E6DD7"/>
    <w:rsid w:val="008E74F0"/>
    <w:rsid w:val="008E7655"/>
    <w:rsid w:val="008E78FF"/>
    <w:rsid w:val="008F17BC"/>
    <w:rsid w:val="008F2546"/>
    <w:rsid w:val="008F48FE"/>
    <w:rsid w:val="008F6528"/>
    <w:rsid w:val="008F693F"/>
    <w:rsid w:val="008F6FB9"/>
    <w:rsid w:val="009002C2"/>
    <w:rsid w:val="0090174C"/>
    <w:rsid w:val="00901A7C"/>
    <w:rsid w:val="0090262D"/>
    <w:rsid w:val="009042D4"/>
    <w:rsid w:val="00904964"/>
    <w:rsid w:val="00906E0A"/>
    <w:rsid w:val="00906E78"/>
    <w:rsid w:val="009110A1"/>
    <w:rsid w:val="00912333"/>
    <w:rsid w:val="00912B8C"/>
    <w:rsid w:val="00912F50"/>
    <w:rsid w:val="00914439"/>
    <w:rsid w:val="00914B20"/>
    <w:rsid w:val="00916BDC"/>
    <w:rsid w:val="00917C89"/>
    <w:rsid w:val="009222D3"/>
    <w:rsid w:val="00922628"/>
    <w:rsid w:val="009228BE"/>
    <w:rsid w:val="00922A47"/>
    <w:rsid w:val="0092328F"/>
    <w:rsid w:val="00923B05"/>
    <w:rsid w:val="009263D8"/>
    <w:rsid w:val="00926992"/>
    <w:rsid w:val="009270E3"/>
    <w:rsid w:val="009272E2"/>
    <w:rsid w:val="009302BD"/>
    <w:rsid w:val="0093071B"/>
    <w:rsid w:val="00930A35"/>
    <w:rsid w:val="00932446"/>
    <w:rsid w:val="00934588"/>
    <w:rsid w:val="0094006C"/>
    <w:rsid w:val="009403FB"/>
    <w:rsid w:val="00941F80"/>
    <w:rsid w:val="009423F9"/>
    <w:rsid w:val="00943CA6"/>
    <w:rsid w:val="00944CEF"/>
    <w:rsid w:val="009452E5"/>
    <w:rsid w:val="0094605E"/>
    <w:rsid w:val="00946BF1"/>
    <w:rsid w:val="00946F09"/>
    <w:rsid w:val="00950A0E"/>
    <w:rsid w:val="00951B07"/>
    <w:rsid w:val="00952E59"/>
    <w:rsid w:val="00956424"/>
    <w:rsid w:val="00960783"/>
    <w:rsid w:val="00966483"/>
    <w:rsid w:val="0096786E"/>
    <w:rsid w:val="009706BE"/>
    <w:rsid w:val="00970AE0"/>
    <w:rsid w:val="00971416"/>
    <w:rsid w:val="009734BB"/>
    <w:rsid w:val="0097371C"/>
    <w:rsid w:val="009739FA"/>
    <w:rsid w:val="00974B6F"/>
    <w:rsid w:val="0097537C"/>
    <w:rsid w:val="0097588C"/>
    <w:rsid w:val="00980960"/>
    <w:rsid w:val="00981FB4"/>
    <w:rsid w:val="009828DC"/>
    <w:rsid w:val="00982BFA"/>
    <w:rsid w:val="00982D25"/>
    <w:rsid w:val="00982EEE"/>
    <w:rsid w:val="009842B5"/>
    <w:rsid w:val="0098431C"/>
    <w:rsid w:val="009847AD"/>
    <w:rsid w:val="00984B34"/>
    <w:rsid w:val="00985519"/>
    <w:rsid w:val="0098690D"/>
    <w:rsid w:val="0098788E"/>
    <w:rsid w:val="00995218"/>
    <w:rsid w:val="009970F5"/>
    <w:rsid w:val="00997AB2"/>
    <w:rsid w:val="009A0468"/>
    <w:rsid w:val="009A2006"/>
    <w:rsid w:val="009A46F8"/>
    <w:rsid w:val="009A5271"/>
    <w:rsid w:val="009A5D3B"/>
    <w:rsid w:val="009A63AF"/>
    <w:rsid w:val="009A6510"/>
    <w:rsid w:val="009B17DA"/>
    <w:rsid w:val="009B369F"/>
    <w:rsid w:val="009B5725"/>
    <w:rsid w:val="009B7285"/>
    <w:rsid w:val="009C0A87"/>
    <w:rsid w:val="009C10C5"/>
    <w:rsid w:val="009C1B83"/>
    <w:rsid w:val="009C2045"/>
    <w:rsid w:val="009C4B3E"/>
    <w:rsid w:val="009C5CDC"/>
    <w:rsid w:val="009C6422"/>
    <w:rsid w:val="009C7296"/>
    <w:rsid w:val="009D02B3"/>
    <w:rsid w:val="009D04A0"/>
    <w:rsid w:val="009D11F8"/>
    <w:rsid w:val="009D2CDC"/>
    <w:rsid w:val="009D4340"/>
    <w:rsid w:val="009D4BD3"/>
    <w:rsid w:val="009D5F26"/>
    <w:rsid w:val="009D7412"/>
    <w:rsid w:val="009E03E7"/>
    <w:rsid w:val="009E0536"/>
    <w:rsid w:val="009E1256"/>
    <w:rsid w:val="009E44CF"/>
    <w:rsid w:val="009E678B"/>
    <w:rsid w:val="009F17C7"/>
    <w:rsid w:val="009F20A7"/>
    <w:rsid w:val="009F5C27"/>
    <w:rsid w:val="009F6EEC"/>
    <w:rsid w:val="00A0067C"/>
    <w:rsid w:val="00A01365"/>
    <w:rsid w:val="00A02F8E"/>
    <w:rsid w:val="00A0329F"/>
    <w:rsid w:val="00A06548"/>
    <w:rsid w:val="00A12160"/>
    <w:rsid w:val="00A12874"/>
    <w:rsid w:val="00A1402C"/>
    <w:rsid w:val="00A144A0"/>
    <w:rsid w:val="00A14BC0"/>
    <w:rsid w:val="00A1501E"/>
    <w:rsid w:val="00A16178"/>
    <w:rsid w:val="00A16332"/>
    <w:rsid w:val="00A202C7"/>
    <w:rsid w:val="00A24121"/>
    <w:rsid w:val="00A24A6C"/>
    <w:rsid w:val="00A2693F"/>
    <w:rsid w:val="00A271CF"/>
    <w:rsid w:val="00A30ABE"/>
    <w:rsid w:val="00A34DB9"/>
    <w:rsid w:val="00A35B20"/>
    <w:rsid w:val="00A360D8"/>
    <w:rsid w:val="00A36911"/>
    <w:rsid w:val="00A41B2E"/>
    <w:rsid w:val="00A42150"/>
    <w:rsid w:val="00A433DF"/>
    <w:rsid w:val="00A4374E"/>
    <w:rsid w:val="00A437A5"/>
    <w:rsid w:val="00A44282"/>
    <w:rsid w:val="00A44938"/>
    <w:rsid w:val="00A44D27"/>
    <w:rsid w:val="00A4713F"/>
    <w:rsid w:val="00A504CA"/>
    <w:rsid w:val="00A506B5"/>
    <w:rsid w:val="00A51E26"/>
    <w:rsid w:val="00A52541"/>
    <w:rsid w:val="00A53383"/>
    <w:rsid w:val="00A56372"/>
    <w:rsid w:val="00A56608"/>
    <w:rsid w:val="00A56779"/>
    <w:rsid w:val="00A56888"/>
    <w:rsid w:val="00A56BFE"/>
    <w:rsid w:val="00A56C78"/>
    <w:rsid w:val="00A61910"/>
    <w:rsid w:val="00A642A4"/>
    <w:rsid w:val="00A648D2"/>
    <w:rsid w:val="00A64938"/>
    <w:rsid w:val="00A65C97"/>
    <w:rsid w:val="00A65C9D"/>
    <w:rsid w:val="00A71E42"/>
    <w:rsid w:val="00A726E8"/>
    <w:rsid w:val="00A736A9"/>
    <w:rsid w:val="00A74EB8"/>
    <w:rsid w:val="00A75DAB"/>
    <w:rsid w:val="00A75E1F"/>
    <w:rsid w:val="00A765B2"/>
    <w:rsid w:val="00A80762"/>
    <w:rsid w:val="00A812C8"/>
    <w:rsid w:val="00A82FF7"/>
    <w:rsid w:val="00A85385"/>
    <w:rsid w:val="00A876EC"/>
    <w:rsid w:val="00A879E7"/>
    <w:rsid w:val="00A9037C"/>
    <w:rsid w:val="00A90E8B"/>
    <w:rsid w:val="00A9120D"/>
    <w:rsid w:val="00A915D6"/>
    <w:rsid w:val="00A91740"/>
    <w:rsid w:val="00A94832"/>
    <w:rsid w:val="00A951D9"/>
    <w:rsid w:val="00A955BE"/>
    <w:rsid w:val="00A9623D"/>
    <w:rsid w:val="00A973C6"/>
    <w:rsid w:val="00AA077F"/>
    <w:rsid w:val="00AA199F"/>
    <w:rsid w:val="00AA1CB7"/>
    <w:rsid w:val="00AA25B2"/>
    <w:rsid w:val="00AA43CE"/>
    <w:rsid w:val="00AA4BC4"/>
    <w:rsid w:val="00AA5BA7"/>
    <w:rsid w:val="00AA5EDE"/>
    <w:rsid w:val="00AA7137"/>
    <w:rsid w:val="00AA77C5"/>
    <w:rsid w:val="00AB349C"/>
    <w:rsid w:val="00AC03C9"/>
    <w:rsid w:val="00AC12F7"/>
    <w:rsid w:val="00AC2C41"/>
    <w:rsid w:val="00AC394D"/>
    <w:rsid w:val="00AC3E09"/>
    <w:rsid w:val="00AC48F4"/>
    <w:rsid w:val="00AC7CE0"/>
    <w:rsid w:val="00AD1285"/>
    <w:rsid w:val="00AD217A"/>
    <w:rsid w:val="00AD2436"/>
    <w:rsid w:val="00AD24FC"/>
    <w:rsid w:val="00AD3990"/>
    <w:rsid w:val="00AD5796"/>
    <w:rsid w:val="00AD619F"/>
    <w:rsid w:val="00AD6595"/>
    <w:rsid w:val="00AD674C"/>
    <w:rsid w:val="00AD6E6C"/>
    <w:rsid w:val="00AE0B9E"/>
    <w:rsid w:val="00AE38BC"/>
    <w:rsid w:val="00AE4383"/>
    <w:rsid w:val="00AE704A"/>
    <w:rsid w:val="00AE7B37"/>
    <w:rsid w:val="00AF13F2"/>
    <w:rsid w:val="00AF1C47"/>
    <w:rsid w:val="00AF2593"/>
    <w:rsid w:val="00AF2696"/>
    <w:rsid w:val="00AF317A"/>
    <w:rsid w:val="00AF358A"/>
    <w:rsid w:val="00AF6941"/>
    <w:rsid w:val="00AF7D84"/>
    <w:rsid w:val="00B0075B"/>
    <w:rsid w:val="00B029BE"/>
    <w:rsid w:val="00B045F3"/>
    <w:rsid w:val="00B04BEE"/>
    <w:rsid w:val="00B05043"/>
    <w:rsid w:val="00B0538B"/>
    <w:rsid w:val="00B055A7"/>
    <w:rsid w:val="00B064B4"/>
    <w:rsid w:val="00B068C1"/>
    <w:rsid w:val="00B145FB"/>
    <w:rsid w:val="00B147E2"/>
    <w:rsid w:val="00B14C0F"/>
    <w:rsid w:val="00B154E6"/>
    <w:rsid w:val="00B15E7E"/>
    <w:rsid w:val="00B20455"/>
    <w:rsid w:val="00B225E4"/>
    <w:rsid w:val="00B25711"/>
    <w:rsid w:val="00B3178A"/>
    <w:rsid w:val="00B318B5"/>
    <w:rsid w:val="00B31A55"/>
    <w:rsid w:val="00B3240E"/>
    <w:rsid w:val="00B32EB5"/>
    <w:rsid w:val="00B331DF"/>
    <w:rsid w:val="00B343BE"/>
    <w:rsid w:val="00B351E4"/>
    <w:rsid w:val="00B37213"/>
    <w:rsid w:val="00B40F73"/>
    <w:rsid w:val="00B43590"/>
    <w:rsid w:val="00B43671"/>
    <w:rsid w:val="00B44963"/>
    <w:rsid w:val="00B44E76"/>
    <w:rsid w:val="00B46A1B"/>
    <w:rsid w:val="00B517EB"/>
    <w:rsid w:val="00B529B3"/>
    <w:rsid w:val="00B535A4"/>
    <w:rsid w:val="00B53799"/>
    <w:rsid w:val="00B5513F"/>
    <w:rsid w:val="00B56B01"/>
    <w:rsid w:val="00B56CE1"/>
    <w:rsid w:val="00B57916"/>
    <w:rsid w:val="00B60641"/>
    <w:rsid w:val="00B61CAB"/>
    <w:rsid w:val="00B627A0"/>
    <w:rsid w:val="00B62E34"/>
    <w:rsid w:val="00B63B1E"/>
    <w:rsid w:val="00B64161"/>
    <w:rsid w:val="00B671AC"/>
    <w:rsid w:val="00B70541"/>
    <w:rsid w:val="00B708DA"/>
    <w:rsid w:val="00B7098C"/>
    <w:rsid w:val="00B70E5A"/>
    <w:rsid w:val="00B72730"/>
    <w:rsid w:val="00B804F2"/>
    <w:rsid w:val="00B8241C"/>
    <w:rsid w:val="00B83523"/>
    <w:rsid w:val="00B84121"/>
    <w:rsid w:val="00B84558"/>
    <w:rsid w:val="00B849D5"/>
    <w:rsid w:val="00B85848"/>
    <w:rsid w:val="00B85B2B"/>
    <w:rsid w:val="00B901E8"/>
    <w:rsid w:val="00B90654"/>
    <w:rsid w:val="00B91DC0"/>
    <w:rsid w:val="00B921E7"/>
    <w:rsid w:val="00B928A0"/>
    <w:rsid w:val="00B929DC"/>
    <w:rsid w:val="00B940DC"/>
    <w:rsid w:val="00BA02E9"/>
    <w:rsid w:val="00BA09BD"/>
    <w:rsid w:val="00BA184A"/>
    <w:rsid w:val="00BA2508"/>
    <w:rsid w:val="00BA289E"/>
    <w:rsid w:val="00BA50CA"/>
    <w:rsid w:val="00BA5DC7"/>
    <w:rsid w:val="00BA62F8"/>
    <w:rsid w:val="00BA646E"/>
    <w:rsid w:val="00BA7439"/>
    <w:rsid w:val="00BB02C9"/>
    <w:rsid w:val="00BB02D4"/>
    <w:rsid w:val="00BB3EB5"/>
    <w:rsid w:val="00BB70DC"/>
    <w:rsid w:val="00BB7536"/>
    <w:rsid w:val="00BC1AE2"/>
    <w:rsid w:val="00BC1FA5"/>
    <w:rsid w:val="00BC3E8C"/>
    <w:rsid w:val="00BC58C2"/>
    <w:rsid w:val="00BC61AE"/>
    <w:rsid w:val="00BC7859"/>
    <w:rsid w:val="00BD0A9F"/>
    <w:rsid w:val="00BD1BA4"/>
    <w:rsid w:val="00BD1CEE"/>
    <w:rsid w:val="00BD3036"/>
    <w:rsid w:val="00BD403E"/>
    <w:rsid w:val="00BD59F4"/>
    <w:rsid w:val="00BD606A"/>
    <w:rsid w:val="00BD6DD6"/>
    <w:rsid w:val="00BD7C20"/>
    <w:rsid w:val="00BE00E1"/>
    <w:rsid w:val="00BE2131"/>
    <w:rsid w:val="00BE23F8"/>
    <w:rsid w:val="00BE53D0"/>
    <w:rsid w:val="00BE6D12"/>
    <w:rsid w:val="00BF0347"/>
    <w:rsid w:val="00BF0CAA"/>
    <w:rsid w:val="00BF0EA2"/>
    <w:rsid w:val="00BF101A"/>
    <w:rsid w:val="00BF33B2"/>
    <w:rsid w:val="00BF4504"/>
    <w:rsid w:val="00BF4A60"/>
    <w:rsid w:val="00BF6D55"/>
    <w:rsid w:val="00BF751B"/>
    <w:rsid w:val="00C01488"/>
    <w:rsid w:val="00C01758"/>
    <w:rsid w:val="00C020CD"/>
    <w:rsid w:val="00C037DA"/>
    <w:rsid w:val="00C04282"/>
    <w:rsid w:val="00C04326"/>
    <w:rsid w:val="00C044C0"/>
    <w:rsid w:val="00C0454F"/>
    <w:rsid w:val="00C04A3A"/>
    <w:rsid w:val="00C06137"/>
    <w:rsid w:val="00C073DB"/>
    <w:rsid w:val="00C07952"/>
    <w:rsid w:val="00C10B5E"/>
    <w:rsid w:val="00C13E68"/>
    <w:rsid w:val="00C14767"/>
    <w:rsid w:val="00C14DEC"/>
    <w:rsid w:val="00C15274"/>
    <w:rsid w:val="00C15D1A"/>
    <w:rsid w:val="00C17A98"/>
    <w:rsid w:val="00C23260"/>
    <w:rsid w:val="00C25AD2"/>
    <w:rsid w:val="00C2646E"/>
    <w:rsid w:val="00C30869"/>
    <w:rsid w:val="00C320BB"/>
    <w:rsid w:val="00C35E15"/>
    <w:rsid w:val="00C35E82"/>
    <w:rsid w:val="00C36AD3"/>
    <w:rsid w:val="00C37124"/>
    <w:rsid w:val="00C417A2"/>
    <w:rsid w:val="00C42D64"/>
    <w:rsid w:val="00C43113"/>
    <w:rsid w:val="00C43771"/>
    <w:rsid w:val="00C442E6"/>
    <w:rsid w:val="00C447EC"/>
    <w:rsid w:val="00C44AB1"/>
    <w:rsid w:val="00C46ADD"/>
    <w:rsid w:val="00C47A7D"/>
    <w:rsid w:val="00C47C43"/>
    <w:rsid w:val="00C47D95"/>
    <w:rsid w:val="00C5165D"/>
    <w:rsid w:val="00C517A8"/>
    <w:rsid w:val="00C52D35"/>
    <w:rsid w:val="00C54053"/>
    <w:rsid w:val="00C56C13"/>
    <w:rsid w:val="00C611BE"/>
    <w:rsid w:val="00C61A33"/>
    <w:rsid w:val="00C61F8D"/>
    <w:rsid w:val="00C63BDA"/>
    <w:rsid w:val="00C654FB"/>
    <w:rsid w:val="00C6684B"/>
    <w:rsid w:val="00C67AA6"/>
    <w:rsid w:val="00C715C6"/>
    <w:rsid w:val="00C727C4"/>
    <w:rsid w:val="00C773B2"/>
    <w:rsid w:val="00C80924"/>
    <w:rsid w:val="00C81524"/>
    <w:rsid w:val="00C8248A"/>
    <w:rsid w:val="00C833E7"/>
    <w:rsid w:val="00C856CD"/>
    <w:rsid w:val="00C86DE1"/>
    <w:rsid w:val="00C87264"/>
    <w:rsid w:val="00C876F2"/>
    <w:rsid w:val="00C93E25"/>
    <w:rsid w:val="00C95279"/>
    <w:rsid w:val="00C95F47"/>
    <w:rsid w:val="00C9673D"/>
    <w:rsid w:val="00CA012E"/>
    <w:rsid w:val="00CA1DD6"/>
    <w:rsid w:val="00CA493F"/>
    <w:rsid w:val="00CB1FCE"/>
    <w:rsid w:val="00CB264C"/>
    <w:rsid w:val="00CB2CA0"/>
    <w:rsid w:val="00CB325E"/>
    <w:rsid w:val="00CB50FA"/>
    <w:rsid w:val="00CB7E20"/>
    <w:rsid w:val="00CC0483"/>
    <w:rsid w:val="00CC2BEB"/>
    <w:rsid w:val="00CC3802"/>
    <w:rsid w:val="00CC40F2"/>
    <w:rsid w:val="00CC5D74"/>
    <w:rsid w:val="00CC648D"/>
    <w:rsid w:val="00CC69C4"/>
    <w:rsid w:val="00CD09A2"/>
    <w:rsid w:val="00CD17A9"/>
    <w:rsid w:val="00CD7DD3"/>
    <w:rsid w:val="00CE014C"/>
    <w:rsid w:val="00CE1311"/>
    <w:rsid w:val="00CE2638"/>
    <w:rsid w:val="00CE5F4F"/>
    <w:rsid w:val="00CF4FB8"/>
    <w:rsid w:val="00CF70E3"/>
    <w:rsid w:val="00CF7F7D"/>
    <w:rsid w:val="00D019CD"/>
    <w:rsid w:val="00D01ACC"/>
    <w:rsid w:val="00D02826"/>
    <w:rsid w:val="00D02CDE"/>
    <w:rsid w:val="00D03484"/>
    <w:rsid w:val="00D04F27"/>
    <w:rsid w:val="00D07663"/>
    <w:rsid w:val="00D1053B"/>
    <w:rsid w:val="00D10D19"/>
    <w:rsid w:val="00D111CF"/>
    <w:rsid w:val="00D1182F"/>
    <w:rsid w:val="00D11982"/>
    <w:rsid w:val="00D125F9"/>
    <w:rsid w:val="00D132A8"/>
    <w:rsid w:val="00D14D12"/>
    <w:rsid w:val="00D15434"/>
    <w:rsid w:val="00D1697A"/>
    <w:rsid w:val="00D17AF1"/>
    <w:rsid w:val="00D21AD4"/>
    <w:rsid w:val="00D225B6"/>
    <w:rsid w:val="00D23D39"/>
    <w:rsid w:val="00D27607"/>
    <w:rsid w:val="00D302FC"/>
    <w:rsid w:val="00D30C4A"/>
    <w:rsid w:val="00D30E92"/>
    <w:rsid w:val="00D30FA1"/>
    <w:rsid w:val="00D313AC"/>
    <w:rsid w:val="00D339D3"/>
    <w:rsid w:val="00D347D4"/>
    <w:rsid w:val="00D369F5"/>
    <w:rsid w:val="00D370D4"/>
    <w:rsid w:val="00D3752D"/>
    <w:rsid w:val="00D40977"/>
    <w:rsid w:val="00D40A45"/>
    <w:rsid w:val="00D41128"/>
    <w:rsid w:val="00D41300"/>
    <w:rsid w:val="00D4264E"/>
    <w:rsid w:val="00D42F2B"/>
    <w:rsid w:val="00D434D2"/>
    <w:rsid w:val="00D459CC"/>
    <w:rsid w:val="00D45BDB"/>
    <w:rsid w:val="00D5263C"/>
    <w:rsid w:val="00D5625F"/>
    <w:rsid w:val="00D60EE1"/>
    <w:rsid w:val="00D6105E"/>
    <w:rsid w:val="00D65D66"/>
    <w:rsid w:val="00D668B3"/>
    <w:rsid w:val="00D66B32"/>
    <w:rsid w:val="00D66BBA"/>
    <w:rsid w:val="00D676EB"/>
    <w:rsid w:val="00D67A85"/>
    <w:rsid w:val="00D7016C"/>
    <w:rsid w:val="00D70469"/>
    <w:rsid w:val="00D7076A"/>
    <w:rsid w:val="00D73791"/>
    <w:rsid w:val="00D739F7"/>
    <w:rsid w:val="00D750CD"/>
    <w:rsid w:val="00D756AB"/>
    <w:rsid w:val="00D76211"/>
    <w:rsid w:val="00D76970"/>
    <w:rsid w:val="00D8073F"/>
    <w:rsid w:val="00D826AB"/>
    <w:rsid w:val="00D83F22"/>
    <w:rsid w:val="00D8452F"/>
    <w:rsid w:val="00D84747"/>
    <w:rsid w:val="00D84E5E"/>
    <w:rsid w:val="00D860D4"/>
    <w:rsid w:val="00D86586"/>
    <w:rsid w:val="00D86A4F"/>
    <w:rsid w:val="00D877E9"/>
    <w:rsid w:val="00D87C7B"/>
    <w:rsid w:val="00D91E94"/>
    <w:rsid w:val="00D92379"/>
    <w:rsid w:val="00D92928"/>
    <w:rsid w:val="00D92D65"/>
    <w:rsid w:val="00D93512"/>
    <w:rsid w:val="00D94E8D"/>
    <w:rsid w:val="00DA4BBB"/>
    <w:rsid w:val="00DA520A"/>
    <w:rsid w:val="00DA53E4"/>
    <w:rsid w:val="00DA5CE8"/>
    <w:rsid w:val="00DA6A31"/>
    <w:rsid w:val="00DB0ED8"/>
    <w:rsid w:val="00DB1823"/>
    <w:rsid w:val="00DB313A"/>
    <w:rsid w:val="00DB4F8D"/>
    <w:rsid w:val="00DB522D"/>
    <w:rsid w:val="00DB6205"/>
    <w:rsid w:val="00DB6FA8"/>
    <w:rsid w:val="00DB7CDE"/>
    <w:rsid w:val="00DC1788"/>
    <w:rsid w:val="00DC37C0"/>
    <w:rsid w:val="00DC4733"/>
    <w:rsid w:val="00DC5451"/>
    <w:rsid w:val="00DC604E"/>
    <w:rsid w:val="00DC63C4"/>
    <w:rsid w:val="00DD09CF"/>
    <w:rsid w:val="00DD132A"/>
    <w:rsid w:val="00DD1D88"/>
    <w:rsid w:val="00DD2126"/>
    <w:rsid w:val="00DD228D"/>
    <w:rsid w:val="00DD3988"/>
    <w:rsid w:val="00DE03C7"/>
    <w:rsid w:val="00DE52CA"/>
    <w:rsid w:val="00DE535F"/>
    <w:rsid w:val="00DE5E75"/>
    <w:rsid w:val="00DF09C8"/>
    <w:rsid w:val="00DF10D4"/>
    <w:rsid w:val="00DF1ECE"/>
    <w:rsid w:val="00DF297F"/>
    <w:rsid w:val="00DF2CDC"/>
    <w:rsid w:val="00DF4171"/>
    <w:rsid w:val="00DF54AB"/>
    <w:rsid w:val="00DF7F03"/>
    <w:rsid w:val="00E00E59"/>
    <w:rsid w:val="00E01A34"/>
    <w:rsid w:val="00E030DB"/>
    <w:rsid w:val="00E036CA"/>
    <w:rsid w:val="00E05382"/>
    <w:rsid w:val="00E05D34"/>
    <w:rsid w:val="00E06AD1"/>
    <w:rsid w:val="00E10674"/>
    <w:rsid w:val="00E12DC8"/>
    <w:rsid w:val="00E12F4A"/>
    <w:rsid w:val="00E14436"/>
    <w:rsid w:val="00E14D3D"/>
    <w:rsid w:val="00E151FF"/>
    <w:rsid w:val="00E15C68"/>
    <w:rsid w:val="00E16604"/>
    <w:rsid w:val="00E17CE3"/>
    <w:rsid w:val="00E23358"/>
    <w:rsid w:val="00E244EA"/>
    <w:rsid w:val="00E25C27"/>
    <w:rsid w:val="00E31309"/>
    <w:rsid w:val="00E3319F"/>
    <w:rsid w:val="00E331CC"/>
    <w:rsid w:val="00E35B87"/>
    <w:rsid w:val="00E35C26"/>
    <w:rsid w:val="00E3603B"/>
    <w:rsid w:val="00E36223"/>
    <w:rsid w:val="00E36BA4"/>
    <w:rsid w:val="00E40963"/>
    <w:rsid w:val="00E416A9"/>
    <w:rsid w:val="00E4290A"/>
    <w:rsid w:val="00E45570"/>
    <w:rsid w:val="00E46229"/>
    <w:rsid w:val="00E466A5"/>
    <w:rsid w:val="00E52736"/>
    <w:rsid w:val="00E53809"/>
    <w:rsid w:val="00E53F49"/>
    <w:rsid w:val="00E5401F"/>
    <w:rsid w:val="00E56D48"/>
    <w:rsid w:val="00E57B4E"/>
    <w:rsid w:val="00E57DCA"/>
    <w:rsid w:val="00E649C6"/>
    <w:rsid w:val="00E66D45"/>
    <w:rsid w:val="00E7046A"/>
    <w:rsid w:val="00E7138A"/>
    <w:rsid w:val="00E72162"/>
    <w:rsid w:val="00E73C3F"/>
    <w:rsid w:val="00E757E5"/>
    <w:rsid w:val="00E759F8"/>
    <w:rsid w:val="00E7624F"/>
    <w:rsid w:val="00E762DC"/>
    <w:rsid w:val="00E77098"/>
    <w:rsid w:val="00E77632"/>
    <w:rsid w:val="00E779A5"/>
    <w:rsid w:val="00E77A59"/>
    <w:rsid w:val="00E80826"/>
    <w:rsid w:val="00E81075"/>
    <w:rsid w:val="00E81965"/>
    <w:rsid w:val="00E82753"/>
    <w:rsid w:val="00E83C1D"/>
    <w:rsid w:val="00E8420B"/>
    <w:rsid w:val="00E84475"/>
    <w:rsid w:val="00E855A2"/>
    <w:rsid w:val="00E856D9"/>
    <w:rsid w:val="00E90996"/>
    <w:rsid w:val="00E92E2A"/>
    <w:rsid w:val="00E933B9"/>
    <w:rsid w:val="00EA072D"/>
    <w:rsid w:val="00EA1092"/>
    <w:rsid w:val="00EA276E"/>
    <w:rsid w:val="00EA4120"/>
    <w:rsid w:val="00EA4264"/>
    <w:rsid w:val="00EA5ACD"/>
    <w:rsid w:val="00EA7D4B"/>
    <w:rsid w:val="00EB1882"/>
    <w:rsid w:val="00EB45D1"/>
    <w:rsid w:val="00EB710C"/>
    <w:rsid w:val="00EB710E"/>
    <w:rsid w:val="00EC013D"/>
    <w:rsid w:val="00EC0157"/>
    <w:rsid w:val="00EC0598"/>
    <w:rsid w:val="00EC21FF"/>
    <w:rsid w:val="00EC38C6"/>
    <w:rsid w:val="00EC4FCE"/>
    <w:rsid w:val="00ED19BC"/>
    <w:rsid w:val="00ED1A1E"/>
    <w:rsid w:val="00ED2D2C"/>
    <w:rsid w:val="00ED424A"/>
    <w:rsid w:val="00ED4C76"/>
    <w:rsid w:val="00ED4D27"/>
    <w:rsid w:val="00ED51D9"/>
    <w:rsid w:val="00ED7D35"/>
    <w:rsid w:val="00EE22BC"/>
    <w:rsid w:val="00EE2950"/>
    <w:rsid w:val="00EE35D2"/>
    <w:rsid w:val="00EE3C02"/>
    <w:rsid w:val="00EE44E9"/>
    <w:rsid w:val="00EE4A64"/>
    <w:rsid w:val="00EE69FE"/>
    <w:rsid w:val="00EE7C8A"/>
    <w:rsid w:val="00EF1AB5"/>
    <w:rsid w:val="00EF2D53"/>
    <w:rsid w:val="00EF3668"/>
    <w:rsid w:val="00EF4DB2"/>
    <w:rsid w:val="00EF4ED4"/>
    <w:rsid w:val="00EF6947"/>
    <w:rsid w:val="00EF7EDE"/>
    <w:rsid w:val="00F01535"/>
    <w:rsid w:val="00F0158B"/>
    <w:rsid w:val="00F040B0"/>
    <w:rsid w:val="00F05327"/>
    <w:rsid w:val="00F07AEC"/>
    <w:rsid w:val="00F1343A"/>
    <w:rsid w:val="00F15F40"/>
    <w:rsid w:val="00F20131"/>
    <w:rsid w:val="00F215B5"/>
    <w:rsid w:val="00F21AB7"/>
    <w:rsid w:val="00F21E8A"/>
    <w:rsid w:val="00F22114"/>
    <w:rsid w:val="00F22201"/>
    <w:rsid w:val="00F2419C"/>
    <w:rsid w:val="00F26242"/>
    <w:rsid w:val="00F27453"/>
    <w:rsid w:val="00F303F1"/>
    <w:rsid w:val="00F3163D"/>
    <w:rsid w:val="00F31F9A"/>
    <w:rsid w:val="00F3230B"/>
    <w:rsid w:val="00F33CA9"/>
    <w:rsid w:val="00F35FD2"/>
    <w:rsid w:val="00F36E20"/>
    <w:rsid w:val="00F43A0A"/>
    <w:rsid w:val="00F43F73"/>
    <w:rsid w:val="00F44C0B"/>
    <w:rsid w:val="00F45ACE"/>
    <w:rsid w:val="00F46F87"/>
    <w:rsid w:val="00F5077F"/>
    <w:rsid w:val="00F51947"/>
    <w:rsid w:val="00F51C2E"/>
    <w:rsid w:val="00F53A72"/>
    <w:rsid w:val="00F61783"/>
    <w:rsid w:val="00F61CB5"/>
    <w:rsid w:val="00F6301C"/>
    <w:rsid w:val="00F638BF"/>
    <w:rsid w:val="00F63D8B"/>
    <w:rsid w:val="00F64598"/>
    <w:rsid w:val="00F65439"/>
    <w:rsid w:val="00F65B62"/>
    <w:rsid w:val="00F66366"/>
    <w:rsid w:val="00F67DB0"/>
    <w:rsid w:val="00F7168F"/>
    <w:rsid w:val="00F722DD"/>
    <w:rsid w:val="00F72735"/>
    <w:rsid w:val="00F739ED"/>
    <w:rsid w:val="00F73F48"/>
    <w:rsid w:val="00F75332"/>
    <w:rsid w:val="00F7767A"/>
    <w:rsid w:val="00F804CC"/>
    <w:rsid w:val="00F82AA3"/>
    <w:rsid w:val="00F82D35"/>
    <w:rsid w:val="00F844C7"/>
    <w:rsid w:val="00F8635F"/>
    <w:rsid w:val="00F86BC6"/>
    <w:rsid w:val="00F86E39"/>
    <w:rsid w:val="00F87E39"/>
    <w:rsid w:val="00F94AD9"/>
    <w:rsid w:val="00F971BF"/>
    <w:rsid w:val="00F97B43"/>
    <w:rsid w:val="00FA033C"/>
    <w:rsid w:val="00FA0CCA"/>
    <w:rsid w:val="00FA1A3E"/>
    <w:rsid w:val="00FA1C9C"/>
    <w:rsid w:val="00FA2027"/>
    <w:rsid w:val="00FA4634"/>
    <w:rsid w:val="00FA5F9A"/>
    <w:rsid w:val="00FA62E8"/>
    <w:rsid w:val="00FA7EEF"/>
    <w:rsid w:val="00FB0395"/>
    <w:rsid w:val="00FB0DE2"/>
    <w:rsid w:val="00FB159E"/>
    <w:rsid w:val="00FB255A"/>
    <w:rsid w:val="00FB3044"/>
    <w:rsid w:val="00FB3ACA"/>
    <w:rsid w:val="00FB6075"/>
    <w:rsid w:val="00FB658D"/>
    <w:rsid w:val="00FB7AB7"/>
    <w:rsid w:val="00FC0A87"/>
    <w:rsid w:val="00FC11EC"/>
    <w:rsid w:val="00FC3A4F"/>
    <w:rsid w:val="00FC62F9"/>
    <w:rsid w:val="00FC6BE0"/>
    <w:rsid w:val="00FC7A8D"/>
    <w:rsid w:val="00FD15DE"/>
    <w:rsid w:val="00FD1F27"/>
    <w:rsid w:val="00FD3D74"/>
    <w:rsid w:val="00FD4A64"/>
    <w:rsid w:val="00FD60BB"/>
    <w:rsid w:val="00FD6F70"/>
    <w:rsid w:val="00FD7F51"/>
    <w:rsid w:val="00FE1E97"/>
    <w:rsid w:val="00FE22C5"/>
    <w:rsid w:val="00FE38EA"/>
    <w:rsid w:val="00FE3DAF"/>
    <w:rsid w:val="00FE3FB8"/>
    <w:rsid w:val="00FE4364"/>
    <w:rsid w:val="00FE54FA"/>
    <w:rsid w:val="00FE57CB"/>
    <w:rsid w:val="00FE5FF9"/>
    <w:rsid w:val="00FE6E6F"/>
    <w:rsid w:val="00FE7976"/>
    <w:rsid w:val="00FF35C8"/>
    <w:rsid w:val="00FF5112"/>
    <w:rsid w:val="00FF557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D45BC5"/>
  <w15:chartTrackingRefBased/>
  <w15:docId w15:val="{6E22BD4D-984D-B840-BABF-59800898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133"/>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06545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B8241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B8C"/>
    <w:pPr>
      <w:spacing w:after="0" w:line="240" w:lineRule="auto"/>
    </w:pPr>
  </w:style>
  <w:style w:type="paragraph" w:styleId="NormalWeb">
    <w:name w:val="Normal (Web)"/>
    <w:basedOn w:val="Normal"/>
    <w:uiPriority w:val="99"/>
    <w:unhideWhenUsed/>
    <w:rsid w:val="00822B8C"/>
    <w:pPr>
      <w:spacing w:before="100" w:beforeAutospacing="1" w:after="100" w:afterAutospacing="1"/>
    </w:pPr>
    <w:rPr>
      <w:lang w:eastAsia="en-NZ"/>
    </w:rPr>
  </w:style>
  <w:style w:type="paragraph" w:styleId="ListParagraph">
    <w:name w:val="List Paragraph"/>
    <w:basedOn w:val="Normal"/>
    <w:uiPriority w:val="34"/>
    <w:qFormat/>
    <w:rsid w:val="00822B8C"/>
    <w:pPr>
      <w:ind w:left="720"/>
    </w:pPr>
  </w:style>
  <w:style w:type="character" w:styleId="Hyperlink">
    <w:name w:val="Hyperlink"/>
    <w:basedOn w:val="DefaultParagraphFont"/>
    <w:uiPriority w:val="99"/>
    <w:unhideWhenUsed/>
    <w:rsid w:val="00822B8C"/>
    <w:rPr>
      <w:color w:val="0563C1" w:themeColor="hyperlink"/>
      <w:u w:val="single"/>
    </w:rPr>
  </w:style>
  <w:style w:type="paragraph" w:styleId="Header">
    <w:name w:val="header"/>
    <w:basedOn w:val="Normal"/>
    <w:link w:val="HeaderChar"/>
    <w:uiPriority w:val="99"/>
    <w:unhideWhenUsed/>
    <w:rsid w:val="006454F4"/>
    <w:pPr>
      <w:tabs>
        <w:tab w:val="center" w:pos="4513"/>
        <w:tab w:val="right" w:pos="9026"/>
      </w:tabs>
    </w:pPr>
  </w:style>
  <w:style w:type="character" w:customStyle="1" w:styleId="HeaderChar">
    <w:name w:val="Header Char"/>
    <w:basedOn w:val="DefaultParagraphFont"/>
    <w:link w:val="Header"/>
    <w:uiPriority w:val="99"/>
    <w:rsid w:val="006454F4"/>
    <w:rPr>
      <w:rFonts w:ascii="Calibri" w:hAnsi="Calibri" w:cs="Calibri"/>
    </w:rPr>
  </w:style>
  <w:style w:type="paragraph" w:styleId="Footer">
    <w:name w:val="footer"/>
    <w:basedOn w:val="Normal"/>
    <w:link w:val="FooterChar"/>
    <w:uiPriority w:val="99"/>
    <w:unhideWhenUsed/>
    <w:rsid w:val="006454F4"/>
    <w:pPr>
      <w:tabs>
        <w:tab w:val="center" w:pos="4513"/>
        <w:tab w:val="right" w:pos="9026"/>
      </w:tabs>
    </w:pPr>
  </w:style>
  <w:style w:type="character" w:customStyle="1" w:styleId="FooterChar">
    <w:name w:val="Footer Char"/>
    <w:basedOn w:val="DefaultParagraphFont"/>
    <w:link w:val="Footer"/>
    <w:uiPriority w:val="99"/>
    <w:rsid w:val="006454F4"/>
    <w:rPr>
      <w:rFonts w:ascii="Calibri" w:hAnsi="Calibri" w:cs="Calibri"/>
    </w:rPr>
  </w:style>
  <w:style w:type="paragraph" w:styleId="FootnoteText">
    <w:name w:val="footnote text"/>
    <w:basedOn w:val="Normal"/>
    <w:link w:val="FootnoteTextChar"/>
    <w:uiPriority w:val="99"/>
    <w:semiHidden/>
    <w:unhideWhenUsed/>
    <w:rsid w:val="00B029BE"/>
    <w:rPr>
      <w:sz w:val="20"/>
      <w:szCs w:val="20"/>
    </w:rPr>
  </w:style>
  <w:style w:type="character" w:customStyle="1" w:styleId="FootnoteTextChar">
    <w:name w:val="Footnote Text Char"/>
    <w:basedOn w:val="DefaultParagraphFont"/>
    <w:link w:val="FootnoteText"/>
    <w:uiPriority w:val="99"/>
    <w:semiHidden/>
    <w:rsid w:val="00B029BE"/>
    <w:rPr>
      <w:rFonts w:ascii="Calibri" w:hAnsi="Calibri" w:cs="Calibri"/>
      <w:sz w:val="20"/>
      <w:szCs w:val="20"/>
    </w:rPr>
  </w:style>
  <w:style w:type="character" w:styleId="FootnoteReference">
    <w:name w:val="footnote reference"/>
    <w:basedOn w:val="DefaultParagraphFont"/>
    <w:uiPriority w:val="99"/>
    <w:semiHidden/>
    <w:unhideWhenUsed/>
    <w:rsid w:val="00B029BE"/>
    <w:rPr>
      <w:vertAlign w:val="superscript"/>
    </w:rPr>
  </w:style>
  <w:style w:type="character" w:styleId="UnresolvedMention">
    <w:name w:val="Unresolved Mention"/>
    <w:basedOn w:val="DefaultParagraphFont"/>
    <w:uiPriority w:val="99"/>
    <w:semiHidden/>
    <w:unhideWhenUsed/>
    <w:rsid w:val="007E6DF4"/>
    <w:rPr>
      <w:color w:val="605E5C"/>
      <w:shd w:val="clear" w:color="auto" w:fill="E1DFDD"/>
    </w:rPr>
  </w:style>
  <w:style w:type="table" w:styleId="TableGrid">
    <w:name w:val="Table Grid"/>
    <w:basedOn w:val="TableNormal"/>
    <w:uiPriority w:val="39"/>
    <w:rsid w:val="005A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9A5"/>
    <w:rPr>
      <w:sz w:val="16"/>
      <w:szCs w:val="16"/>
    </w:rPr>
  </w:style>
  <w:style w:type="paragraph" w:styleId="CommentText">
    <w:name w:val="annotation text"/>
    <w:basedOn w:val="Normal"/>
    <w:link w:val="CommentTextChar"/>
    <w:uiPriority w:val="99"/>
    <w:unhideWhenUsed/>
    <w:rsid w:val="00E779A5"/>
    <w:rPr>
      <w:sz w:val="20"/>
      <w:szCs w:val="20"/>
    </w:rPr>
  </w:style>
  <w:style w:type="character" w:customStyle="1" w:styleId="CommentTextChar">
    <w:name w:val="Comment Text Char"/>
    <w:basedOn w:val="DefaultParagraphFont"/>
    <w:link w:val="CommentText"/>
    <w:uiPriority w:val="99"/>
    <w:rsid w:val="00E779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79A5"/>
    <w:rPr>
      <w:b/>
      <w:bCs/>
    </w:rPr>
  </w:style>
  <w:style w:type="character" w:customStyle="1" w:styleId="CommentSubjectChar">
    <w:name w:val="Comment Subject Char"/>
    <w:basedOn w:val="CommentTextChar"/>
    <w:link w:val="CommentSubject"/>
    <w:uiPriority w:val="99"/>
    <w:semiHidden/>
    <w:rsid w:val="00E779A5"/>
    <w:rPr>
      <w:rFonts w:ascii="Calibri" w:hAnsi="Calibri" w:cs="Calibri"/>
      <w:b/>
      <w:bCs/>
      <w:sz w:val="20"/>
      <w:szCs w:val="20"/>
    </w:rPr>
  </w:style>
  <w:style w:type="paragraph" w:styleId="BalloonText">
    <w:name w:val="Balloon Text"/>
    <w:basedOn w:val="Normal"/>
    <w:link w:val="BalloonTextChar"/>
    <w:uiPriority w:val="99"/>
    <w:semiHidden/>
    <w:unhideWhenUsed/>
    <w:rsid w:val="00E77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A5"/>
    <w:rPr>
      <w:rFonts w:ascii="Segoe UI" w:hAnsi="Segoe UI" w:cs="Segoe UI"/>
      <w:sz w:val="18"/>
      <w:szCs w:val="18"/>
    </w:rPr>
  </w:style>
  <w:style w:type="character" w:customStyle="1" w:styleId="Heading3Char">
    <w:name w:val="Heading 3 Char"/>
    <w:basedOn w:val="DefaultParagraphFont"/>
    <w:link w:val="Heading3"/>
    <w:uiPriority w:val="9"/>
    <w:rsid w:val="00065458"/>
    <w:rPr>
      <w:rFonts w:ascii="Times New Roman" w:eastAsia="Times New Roman" w:hAnsi="Times New Roman" w:cs="Times New Roman"/>
      <w:b/>
      <w:bCs/>
      <w:sz w:val="27"/>
      <w:szCs w:val="27"/>
    </w:rPr>
  </w:style>
  <w:style w:type="paragraph" w:styleId="Revision">
    <w:name w:val="Revision"/>
    <w:hidden/>
    <w:uiPriority w:val="99"/>
    <w:semiHidden/>
    <w:rsid w:val="008C2F19"/>
    <w:pPr>
      <w:spacing w:after="0" w:line="240" w:lineRule="auto"/>
    </w:pPr>
    <w:rPr>
      <w:rFonts w:ascii="Calibri" w:hAnsi="Calibri" w:cs="Calibri"/>
    </w:rPr>
  </w:style>
  <w:style w:type="character" w:customStyle="1" w:styleId="Heading5Char">
    <w:name w:val="Heading 5 Char"/>
    <w:basedOn w:val="DefaultParagraphFont"/>
    <w:link w:val="Heading5"/>
    <w:uiPriority w:val="9"/>
    <w:rsid w:val="00B8241C"/>
    <w:rPr>
      <w:rFonts w:asciiTheme="majorHAnsi" w:eastAsiaTheme="majorEastAsia" w:hAnsiTheme="majorHAnsi" w:cstheme="majorBidi"/>
      <w:color w:val="2F5496" w:themeColor="accent1" w:themeShade="BF"/>
    </w:rPr>
  </w:style>
  <w:style w:type="character" w:customStyle="1" w:styleId="label">
    <w:name w:val="label"/>
    <w:basedOn w:val="DefaultParagraphFont"/>
    <w:rsid w:val="00B8241C"/>
  </w:style>
  <w:style w:type="paragraph" w:customStyle="1" w:styleId="subprov">
    <w:name w:val="subprov"/>
    <w:basedOn w:val="Normal"/>
    <w:rsid w:val="00B8241C"/>
    <w:pPr>
      <w:spacing w:before="100" w:beforeAutospacing="1" w:after="100" w:afterAutospacing="1"/>
    </w:pPr>
    <w:rPr>
      <w:lang w:eastAsia="en-NZ"/>
    </w:rPr>
  </w:style>
  <w:style w:type="paragraph" w:customStyle="1" w:styleId="text">
    <w:name w:val="text"/>
    <w:basedOn w:val="Normal"/>
    <w:rsid w:val="00B8241C"/>
    <w:pPr>
      <w:spacing w:before="100" w:beforeAutospacing="1" w:after="100" w:afterAutospacing="1"/>
    </w:pPr>
    <w:rPr>
      <w:lang w:eastAsia="en-NZ"/>
    </w:rPr>
  </w:style>
  <w:style w:type="character" w:styleId="HTMLDefinition">
    <w:name w:val="HTML Definition"/>
    <w:basedOn w:val="DefaultParagraphFont"/>
    <w:uiPriority w:val="99"/>
    <w:semiHidden/>
    <w:unhideWhenUsed/>
    <w:rsid w:val="00B8241C"/>
    <w:rPr>
      <w:i/>
      <w:iCs/>
    </w:rPr>
  </w:style>
  <w:style w:type="character" w:styleId="FollowedHyperlink">
    <w:name w:val="FollowedHyperlink"/>
    <w:basedOn w:val="DefaultParagraphFont"/>
    <w:uiPriority w:val="99"/>
    <w:semiHidden/>
    <w:unhideWhenUsed/>
    <w:rsid w:val="00FB658D"/>
    <w:rPr>
      <w:color w:val="954F72" w:themeColor="followedHyperlink"/>
      <w:u w:val="single"/>
    </w:rPr>
  </w:style>
  <w:style w:type="character" w:customStyle="1" w:styleId="hit">
    <w:name w:val="hit"/>
    <w:basedOn w:val="DefaultParagraphFont"/>
    <w:rsid w:val="00E06AD1"/>
  </w:style>
  <w:style w:type="paragraph" w:customStyle="1" w:styleId="Default">
    <w:name w:val="Default"/>
    <w:rsid w:val="00816E7E"/>
    <w:pPr>
      <w:autoSpaceDE w:val="0"/>
      <w:autoSpaceDN w:val="0"/>
      <w:adjustRightInd w:val="0"/>
      <w:spacing w:after="0" w:line="240" w:lineRule="auto"/>
    </w:pPr>
    <w:rPr>
      <w:rFonts w:ascii="Arial" w:hAnsi="Arial" w:cs="Arial"/>
      <w:color w:val="000000"/>
      <w:sz w:val="24"/>
      <w:szCs w:val="24"/>
      <w:lang w:val="en-GB"/>
    </w:rPr>
  </w:style>
  <w:style w:type="character" w:styleId="PageNumber">
    <w:name w:val="page number"/>
    <w:basedOn w:val="DefaultParagraphFont"/>
    <w:uiPriority w:val="99"/>
    <w:semiHidden/>
    <w:unhideWhenUsed/>
    <w:rsid w:val="00A06548"/>
  </w:style>
  <w:style w:type="character" w:customStyle="1" w:styleId="markhdsy59ehr">
    <w:name w:val="markhdsy59ehr"/>
    <w:basedOn w:val="DefaultParagraphFont"/>
    <w:rsid w:val="007872A3"/>
  </w:style>
  <w:style w:type="character" w:customStyle="1" w:styleId="marksfr4r414n">
    <w:name w:val="marksfr4r414n"/>
    <w:basedOn w:val="DefaultParagraphFont"/>
    <w:rsid w:val="0078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898">
      <w:bodyDiv w:val="1"/>
      <w:marLeft w:val="0"/>
      <w:marRight w:val="0"/>
      <w:marTop w:val="0"/>
      <w:marBottom w:val="0"/>
      <w:divBdr>
        <w:top w:val="none" w:sz="0" w:space="0" w:color="auto"/>
        <w:left w:val="none" w:sz="0" w:space="0" w:color="auto"/>
        <w:bottom w:val="none" w:sz="0" w:space="0" w:color="auto"/>
        <w:right w:val="none" w:sz="0" w:space="0" w:color="auto"/>
      </w:divBdr>
    </w:div>
    <w:div w:id="73598950">
      <w:bodyDiv w:val="1"/>
      <w:marLeft w:val="0"/>
      <w:marRight w:val="0"/>
      <w:marTop w:val="0"/>
      <w:marBottom w:val="0"/>
      <w:divBdr>
        <w:top w:val="none" w:sz="0" w:space="0" w:color="auto"/>
        <w:left w:val="none" w:sz="0" w:space="0" w:color="auto"/>
        <w:bottom w:val="none" w:sz="0" w:space="0" w:color="auto"/>
        <w:right w:val="none" w:sz="0" w:space="0" w:color="auto"/>
      </w:divBdr>
    </w:div>
    <w:div w:id="269750842">
      <w:bodyDiv w:val="1"/>
      <w:marLeft w:val="0"/>
      <w:marRight w:val="0"/>
      <w:marTop w:val="0"/>
      <w:marBottom w:val="0"/>
      <w:divBdr>
        <w:top w:val="none" w:sz="0" w:space="0" w:color="auto"/>
        <w:left w:val="none" w:sz="0" w:space="0" w:color="auto"/>
        <w:bottom w:val="none" w:sz="0" w:space="0" w:color="auto"/>
        <w:right w:val="none" w:sz="0" w:space="0" w:color="auto"/>
      </w:divBdr>
    </w:div>
    <w:div w:id="339698407">
      <w:bodyDiv w:val="1"/>
      <w:marLeft w:val="0"/>
      <w:marRight w:val="0"/>
      <w:marTop w:val="0"/>
      <w:marBottom w:val="0"/>
      <w:divBdr>
        <w:top w:val="none" w:sz="0" w:space="0" w:color="auto"/>
        <w:left w:val="none" w:sz="0" w:space="0" w:color="auto"/>
        <w:bottom w:val="none" w:sz="0" w:space="0" w:color="auto"/>
        <w:right w:val="none" w:sz="0" w:space="0" w:color="auto"/>
      </w:divBdr>
    </w:div>
    <w:div w:id="471679605">
      <w:bodyDiv w:val="1"/>
      <w:marLeft w:val="0"/>
      <w:marRight w:val="0"/>
      <w:marTop w:val="0"/>
      <w:marBottom w:val="0"/>
      <w:divBdr>
        <w:top w:val="none" w:sz="0" w:space="0" w:color="auto"/>
        <w:left w:val="none" w:sz="0" w:space="0" w:color="auto"/>
        <w:bottom w:val="none" w:sz="0" w:space="0" w:color="auto"/>
        <w:right w:val="none" w:sz="0" w:space="0" w:color="auto"/>
      </w:divBdr>
      <w:divsChild>
        <w:div w:id="9290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855917">
              <w:marLeft w:val="0"/>
              <w:marRight w:val="0"/>
              <w:marTop w:val="0"/>
              <w:marBottom w:val="0"/>
              <w:divBdr>
                <w:top w:val="none" w:sz="0" w:space="0" w:color="auto"/>
                <w:left w:val="none" w:sz="0" w:space="0" w:color="auto"/>
                <w:bottom w:val="none" w:sz="0" w:space="0" w:color="auto"/>
                <w:right w:val="none" w:sz="0" w:space="0" w:color="auto"/>
              </w:divBdr>
              <w:divsChild>
                <w:div w:id="1956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32408">
      <w:bodyDiv w:val="1"/>
      <w:marLeft w:val="0"/>
      <w:marRight w:val="0"/>
      <w:marTop w:val="0"/>
      <w:marBottom w:val="0"/>
      <w:divBdr>
        <w:top w:val="none" w:sz="0" w:space="0" w:color="auto"/>
        <w:left w:val="none" w:sz="0" w:space="0" w:color="auto"/>
        <w:bottom w:val="none" w:sz="0" w:space="0" w:color="auto"/>
        <w:right w:val="none" w:sz="0" w:space="0" w:color="auto"/>
      </w:divBdr>
    </w:div>
    <w:div w:id="515660748">
      <w:bodyDiv w:val="1"/>
      <w:marLeft w:val="0"/>
      <w:marRight w:val="0"/>
      <w:marTop w:val="0"/>
      <w:marBottom w:val="0"/>
      <w:divBdr>
        <w:top w:val="none" w:sz="0" w:space="0" w:color="auto"/>
        <w:left w:val="none" w:sz="0" w:space="0" w:color="auto"/>
        <w:bottom w:val="none" w:sz="0" w:space="0" w:color="auto"/>
        <w:right w:val="none" w:sz="0" w:space="0" w:color="auto"/>
      </w:divBdr>
      <w:divsChild>
        <w:div w:id="650016173">
          <w:marLeft w:val="0"/>
          <w:marRight w:val="0"/>
          <w:marTop w:val="0"/>
          <w:marBottom w:val="0"/>
          <w:divBdr>
            <w:top w:val="none" w:sz="0" w:space="0" w:color="auto"/>
            <w:left w:val="none" w:sz="0" w:space="0" w:color="auto"/>
            <w:bottom w:val="none" w:sz="0" w:space="0" w:color="auto"/>
            <w:right w:val="none" w:sz="0" w:space="0" w:color="auto"/>
          </w:divBdr>
          <w:divsChild>
            <w:div w:id="1358656103">
              <w:marLeft w:val="0"/>
              <w:marRight w:val="0"/>
              <w:marTop w:val="0"/>
              <w:marBottom w:val="0"/>
              <w:divBdr>
                <w:top w:val="none" w:sz="0" w:space="0" w:color="auto"/>
                <w:left w:val="none" w:sz="0" w:space="0" w:color="auto"/>
                <w:bottom w:val="none" w:sz="0" w:space="0" w:color="auto"/>
                <w:right w:val="none" w:sz="0" w:space="0" w:color="auto"/>
              </w:divBdr>
              <w:divsChild>
                <w:div w:id="1058896063">
                  <w:marLeft w:val="0"/>
                  <w:marRight w:val="0"/>
                  <w:marTop w:val="0"/>
                  <w:marBottom w:val="0"/>
                  <w:divBdr>
                    <w:top w:val="none" w:sz="0" w:space="0" w:color="auto"/>
                    <w:left w:val="none" w:sz="0" w:space="0" w:color="auto"/>
                    <w:bottom w:val="none" w:sz="0" w:space="0" w:color="auto"/>
                    <w:right w:val="none" w:sz="0" w:space="0" w:color="auto"/>
                  </w:divBdr>
                </w:div>
              </w:divsChild>
            </w:div>
            <w:div w:id="1867791272">
              <w:marLeft w:val="0"/>
              <w:marRight w:val="0"/>
              <w:marTop w:val="0"/>
              <w:marBottom w:val="0"/>
              <w:divBdr>
                <w:top w:val="none" w:sz="0" w:space="0" w:color="auto"/>
                <w:left w:val="none" w:sz="0" w:space="0" w:color="auto"/>
                <w:bottom w:val="none" w:sz="0" w:space="0" w:color="auto"/>
                <w:right w:val="none" w:sz="0" w:space="0" w:color="auto"/>
              </w:divBdr>
              <w:divsChild>
                <w:div w:id="555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7675">
      <w:bodyDiv w:val="1"/>
      <w:marLeft w:val="0"/>
      <w:marRight w:val="0"/>
      <w:marTop w:val="0"/>
      <w:marBottom w:val="0"/>
      <w:divBdr>
        <w:top w:val="none" w:sz="0" w:space="0" w:color="auto"/>
        <w:left w:val="none" w:sz="0" w:space="0" w:color="auto"/>
        <w:bottom w:val="none" w:sz="0" w:space="0" w:color="auto"/>
        <w:right w:val="none" w:sz="0" w:space="0" w:color="auto"/>
      </w:divBdr>
    </w:div>
    <w:div w:id="691885684">
      <w:bodyDiv w:val="1"/>
      <w:marLeft w:val="0"/>
      <w:marRight w:val="0"/>
      <w:marTop w:val="0"/>
      <w:marBottom w:val="0"/>
      <w:divBdr>
        <w:top w:val="none" w:sz="0" w:space="0" w:color="auto"/>
        <w:left w:val="none" w:sz="0" w:space="0" w:color="auto"/>
        <w:bottom w:val="none" w:sz="0" w:space="0" w:color="auto"/>
        <w:right w:val="none" w:sz="0" w:space="0" w:color="auto"/>
      </w:divBdr>
    </w:div>
    <w:div w:id="717507678">
      <w:bodyDiv w:val="1"/>
      <w:marLeft w:val="0"/>
      <w:marRight w:val="0"/>
      <w:marTop w:val="0"/>
      <w:marBottom w:val="0"/>
      <w:divBdr>
        <w:top w:val="none" w:sz="0" w:space="0" w:color="auto"/>
        <w:left w:val="none" w:sz="0" w:space="0" w:color="auto"/>
        <w:bottom w:val="none" w:sz="0" w:space="0" w:color="auto"/>
        <w:right w:val="none" w:sz="0" w:space="0" w:color="auto"/>
      </w:divBdr>
    </w:div>
    <w:div w:id="723018774">
      <w:bodyDiv w:val="1"/>
      <w:marLeft w:val="0"/>
      <w:marRight w:val="0"/>
      <w:marTop w:val="0"/>
      <w:marBottom w:val="0"/>
      <w:divBdr>
        <w:top w:val="none" w:sz="0" w:space="0" w:color="auto"/>
        <w:left w:val="none" w:sz="0" w:space="0" w:color="auto"/>
        <w:bottom w:val="none" w:sz="0" w:space="0" w:color="auto"/>
        <w:right w:val="none" w:sz="0" w:space="0" w:color="auto"/>
      </w:divBdr>
    </w:div>
    <w:div w:id="780225315">
      <w:bodyDiv w:val="1"/>
      <w:marLeft w:val="0"/>
      <w:marRight w:val="0"/>
      <w:marTop w:val="0"/>
      <w:marBottom w:val="0"/>
      <w:divBdr>
        <w:top w:val="none" w:sz="0" w:space="0" w:color="auto"/>
        <w:left w:val="none" w:sz="0" w:space="0" w:color="auto"/>
        <w:bottom w:val="none" w:sz="0" w:space="0" w:color="auto"/>
        <w:right w:val="none" w:sz="0" w:space="0" w:color="auto"/>
      </w:divBdr>
    </w:div>
    <w:div w:id="828598733">
      <w:bodyDiv w:val="1"/>
      <w:marLeft w:val="0"/>
      <w:marRight w:val="0"/>
      <w:marTop w:val="0"/>
      <w:marBottom w:val="0"/>
      <w:divBdr>
        <w:top w:val="none" w:sz="0" w:space="0" w:color="auto"/>
        <w:left w:val="none" w:sz="0" w:space="0" w:color="auto"/>
        <w:bottom w:val="none" w:sz="0" w:space="0" w:color="auto"/>
        <w:right w:val="none" w:sz="0" w:space="0" w:color="auto"/>
      </w:divBdr>
    </w:div>
    <w:div w:id="905921554">
      <w:bodyDiv w:val="1"/>
      <w:marLeft w:val="0"/>
      <w:marRight w:val="0"/>
      <w:marTop w:val="0"/>
      <w:marBottom w:val="0"/>
      <w:divBdr>
        <w:top w:val="none" w:sz="0" w:space="0" w:color="auto"/>
        <w:left w:val="none" w:sz="0" w:space="0" w:color="auto"/>
        <w:bottom w:val="none" w:sz="0" w:space="0" w:color="auto"/>
        <w:right w:val="none" w:sz="0" w:space="0" w:color="auto"/>
      </w:divBdr>
    </w:div>
    <w:div w:id="942685483">
      <w:bodyDiv w:val="1"/>
      <w:marLeft w:val="0"/>
      <w:marRight w:val="0"/>
      <w:marTop w:val="0"/>
      <w:marBottom w:val="0"/>
      <w:divBdr>
        <w:top w:val="none" w:sz="0" w:space="0" w:color="auto"/>
        <w:left w:val="none" w:sz="0" w:space="0" w:color="auto"/>
        <w:bottom w:val="none" w:sz="0" w:space="0" w:color="auto"/>
        <w:right w:val="none" w:sz="0" w:space="0" w:color="auto"/>
      </w:divBdr>
    </w:div>
    <w:div w:id="994842211">
      <w:bodyDiv w:val="1"/>
      <w:marLeft w:val="0"/>
      <w:marRight w:val="0"/>
      <w:marTop w:val="0"/>
      <w:marBottom w:val="0"/>
      <w:divBdr>
        <w:top w:val="none" w:sz="0" w:space="0" w:color="auto"/>
        <w:left w:val="none" w:sz="0" w:space="0" w:color="auto"/>
        <w:bottom w:val="none" w:sz="0" w:space="0" w:color="auto"/>
        <w:right w:val="none" w:sz="0" w:space="0" w:color="auto"/>
      </w:divBdr>
    </w:div>
    <w:div w:id="999121102">
      <w:bodyDiv w:val="1"/>
      <w:marLeft w:val="0"/>
      <w:marRight w:val="0"/>
      <w:marTop w:val="0"/>
      <w:marBottom w:val="0"/>
      <w:divBdr>
        <w:top w:val="none" w:sz="0" w:space="0" w:color="auto"/>
        <w:left w:val="none" w:sz="0" w:space="0" w:color="auto"/>
        <w:bottom w:val="none" w:sz="0" w:space="0" w:color="auto"/>
        <w:right w:val="none" w:sz="0" w:space="0" w:color="auto"/>
      </w:divBdr>
    </w:div>
    <w:div w:id="1012990588">
      <w:bodyDiv w:val="1"/>
      <w:marLeft w:val="0"/>
      <w:marRight w:val="0"/>
      <w:marTop w:val="0"/>
      <w:marBottom w:val="0"/>
      <w:divBdr>
        <w:top w:val="none" w:sz="0" w:space="0" w:color="auto"/>
        <w:left w:val="none" w:sz="0" w:space="0" w:color="auto"/>
        <w:bottom w:val="none" w:sz="0" w:space="0" w:color="auto"/>
        <w:right w:val="none" w:sz="0" w:space="0" w:color="auto"/>
      </w:divBdr>
    </w:div>
    <w:div w:id="1166091455">
      <w:bodyDiv w:val="1"/>
      <w:marLeft w:val="0"/>
      <w:marRight w:val="0"/>
      <w:marTop w:val="0"/>
      <w:marBottom w:val="0"/>
      <w:divBdr>
        <w:top w:val="none" w:sz="0" w:space="0" w:color="auto"/>
        <w:left w:val="none" w:sz="0" w:space="0" w:color="auto"/>
        <w:bottom w:val="none" w:sz="0" w:space="0" w:color="auto"/>
        <w:right w:val="none" w:sz="0" w:space="0" w:color="auto"/>
      </w:divBdr>
    </w:div>
    <w:div w:id="1409959985">
      <w:bodyDiv w:val="1"/>
      <w:marLeft w:val="0"/>
      <w:marRight w:val="0"/>
      <w:marTop w:val="0"/>
      <w:marBottom w:val="0"/>
      <w:divBdr>
        <w:top w:val="none" w:sz="0" w:space="0" w:color="auto"/>
        <w:left w:val="none" w:sz="0" w:space="0" w:color="auto"/>
        <w:bottom w:val="none" w:sz="0" w:space="0" w:color="auto"/>
        <w:right w:val="none" w:sz="0" w:space="0" w:color="auto"/>
      </w:divBdr>
      <w:divsChild>
        <w:div w:id="26370614">
          <w:marLeft w:val="0"/>
          <w:marRight w:val="0"/>
          <w:marTop w:val="0"/>
          <w:marBottom w:val="0"/>
          <w:divBdr>
            <w:top w:val="none" w:sz="0" w:space="0" w:color="auto"/>
            <w:left w:val="none" w:sz="0" w:space="0" w:color="auto"/>
            <w:bottom w:val="none" w:sz="0" w:space="0" w:color="auto"/>
            <w:right w:val="none" w:sz="0" w:space="0" w:color="auto"/>
          </w:divBdr>
          <w:divsChild>
            <w:div w:id="1425952412">
              <w:marLeft w:val="0"/>
              <w:marRight w:val="0"/>
              <w:marTop w:val="0"/>
              <w:marBottom w:val="0"/>
              <w:divBdr>
                <w:top w:val="none" w:sz="0" w:space="0" w:color="auto"/>
                <w:left w:val="none" w:sz="0" w:space="0" w:color="auto"/>
                <w:bottom w:val="none" w:sz="0" w:space="0" w:color="auto"/>
                <w:right w:val="none" w:sz="0" w:space="0" w:color="auto"/>
              </w:divBdr>
              <w:divsChild>
                <w:div w:id="1103263351">
                  <w:marLeft w:val="0"/>
                  <w:marRight w:val="0"/>
                  <w:marTop w:val="0"/>
                  <w:marBottom w:val="0"/>
                  <w:divBdr>
                    <w:top w:val="none" w:sz="0" w:space="0" w:color="auto"/>
                    <w:left w:val="none" w:sz="0" w:space="0" w:color="auto"/>
                    <w:bottom w:val="none" w:sz="0" w:space="0" w:color="auto"/>
                    <w:right w:val="none" w:sz="0" w:space="0" w:color="auto"/>
                  </w:divBdr>
                </w:div>
              </w:divsChild>
            </w:div>
            <w:div w:id="1598713724">
              <w:marLeft w:val="0"/>
              <w:marRight w:val="0"/>
              <w:marTop w:val="0"/>
              <w:marBottom w:val="0"/>
              <w:divBdr>
                <w:top w:val="none" w:sz="0" w:space="0" w:color="auto"/>
                <w:left w:val="none" w:sz="0" w:space="0" w:color="auto"/>
                <w:bottom w:val="none" w:sz="0" w:space="0" w:color="auto"/>
                <w:right w:val="none" w:sz="0" w:space="0" w:color="auto"/>
              </w:divBdr>
              <w:divsChild>
                <w:div w:id="14167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3919">
      <w:bodyDiv w:val="1"/>
      <w:marLeft w:val="0"/>
      <w:marRight w:val="0"/>
      <w:marTop w:val="0"/>
      <w:marBottom w:val="0"/>
      <w:divBdr>
        <w:top w:val="none" w:sz="0" w:space="0" w:color="auto"/>
        <w:left w:val="none" w:sz="0" w:space="0" w:color="auto"/>
        <w:bottom w:val="none" w:sz="0" w:space="0" w:color="auto"/>
        <w:right w:val="none" w:sz="0" w:space="0" w:color="auto"/>
      </w:divBdr>
    </w:div>
    <w:div w:id="1549956034">
      <w:bodyDiv w:val="1"/>
      <w:marLeft w:val="0"/>
      <w:marRight w:val="0"/>
      <w:marTop w:val="0"/>
      <w:marBottom w:val="0"/>
      <w:divBdr>
        <w:top w:val="none" w:sz="0" w:space="0" w:color="auto"/>
        <w:left w:val="none" w:sz="0" w:space="0" w:color="auto"/>
        <w:bottom w:val="none" w:sz="0" w:space="0" w:color="auto"/>
        <w:right w:val="none" w:sz="0" w:space="0" w:color="auto"/>
      </w:divBdr>
      <w:divsChild>
        <w:div w:id="280575600">
          <w:marLeft w:val="0"/>
          <w:marRight w:val="0"/>
          <w:marTop w:val="0"/>
          <w:marBottom w:val="0"/>
          <w:divBdr>
            <w:top w:val="none" w:sz="0" w:space="0" w:color="auto"/>
            <w:left w:val="none" w:sz="0" w:space="0" w:color="auto"/>
            <w:bottom w:val="none" w:sz="0" w:space="0" w:color="auto"/>
            <w:right w:val="none" w:sz="0" w:space="0" w:color="auto"/>
          </w:divBdr>
          <w:divsChild>
            <w:div w:id="320164176">
              <w:marLeft w:val="0"/>
              <w:marRight w:val="0"/>
              <w:marTop w:val="0"/>
              <w:marBottom w:val="0"/>
              <w:divBdr>
                <w:top w:val="none" w:sz="0" w:space="0" w:color="auto"/>
                <w:left w:val="none" w:sz="0" w:space="0" w:color="auto"/>
                <w:bottom w:val="none" w:sz="0" w:space="0" w:color="auto"/>
                <w:right w:val="none" w:sz="0" w:space="0" w:color="auto"/>
              </w:divBdr>
              <w:divsChild>
                <w:div w:id="235868842">
                  <w:marLeft w:val="0"/>
                  <w:marRight w:val="0"/>
                  <w:marTop w:val="0"/>
                  <w:marBottom w:val="0"/>
                  <w:divBdr>
                    <w:top w:val="none" w:sz="0" w:space="0" w:color="auto"/>
                    <w:left w:val="none" w:sz="0" w:space="0" w:color="auto"/>
                    <w:bottom w:val="none" w:sz="0" w:space="0" w:color="auto"/>
                    <w:right w:val="none" w:sz="0" w:space="0" w:color="auto"/>
                  </w:divBdr>
                </w:div>
              </w:divsChild>
            </w:div>
            <w:div w:id="1236553841">
              <w:marLeft w:val="0"/>
              <w:marRight w:val="0"/>
              <w:marTop w:val="0"/>
              <w:marBottom w:val="0"/>
              <w:divBdr>
                <w:top w:val="none" w:sz="0" w:space="0" w:color="auto"/>
                <w:left w:val="none" w:sz="0" w:space="0" w:color="auto"/>
                <w:bottom w:val="none" w:sz="0" w:space="0" w:color="auto"/>
                <w:right w:val="none" w:sz="0" w:space="0" w:color="auto"/>
              </w:divBdr>
              <w:divsChild>
                <w:div w:id="1385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33089">
      <w:bodyDiv w:val="1"/>
      <w:marLeft w:val="0"/>
      <w:marRight w:val="0"/>
      <w:marTop w:val="0"/>
      <w:marBottom w:val="0"/>
      <w:divBdr>
        <w:top w:val="none" w:sz="0" w:space="0" w:color="auto"/>
        <w:left w:val="none" w:sz="0" w:space="0" w:color="auto"/>
        <w:bottom w:val="none" w:sz="0" w:space="0" w:color="auto"/>
        <w:right w:val="none" w:sz="0" w:space="0" w:color="auto"/>
      </w:divBdr>
    </w:div>
    <w:div w:id="1609459481">
      <w:bodyDiv w:val="1"/>
      <w:marLeft w:val="0"/>
      <w:marRight w:val="0"/>
      <w:marTop w:val="0"/>
      <w:marBottom w:val="0"/>
      <w:divBdr>
        <w:top w:val="none" w:sz="0" w:space="0" w:color="auto"/>
        <w:left w:val="none" w:sz="0" w:space="0" w:color="auto"/>
        <w:bottom w:val="none" w:sz="0" w:space="0" w:color="auto"/>
        <w:right w:val="none" w:sz="0" w:space="0" w:color="auto"/>
      </w:divBdr>
    </w:div>
    <w:div w:id="1625428887">
      <w:bodyDiv w:val="1"/>
      <w:marLeft w:val="0"/>
      <w:marRight w:val="0"/>
      <w:marTop w:val="0"/>
      <w:marBottom w:val="0"/>
      <w:divBdr>
        <w:top w:val="none" w:sz="0" w:space="0" w:color="auto"/>
        <w:left w:val="none" w:sz="0" w:space="0" w:color="auto"/>
        <w:bottom w:val="none" w:sz="0" w:space="0" w:color="auto"/>
        <w:right w:val="none" w:sz="0" w:space="0" w:color="auto"/>
      </w:divBdr>
    </w:div>
    <w:div w:id="1721511672">
      <w:bodyDiv w:val="1"/>
      <w:marLeft w:val="0"/>
      <w:marRight w:val="0"/>
      <w:marTop w:val="0"/>
      <w:marBottom w:val="0"/>
      <w:divBdr>
        <w:top w:val="none" w:sz="0" w:space="0" w:color="auto"/>
        <w:left w:val="none" w:sz="0" w:space="0" w:color="auto"/>
        <w:bottom w:val="none" w:sz="0" w:space="0" w:color="auto"/>
        <w:right w:val="none" w:sz="0" w:space="0" w:color="auto"/>
      </w:divBdr>
      <w:divsChild>
        <w:div w:id="147939256">
          <w:marLeft w:val="0"/>
          <w:marRight w:val="0"/>
          <w:marTop w:val="82"/>
          <w:marBottom w:val="0"/>
          <w:divBdr>
            <w:top w:val="none" w:sz="0" w:space="0" w:color="auto"/>
            <w:left w:val="none" w:sz="0" w:space="0" w:color="auto"/>
            <w:bottom w:val="none" w:sz="0" w:space="0" w:color="auto"/>
            <w:right w:val="none" w:sz="0" w:space="0" w:color="auto"/>
          </w:divBdr>
          <w:divsChild>
            <w:div w:id="303243667">
              <w:marLeft w:val="0"/>
              <w:marRight w:val="0"/>
              <w:marTop w:val="82"/>
              <w:marBottom w:val="0"/>
              <w:divBdr>
                <w:top w:val="none" w:sz="0" w:space="0" w:color="auto"/>
                <w:left w:val="none" w:sz="0" w:space="0" w:color="auto"/>
                <w:bottom w:val="none" w:sz="0" w:space="0" w:color="auto"/>
                <w:right w:val="none" w:sz="0" w:space="0" w:color="auto"/>
              </w:divBdr>
            </w:div>
            <w:div w:id="509955554">
              <w:marLeft w:val="0"/>
              <w:marRight w:val="0"/>
              <w:marTop w:val="82"/>
              <w:marBottom w:val="0"/>
              <w:divBdr>
                <w:top w:val="none" w:sz="0" w:space="0" w:color="auto"/>
                <w:left w:val="none" w:sz="0" w:space="0" w:color="auto"/>
                <w:bottom w:val="none" w:sz="0" w:space="0" w:color="auto"/>
                <w:right w:val="none" w:sz="0" w:space="0" w:color="auto"/>
              </w:divBdr>
            </w:div>
            <w:div w:id="597836722">
              <w:marLeft w:val="0"/>
              <w:marRight w:val="0"/>
              <w:marTop w:val="82"/>
              <w:marBottom w:val="0"/>
              <w:divBdr>
                <w:top w:val="none" w:sz="0" w:space="0" w:color="auto"/>
                <w:left w:val="none" w:sz="0" w:space="0" w:color="auto"/>
                <w:bottom w:val="none" w:sz="0" w:space="0" w:color="auto"/>
                <w:right w:val="none" w:sz="0" w:space="0" w:color="auto"/>
              </w:divBdr>
            </w:div>
            <w:div w:id="1672836091">
              <w:marLeft w:val="0"/>
              <w:marRight w:val="0"/>
              <w:marTop w:val="82"/>
              <w:marBottom w:val="0"/>
              <w:divBdr>
                <w:top w:val="none" w:sz="0" w:space="0" w:color="auto"/>
                <w:left w:val="none" w:sz="0" w:space="0" w:color="auto"/>
                <w:bottom w:val="none" w:sz="0" w:space="0" w:color="auto"/>
                <w:right w:val="none" w:sz="0" w:space="0" w:color="auto"/>
              </w:divBdr>
            </w:div>
          </w:divsChild>
        </w:div>
        <w:div w:id="220874361">
          <w:marLeft w:val="0"/>
          <w:marRight w:val="0"/>
          <w:marTop w:val="82"/>
          <w:marBottom w:val="0"/>
          <w:divBdr>
            <w:top w:val="none" w:sz="0" w:space="0" w:color="auto"/>
            <w:left w:val="none" w:sz="0" w:space="0" w:color="auto"/>
            <w:bottom w:val="none" w:sz="0" w:space="0" w:color="auto"/>
            <w:right w:val="none" w:sz="0" w:space="0" w:color="auto"/>
          </w:divBdr>
          <w:divsChild>
            <w:div w:id="1764380788">
              <w:marLeft w:val="0"/>
              <w:marRight w:val="0"/>
              <w:marTop w:val="82"/>
              <w:marBottom w:val="0"/>
              <w:divBdr>
                <w:top w:val="none" w:sz="0" w:space="0" w:color="auto"/>
                <w:left w:val="none" w:sz="0" w:space="0" w:color="auto"/>
                <w:bottom w:val="none" w:sz="0" w:space="0" w:color="auto"/>
                <w:right w:val="none" w:sz="0" w:space="0" w:color="auto"/>
              </w:divBdr>
            </w:div>
            <w:div w:id="1792048079">
              <w:marLeft w:val="0"/>
              <w:marRight w:val="0"/>
              <w:marTop w:val="82"/>
              <w:marBottom w:val="0"/>
              <w:divBdr>
                <w:top w:val="none" w:sz="0" w:space="0" w:color="auto"/>
                <w:left w:val="none" w:sz="0" w:space="0" w:color="auto"/>
                <w:bottom w:val="none" w:sz="0" w:space="0" w:color="auto"/>
                <w:right w:val="none" w:sz="0" w:space="0" w:color="auto"/>
              </w:divBdr>
            </w:div>
          </w:divsChild>
        </w:div>
        <w:div w:id="665091947">
          <w:marLeft w:val="0"/>
          <w:marRight w:val="0"/>
          <w:marTop w:val="82"/>
          <w:marBottom w:val="0"/>
          <w:divBdr>
            <w:top w:val="none" w:sz="0" w:space="0" w:color="auto"/>
            <w:left w:val="none" w:sz="0" w:space="0" w:color="auto"/>
            <w:bottom w:val="none" w:sz="0" w:space="0" w:color="auto"/>
            <w:right w:val="none" w:sz="0" w:space="0" w:color="auto"/>
          </w:divBdr>
          <w:divsChild>
            <w:div w:id="21901266">
              <w:marLeft w:val="0"/>
              <w:marRight w:val="0"/>
              <w:marTop w:val="82"/>
              <w:marBottom w:val="0"/>
              <w:divBdr>
                <w:top w:val="none" w:sz="0" w:space="0" w:color="auto"/>
                <w:left w:val="none" w:sz="0" w:space="0" w:color="auto"/>
                <w:bottom w:val="none" w:sz="0" w:space="0" w:color="auto"/>
                <w:right w:val="none" w:sz="0" w:space="0" w:color="auto"/>
              </w:divBdr>
            </w:div>
            <w:div w:id="1509061613">
              <w:marLeft w:val="0"/>
              <w:marRight w:val="0"/>
              <w:marTop w:val="82"/>
              <w:marBottom w:val="0"/>
              <w:divBdr>
                <w:top w:val="none" w:sz="0" w:space="0" w:color="auto"/>
                <w:left w:val="none" w:sz="0" w:space="0" w:color="auto"/>
                <w:bottom w:val="none" w:sz="0" w:space="0" w:color="auto"/>
                <w:right w:val="none" w:sz="0" w:space="0" w:color="auto"/>
              </w:divBdr>
            </w:div>
            <w:div w:id="1665158659">
              <w:marLeft w:val="0"/>
              <w:marRight w:val="0"/>
              <w:marTop w:val="82"/>
              <w:marBottom w:val="0"/>
              <w:divBdr>
                <w:top w:val="none" w:sz="0" w:space="0" w:color="auto"/>
                <w:left w:val="none" w:sz="0" w:space="0" w:color="auto"/>
                <w:bottom w:val="none" w:sz="0" w:space="0" w:color="auto"/>
                <w:right w:val="none" w:sz="0" w:space="0" w:color="auto"/>
              </w:divBdr>
            </w:div>
          </w:divsChild>
        </w:div>
        <w:div w:id="1327589646">
          <w:marLeft w:val="0"/>
          <w:marRight w:val="0"/>
          <w:marTop w:val="82"/>
          <w:marBottom w:val="0"/>
          <w:divBdr>
            <w:top w:val="none" w:sz="0" w:space="0" w:color="auto"/>
            <w:left w:val="none" w:sz="0" w:space="0" w:color="auto"/>
            <w:bottom w:val="none" w:sz="0" w:space="0" w:color="auto"/>
            <w:right w:val="none" w:sz="0" w:space="0" w:color="auto"/>
          </w:divBdr>
          <w:divsChild>
            <w:div w:id="754284145">
              <w:marLeft w:val="0"/>
              <w:marRight w:val="0"/>
              <w:marTop w:val="82"/>
              <w:marBottom w:val="0"/>
              <w:divBdr>
                <w:top w:val="none" w:sz="0" w:space="0" w:color="auto"/>
                <w:left w:val="none" w:sz="0" w:space="0" w:color="auto"/>
                <w:bottom w:val="none" w:sz="0" w:space="0" w:color="auto"/>
                <w:right w:val="none" w:sz="0" w:space="0" w:color="auto"/>
              </w:divBdr>
            </w:div>
            <w:div w:id="1729838016">
              <w:marLeft w:val="0"/>
              <w:marRight w:val="0"/>
              <w:marTop w:val="82"/>
              <w:marBottom w:val="0"/>
              <w:divBdr>
                <w:top w:val="none" w:sz="0" w:space="0" w:color="auto"/>
                <w:left w:val="none" w:sz="0" w:space="0" w:color="auto"/>
                <w:bottom w:val="none" w:sz="0" w:space="0" w:color="auto"/>
                <w:right w:val="none" w:sz="0" w:space="0" w:color="auto"/>
              </w:divBdr>
            </w:div>
          </w:divsChild>
        </w:div>
      </w:divsChild>
    </w:div>
    <w:div w:id="1758406945">
      <w:bodyDiv w:val="1"/>
      <w:marLeft w:val="0"/>
      <w:marRight w:val="0"/>
      <w:marTop w:val="0"/>
      <w:marBottom w:val="0"/>
      <w:divBdr>
        <w:top w:val="none" w:sz="0" w:space="0" w:color="auto"/>
        <w:left w:val="none" w:sz="0" w:space="0" w:color="auto"/>
        <w:bottom w:val="none" w:sz="0" w:space="0" w:color="auto"/>
        <w:right w:val="none" w:sz="0" w:space="0" w:color="auto"/>
      </w:divBdr>
    </w:div>
    <w:div w:id="20685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licitorassisting@abuseincare.org.nz" TargetMode="External"/><Relationship Id="rId18" Type="http://schemas.openxmlformats.org/officeDocument/2006/relationships/hyperlink" Target="mailto:solicitorassisting@abuseincare.org.nz"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abuseincare.org.nz/library/v/92/practice-note-2-core-participants" TargetMode="External"/><Relationship Id="rId17" Type="http://schemas.openxmlformats.org/officeDocument/2006/relationships/hyperlink" Target="mailto:counselassisting@abuseincare.org.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olicitorassisting@abuseincare.org.nz" TargetMode="External"/><Relationship Id="rId20" Type="http://schemas.openxmlformats.org/officeDocument/2006/relationships/hyperlink" Target="mailto:solicitorassisting@abuseincare.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buseincare.org.nz/library/v/120/practice-note-4-section-15-orders-anonymity-and-redactio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olicitorassisting@abuseincare.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useincare.org.nz/library/v/119/practice-note-3-witness-stateme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3" ma:contentTypeDescription="Create a new document." ma:contentTypeScope="" ma:versionID="41cd1c3ecb9c8e7291a8d9f6ab95bf0b">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6121-0BFC-4ACF-9ACC-50A6314565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35bf68-3af0-40a9-aecb-4b07af5a9f0a"/>
    <ds:schemaRef ds:uri="http://purl.org/dc/terms/"/>
    <ds:schemaRef ds:uri="http://schemas.openxmlformats.org/package/2006/metadata/core-properties"/>
    <ds:schemaRef ds:uri="c1bbcd95-0181-462d-9c52-e702bfb7079d"/>
    <ds:schemaRef ds:uri="http://www.w3.org/XML/1998/namespace"/>
    <ds:schemaRef ds:uri="http://purl.org/dc/dcmitype/"/>
  </ds:schemaRefs>
</ds:datastoreItem>
</file>

<file path=customXml/itemProps2.xml><?xml version="1.0" encoding="utf-8"?>
<ds:datastoreItem xmlns:ds="http://schemas.openxmlformats.org/officeDocument/2006/customXml" ds:itemID="{3CFCAE99-5A10-4841-A902-8DA04505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3DFAD-E03C-4AFD-8ED0-F642881FA748}">
  <ds:schemaRefs>
    <ds:schemaRef ds:uri="http://schemas.microsoft.com/sharepoint/v3/contenttype/forms"/>
  </ds:schemaRefs>
</ds:datastoreItem>
</file>

<file path=customXml/itemProps4.xml><?xml version="1.0" encoding="utf-8"?>
<ds:datastoreItem xmlns:ds="http://schemas.openxmlformats.org/officeDocument/2006/customXml" ds:itemID="{F811363A-14D2-429E-8BC2-830EB311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3155</Words>
  <Characters>17990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Links>
    <vt:vector size="36" baseType="variant">
      <vt:variant>
        <vt:i4>3735640</vt:i4>
      </vt:variant>
      <vt:variant>
        <vt:i4>15</vt:i4>
      </vt:variant>
      <vt:variant>
        <vt:i4>0</vt:i4>
      </vt:variant>
      <vt:variant>
        <vt:i4>5</vt:i4>
      </vt:variant>
      <vt:variant>
        <vt:lpwstr>mailto:solicitorassisting@abuseincare.org.nz</vt:lpwstr>
      </vt:variant>
      <vt:variant>
        <vt:lpwstr/>
      </vt:variant>
      <vt:variant>
        <vt:i4>3735640</vt:i4>
      </vt:variant>
      <vt:variant>
        <vt:i4>12</vt:i4>
      </vt:variant>
      <vt:variant>
        <vt:i4>0</vt:i4>
      </vt:variant>
      <vt:variant>
        <vt:i4>5</vt:i4>
      </vt:variant>
      <vt:variant>
        <vt:lpwstr>mailto:solicitorassisting@abuseincare.org.nz</vt:lpwstr>
      </vt:variant>
      <vt:variant>
        <vt:lpwstr/>
      </vt:variant>
      <vt:variant>
        <vt:i4>3735640</vt:i4>
      </vt:variant>
      <vt:variant>
        <vt:i4>9</vt:i4>
      </vt:variant>
      <vt:variant>
        <vt:i4>0</vt:i4>
      </vt:variant>
      <vt:variant>
        <vt:i4>5</vt:i4>
      </vt:variant>
      <vt:variant>
        <vt:lpwstr>mailto:solicitorassisting@abuseincare.org.nz</vt:lpwstr>
      </vt:variant>
      <vt:variant>
        <vt:lpwstr/>
      </vt:variant>
      <vt:variant>
        <vt:i4>4849724</vt:i4>
      </vt:variant>
      <vt:variant>
        <vt:i4>6</vt:i4>
      </vt:variant>
      <vt:variant>
        <vt:i4>0</vt:i4>
      </vt:variant>
      <vt:variant>
        <vt:i4>5</vt:i4>
      </vt:variant>
      <vt:variant>
        <vt:lpwstr>mailto:counselassisting@abuseincare.org.nz</vt:lpwstr>
      </vt:variant>
      <vt:variant>
        <vt:lpwstr/>
      </vt:variant>
      <vt:variant>
        <vt:i4>3735640</vt:i4>
      </vt:variant>
      <vt:variant>
        <vt:i4>3</vt:i4>
      </vt:variant>
      <vt:variant>
        <vt:i4>0</vt:i4>
      </vt:variant>
      <vt:variant>
        <vt:i4>5</vt:i4>
      </vt:variant>
      <vt:variant>
        <vt:lpwstr>mailto:solicitorassisting@abuseincare.org.nz</vt:lpwstr>
      </vt:variant>
      <vt:variant>
        <vt:lpwstr/>
      </vt:variant>
      <vt:variant>
        <vt:i4>3735640</vt:i4>
      </vt:variant>
      <vt:variant>
        <vt:i4>0</vt:i4>
      </vt:variant>
      <vt:variant>
        <vt:i4>0</vt:i4>
      </vt:variant>
      <vt:variant>
        <vt:i4>5</vt:i4>
      </vt:variant>
      <vt:variant>
        <vt:lpwstr>mailto:solicitorassisting@abuseincare.org.nz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Robyn Brooks</cp:lastModifiedBy>
  <cp:revision>2</cp:revision>
  <cp:lastPrinted>2019-07-12T03:15:00Z</cp:lastPrinted>
  <dcterms:created xsi:type="dcterms:W3CDTF">2020-09-03T01:09:00Z</dcterms:created>
  <dcterms:modified xsi:type="dcterms:W3CDTF">2020-09-03T01:09:00Z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