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39D75" w14:textId="34F6932E" w:rsidR="00BE67AB" w:rsidRDefault="00354B40" w:rsidP="00BE67AB">
      <w:pPr>
        <w:jc w:val="right"/>
      </w:pPr>
      <w:r>
        <w:rPr>
          <w:noProof/>
        </w:rPr>
        <w:drawing>
          <wp:inline distT="0" distB="0" distL="0" distR="0" wp14:anchorId="72791942" wp14:editId="2ACAF91B">
            <wp:extent cx="3556000" cy="762000"/>
            <wp:effectExtent l="0" t="0" r="6350" b="0"/>
            <wp:docPr id="2" name="picture" descr="cid:image003.jpg@01D530DE.11DFF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556000" cy="762000"/>
                    </a:xfrm>
                    <a:prstGeom prst="rect">
                      <a:avLst/>
                    </a:prstGeom>
                  </pic:spPr>
                </pic:pic>
              </a:graphicData>
            </a:graphic>
          </wp:inline>
        </w:drawing>
      </w:r>
    </w:p>
    <w:p w14:paraId="42FC73E3" w14:textId="77777777" w:rsidR="00BE67AB" w:rsidRDefault="00BE67AB" w:rsidP="00BE67AB"/>
    <w:p w14:paraId="69F691E5" w14:textId="77777777" w:rsidR="00BE67AB" w:rsidRPr="008D4934" w:rsidRDefault="00BE67AB" w:rsidP="00BE67AB">
      <w:pPr>
        <w:rPr>
          <w:b/>
          <w:sz w:val="36"/>
          <w:szCs w:val="36"/>
        </w:rPr>
      </w:pPr>
      <w:r w:rsidRPr="008D4934">
        <w:rPr>
          <w:b/>
          <w:sz w:val="36"/>
          <w:szCs w:val="36"/>
        </w:rPr>
        <w:t>Royal Commission into Historical Abuse in State Care and in the Care of Faith-Based Institutions</w:t>
      </w:r>
    </w:p>
    <w:p w14:paraId="3347F481" w14:textId="77777777" w:rsidR="00BE67AB" w:rsidRPr="008D4934" w:rsidRDefault="00BE67AB" w:rsidP="00BE67AB">
      <w:pPr>
        <w:rPr>
          <w:b/>
          <w:sz w:val="36"/>
          <w:szCs w:val="36"/>
        </w:rPr>
      </w:pPr>
    </w:p>
    <w:p w14:paraId="6A7BCB6F" w14:textId="77777777" w:rsidR="00BE67AB" w:rsidRPr="008D4934" w:rsidRDefault="00BE67AB" w:rsidP="00BE67AB">
      <w:pPr>
        <w:contextualSpacing/>
        <w:rPr>
          <w:b/>
          <w:sz w:val="36"/>
          <w:szCs w:val="36"/>
        </w:rPr>
      </w:pPr>
      <w:r w:rsidRPr="008D4934">
        <w:rPr>
          <w:b/>
          <w:sz w:val="36"/>
          <w:szCs w:val="36"/>
        </w:rPr>
        <w:t xml:space="preserve">Quarterly Report </w:t>
      </w:r>
      <w:r>
        <w:rPr>
          <w:b/>
          <w:sz w:val="36"/>
          <w:szCs w:val="36"/>
        </w:rPr>
        <w:t>(1 July 2020 – 30 September 2020)</w:t>
      </w:r>
    </w:p>
    <w:p w14:paraId="2A38419C" w14:textId="77777777" w:rsidR="00BE67AB" w:rsidRDefault="00BE67AB" w:rsidP="00BE67AB">
      <w:pPr>
        <w:contextualSpacing/>
        <w:rPr>
          <w:b/>
          <w:sz w:val="36"/>
          <w:szCs w:val="36"/>
        </w:rPr>
      </w:pPr>
    </w:p>
    <w:p w14:paraId="4B39C0CF" w14:textId="77777777" w:rsidR="00BE67AB" w:rsidRDefault="00BE67AB" w:rsidP="00BE67AB">
      <w:pPr>
        <w:contextualSpacing/>
        <w:rPr>
          <w:b/>
          <w:sz w:val="36"/>
          <w:szCs w:val="36"/>
        </w:rPr>
      </w:pPr>
      <w:r w:rsidRPr="008D4934">
        <w:rPr>
          <w:b/>
          <w:sz w:val="36"/>
          <w:szCs w:val="36"/>
        </w:rPr>
        <w:t>As at 30 September 2020</w:t>
      </w:r>
    </w:p>
    <w:p w14:paraId="01A69574" w14:textId="77777777" w:rsidR="00BE67AB" w:rsidRDefault="00BE67AB" w:rsidP="00BE67AB">
      <w:pPr>
        <w:contextualSpacing/>
        <w:rPr>
          <w:b/>
          <w:sz w:val="36"/>
          <w:szCs w:val="36"/>
        </w:rPr>
      </w:pPr>
    </w:p>
    <w:p w14:paraId="6EC024DB" w14:textId="77777777" w:rsidR="00BE67AB" w:rsidRDefault="00BE67AB" w:rsidP="00BE67AB">
      <w:pPr>
        <w:contextualSpacing/>
        <w:rPr>
          <w:b/>
          <w:sz w:val="36"/>
          <w:szCs w:val="36"/>
        </w:rPr>
      </w:pPr>
    </w:p>
    <w:p w14:paraId="5C52DBB8" w14:textId="77777777" w:rsidR="00BE67AB" w:rsidRPr="008D4934" w:rsidRDefault="00BE67AB" w:rsidP="00BE67AB">
      <w:pPr>
        <w:contextualSpacing/>
        <w:rPr>
          <w:b/>
        </w:rPr>
      </w:pPr>
    </w:p>
    <w:p w14:paraId="71C41874" w14:textId="77777777" w:rsidR="00BE67AB" w:rsidRDefault="00BE67AB">
      <w:pPr>
        <w:keepLines w:val="0"/>
        <w:rPr>
          <w:rFonts w:asciiTheme="minorHAnsi" w:hAnsiTheme="minorHAnsi" w:cstheme="minorHAnsi"/>
          <w:b/>
        </w:rPr>
      </w:pPr>
      <w:r>
        <w:rPr>
          <w:rFonts w:asciiTheme="minorHAnsi" w:hAnsiTheme="minorHAnsi" w:cstheme="minorHAnsi"/>
          <w:b/>
        </w:rPr>
        <w:br w:type="page"/>
      </w:r>
      <w:bookmarkStart w:id="0" w:name="_GoBack"/>
      <w:bookmarkEnd w:id="0"/>
    </w:p>
    <w:p w14:paraId="0AEB0897" w14:textId="77777777" w:rsidR="00BE67AB" w:rsidRPr="00BE67AB" w:rsidRDefault="00BE67AB" w:rsidP="00BE67AB">
      <w:pPr>
        <w:pStyle w:val="Heading1"/>
      </w:pPr>
      <w:r w:rsidRPr="00E11D08">
        <w:lastRenderedPageBreak/>
        <w:t>Overall comments</w:t>
      </w:r>
    </w:p>
    <w:p w14:paraId="75B53270" w14:textId="77777777" w:rsidR="00BE67AB" w:rsidRPr="004652C3" w:rsidRDefault="00BE67AB" w:rsidP="00BE67AB">
      <w:pPr>
        <w:rPr>
          <w:rFonts w:asciiTheme="minorHAnsi" w:hAnsiTheme="minorHAnsi" w:cstheme="minorHAnsi"/>
          <w:b/>
        </w:rPr>
      </w:pPr>
      <w:r w:rsidRPr="004652C3">
        <w:rPr>
          <w:rFonts w:asciiTheme="minorHAnsi" w:hAnsiTheme="minorHAnsi" w:cstheme="minorHAnsi"/>
          <w:b/>
        </w:rPr>
        <w:t>Purpose</w:t>
      </w:r>
    </w:p>
    <w:p w14:paraId="435CEB9F" w14:textId="77777777" w:rsidR="00BE67AB" w:rsidRPr="00094734" w:rsidRDefault="00BE67AB" w:rsidP="00BE67AB">
      <w:pPr>
        <w:keepLines w:val="0"/>
        <w:spacing w:before="100" w:beforeAutospacing="1" w:after="100" w:afterAutospacing="1"/>
        <w:rPr>
          <w:rFonts w:cs="Calibri"/>
        </w:rPr>
      </w:pPr>
      <w:r>
        <w:rPr>
          <w:rFonts w:cs="Calibri"/>
        </w:rPr>
        <w:t xml:space="preserve">This report updates the high-level activity and performance expectations of </w:t>
      </w:r>
      <w:r w:rsidRPr="00094734">
        <w:rPr>
          <w:rFonts w:cs="Calibri"/>
        </w:rPr>
        <w:t xml:space="preserve">the Royal Commission into Historical Abuse in State Care and in the Care of Faith-based Institutions (the </w:t>
      </w:r>
      <w:r>
        <w:rPr>
          <w:rFonts w:cs="Calibri"/>
        </w:rPr>
        <w:t>Inquiry</w:t>
      </w:r>
      <w:r w:rsidRPr="00094734">
        <w:rPr>
          <w:rFonts w:cs="Calibri"/>
        </w:rPr>
        <w:t xml:space="preserve">) for the </w:t>
      </w:r>
      <w:proofErr w:type="gramStart"/>
      <w:r w:rsidRPr="00E11D08">
        <w:rPr>
          <w:rFonts w:cs="Calibri"/>
        </w:rPr>
        <w:t>2020/21</w:t>
      </w:r>
      <w:r>
        <w:rPr>
          <w:rFonts w:cs="Calibri"/>
        </w:rPr>
        <w:t xml:space="preserve"> </w:t>
      </w:r>
      <w:r w:rsidRPr="00094734">
        <w:rPr>
          <w:rFonts w:cs="Calibri"/>
        </w:rPr>
        <w:t>year</w:t>
      </w:r>
      <w:proofErr w:type="gramEnd"/>
      <w:r w:rsidRPr="00094734">
        <w:rPr>
          <w:rFonts w:cs="Calibri"/>
        </w:rPr>
        <w:t xml:space="preserve"> </w:t>
      </w:r>
      <w:r>
        <w:rPr>
          <w:rFonts w:cs="Calibri"/>
        </w:rPr>
        <w:t xml:space="preserve">quarter ended 30 September 2020. </w:t>
      </w:r>
    </w:p>
    <w:p w14:paraId="5EC81331" w14:textId="77777777" w:rsidR="00BE67AB" w:rsidRDefault="00BE67AB" w:rsidP="00BE67AB">
      <w:pPr>
        <w:rPr>
          <w:rFonts w:cs="Calibri"/>
        </w:rPr>
      </w:pPr>
      <w:r w:rsidRPr="004652C3">
        <w:rPr>
          <w:rFonts w:cs="Calibri"/>
        </w:rPr>
        <w:t>In completing this report, we have had regard to the requirements set out in the Ministeria</w:t>
      </w:r>
      <w:r>
        <w:rPr>
          <w:rFonts w:cs="Calibri"/>
        </w:rPr>
        <w:t xml:space="preserve">l Letter of Expectations for 2020/21 </w:t>
      </w:r>
      <w:r w:rsidRPr="004652C3">
        <w:rPr>
          <w:rFonts w:cs="Calibri"/>
        </w:rPr>
        <w:t xml:space="preserve">dated </w:t>
      </w:r>
      <w:r>
        <w:rPr>
          <w:rFonts w:cs="Calibri"/>
        </w:rPr>
        <w:t xml:space="preserve">26 June </w:t>
      </w:r>
      <w:r w:rsidRPr="004652C3">
        <w:rPr>
          <w:rFonts w:cs="Calibri"/>
        </w:rPr>
        <w:t>2020</w:t>
      </w:r>
      <w:r>
        <w:rPr>
          <w:rFonts w:cs="Calibri"/>
        </w:rPr>
        <w:t>.</w:t>
      </w:r>
    </w:p>
    <w:p w14:paraId="3C95363D" w14:textId="77777777" w:rsidR="00BE67AB" w:rsidRDefault="00BE67AB" w:rsidP="00BE67AB">
      <w:pPr>
        <w:keepLines w:val="0"/>
        <w:spacing w:before="0" w:after="0"/>
        <w:rPr>
          <w:rFonts w:eastAsia="Times New Roman"/>
        </w:rPr>
      </w:pPr>
      <w:r w:rsidRPr="00CF1661">
        <w:rPr>
          <w:rFonts w:cs="Calibri"/>
        </w:rPr>
        <w:t>The Chair, Judge Coral Shaw</w:t>
      </w:r>
      <w:r>
        <w:rPr>
          <w:rFonts w:cs="Calibri"/>
        </w:rPr>
        <w:t>,</w:t>
      </w:r>
      <w:r w:rsidRPr="00CF1661">
        <w:rPr>
          <w:rFonts w:cs="Calibri"/>
        </w:rPr>
        <w:t xml:space="preserve"> would welcome an introductory meeting with the Minister at the earliest opportunity.  </w:t>
      </w:r>
    </w:p>
    <w:p w14:paraId="434E8A2B" w14:textId="77777777" w:rsidR="00BE67AB" w:rsidRPr="00CF1661" w:rsidRDefault="00BE67AB" w:rsidP="00BE67AB">
      <w:pPr>
        <w:keepLines w:val="0"/>
        <w:spacing w:before="0" w:after="0"/>
        <w:rPr>
          <w:rFonts w:eastAsia="Times New Roman"/>
        </w:rPr>
      </w:pPr>
    </w:p>
    <w:p w14:paraId="37175C74" w14:textId="77777777" w:rsidR="00BE67AB" w:rsidRDefault="00BE67AB" w:rsidP="00BE67AB">
      <w:pPr>
        <w:contextualSpacing/>
        <w:rPr>
          <w:b/>
        </w:rPr>
      </w:pPr>
      <w:r w:rsidRPr="00687EEA">
        <w:rPr>
          <w:b/>
        </w:rPr>
        <w:t xml:space="preserve">Progressing core delivery </w:t>
      </w:r>
    </w:p>
    <w:p w14:paraId="164296E6" w14:textId="77777777" w:rsidR="00BE67AB" w:rsidRDefault="00BE67AB" w:rsidP="00BE67AB">
      <w:pPr>
        <w:contextualSpacing/>
        <w:rPr>
          <w:b/>
        </w:rPr>
      </w:pPr>
    </w:p>
    <w:p w14:paraId="13A3B758" w14:textId="77777777" w:rsidR="00BE67AB" w:rsidRPr="002452E8" w:rsidRDefault="00BE67AB" w:rsidP="00BE67AB">
      <w:pPr>
        <w:contextualSpacing/>
        <w:rPr>
          <w:u w:val="single"/>
        </w:rPr>
      </w:pPr>
      <w:r w:rsidRPr="002452E8">
        <w:rPr>
          <w:u w:val="single"/>
        </w:rPr>
        <w:t>Additional Commissioner</w:t>
      </w:r>
      <w:r>
        <w:rPr>
          <w:u w:val="single"/>
        </w:rPr>
        <w:br/>
      </w:r>
    </w:p>
    <w:p w14:paraId="0ABD70E1" w14:textId="77777777" w:rsidR="00BE67AB" w:rsidRDefault="00BE67AB" w:rsidP="00BE67AB">
      <w:pPr>
        <w:contextualSpacing/>
      </w:pPr>
      <w:r>
        <w:t xml:space="preserve">We are pleased to advise that </w:t>
      </w:r>
      <w:r w:rsidRPr="002452E8">
        <w:t>Julia Steenson</w:t>
      </w:r>
      <w:r>
        <w:t>, the fifth Commissioner commenced duties in Augus</w:t>
      </w:r>
      <w:r w:rsidR="00EE173C" w:rsidRPr="00E11D08">
        <w:t>t</w:t>
      </w:r>
      <w:r w:rsidRPr="00E11D08">
        <w:t>.</w:t>
      </w:r>
      <w:r>
        <w:t xml:space="preserve"> Julia is a welcome addition, providing extra support and expertise to our mahi. </w:t>
      </w:r>
    </w:p>
    <w:p w14:paraId="20A02D46" w14:textId="77777777" w:rsidR="00BE67AB" w:rsidRPr="002452E8" w:rsidRDefault="00BE67AB" w:rsidP="00BE67AB">
      <w:pPr>
        <w:contextualSpacing/>
      </w:pPr>
    </w:p>
    <w:p w14:paraId="3BF59F7C" w14:textId="77777777" w:rsidR="00BE67AB" w:rsidRPr="001072DD" w:rsidRDefault="00BE67AB" w:rsidP="00BE67AB">
      <w:pPr>
        <w:contextualSpacing/>
        <w:rPr>
          <w:u w:val="single"/>
        </w:rPr>
      </w:pPr>
      <w:r w:rsidRPr="002B33B6">
        <w:rPr>
          <w:u w:val="single"/>
        </w:rPr>
        <w:t>Public Hearings</w:t>
      </w:r>
      <w:r>
        <w:rPr>
          <w:u w:val="single"/>
        </w:rPr>
        <w:br/>
      </w:r>
    </w:p>
    <w:p w14:paraId="58F435B5" w14:textId="77777777" w:rsidR="00BE67AB" w:rsidRDefault="00BE67AB" w:rsidP="00BE67AB">
      <w:pPr>
        <w:contextualSpacing/>
      </w:pPr>
      <w:r w:rsidRPr="006A2A99">
        <w:t xml:space="preserve">The first phase of the State Redress hearing </w:t>
      </w:r>
      <w:r>
        <w:t xml:space="preserve">commenced on 21 September when the Inquiry heard from </w:t>
      </w:r>
      <w:r w:rsidRPr="006A2A99">
        <w:t xml:space="preserve">survivors of abuse in care about civil claims made against the State. It </w:t>
      </w:r>
      <w:r>
        <w:t xml:space="preserve">also heard from survivors </w:t>
      </w:r>
      <w:r w:rsidRPr="006A2A99">
        <w:t xml:space="preserve">about civil litigation in the courts and before the Human Rights Tribunal. </w:t>
      </w:r>
      <w:r>
        <w:t xml:space="preserve"> </w:t>
      </w:r>
      <w:r>
        <w:br/>
      </w:r>
    </w:p>
    <w:p w14:paraId="2BBD3C8B" w14:textId="77777777" w:rsidR="00BE67AB" w:rsidRDefault="00BE67AB" w:rsidP="00BE67AB">
      <w:pPr>
        <w:contextualSpacing/>
      </w:pPr>
      <w:r>
        <w:t xml:space="preserve">Fifteen individual witnesses gave evidence including survivors, lawyers representing claimants, and representatives of Non-Governmental </w:t>
      </w:r>
      <w:r w:rsidRPr="003A3ECF">
        <w:t>Organisations</w:t>
      </w:r>
      <w:r>
        <w:t xml:space="preserve">. </w:t>
      </w:r>
    </w:p>
    <w:p w14:paraId="15C86788" w14:textId="77777777" w:rsidR="00BE67AB" w:rsidRDefault="00BE67AB" w:rsidP="00BE67AB">
      <w:pPr>
        <w:contextualSpacing/>
        <w:rPr>
          <w:rFonts w:asciiTheme="minorHAnsi" w:eastAsia="Times New Roman" w:hAnsiTheme="minorHAnsi" w:cstheme="minorHAnsi"/>
          <w:lang w:val="en" w:eastAsia="en-NZ"/>
        </w:rPr>
      </w:pPr>
    </w:p>
    <w:p w14:paraId="44388760" w14:textId="77777777" w:rsidR="00BE67AB" w:rsidRPr="009A4B44" w:rsidRDefault="00BE67AB" w:rsidP="00BE67AB">
      <w:pPr>
        <w:contextualSpacing/>
        <w:rPr>
          <w:b/>
          <w:u w:val="single"/>
        </w:rPr>
      </w:pPr>
      <w:proofErr w:type="gramStart"/>
      <w:r>
        <w:rPr>
          <w:rFonts w:asciiTheme="minorHAnsi" w:eastAsia="Times New Roman" w:hAnsiTheme="minorHAnsi" w:cstheme="minorHAnsi"/>
          <w:lang w:val="en" w:eastAsia="en-NZ"/>
        </w:rPr>
        <w:t>A number of</w:t>
      </w:r>
      <w:proofErr w:type="gramEnd"/>
      <w:r>
        <w:rPr>
          <w:rFonts w:asciiTheme="minorHAnsi" w:eastAsia="Times New Roman" w:hAnsiTheme="minorHAnsi" w:cstheme="minorHAnsi"/>
          <w:lang w:val="en" w:eastAsia="en-NZ"/>
        </w:rPr>
        <w:t xml:space="preserve"> additional health and safety protocols were implemented to enable the Redress hearing to proceed while Auckland was at COVID-19 Alert 2, including</w:t>
      </w:r>
      <w:r w:rsidRPr="00F41156">
        <w:rPr>
          <w:rFonts w:asciiTheme="minorHAnsi" w:eastAsia="Times New Roman" w:hAnsiTheme="minorHAnsi" w:cstheme="minorHAnsi"/>
          <w:bCs/>
          <w:iCs/>
        </w:rPr>
        <w:t>:</w:t>
      </w:r>
      <w:r>
        <w:rPr>
          <w:rFonts w:asciiTheme="minorHAnsi" w:eastAsia="Times New Roman" w:hAnsiTheme="minorHAnsi" w:cstheme="minorHAnsi"/>
          <w:bCs/>
          <w:iCs/>
        </w:rPr>
        <w:br/>
      </w:r>
    </w:p>
    <w:p w14:paraId="47AE45D7" w14:textId="77777777" w:rsidR="00BE67AB" w:rsidRPr="00DD23D1" w:rsidRDefault="00BE67AB" w:rsidP="00BE67AB">
      <w:pPr>
        <w:keepLines w:val="0"/>
        <w:numPr>
          <w:ilvl w:val="0"/>
          <w:numId w:val="25"/>
        </w:numPr>
        <w:spacing w:before="0" w:after="0"/>
        <w:ind w:hanging="654"/>
        <w:rPr>
          <w:rFonts w:eastAsia="Times New Roman"/>
        </w:rPr>
      </w:pPr>
      <w:r>
        <w:rPr>
          <w:rFonts w:eastAsia="Times New Roman"/>
        </w:rPr>
        <w:t xml:space="preserve">providing a </w:t>
      </w:r>
      <w:r w:rsidRPr="00DD23D1">
        <w:rPr>
          <w:rFonts w:eastAsia="Times New Roman"/>
        </w:rPr>
        <w:t xml:space="preserve">Healthcare </w:t>
      </w:r>
      <w:r>
        <w:rPr>
          <w:rFonts w:eastAsia="Times New Roman"/>
        </w:rPr>
        <w:t xml:space="preserve">nurse </w:t>
      </w:r>
      <w:r w:rsidRPr="00DD23D1">
        <w:rPr>
          <w:rFonts w:eastAsia="Times New Roman"/>
        </w:rPr>
        <w:t>to under</w:t>
      </w:r>
      <w:r>
        <w:rPr>
          <w:rFonts w:eastAsia="Times New Roman"/>
        </w:rPr>
        <w:t>take temperature checks for</w:t>
      </w:r>
      <w:r w:rsidRPr="00DD23D1">
        <w:rPr>
          <w:rFonts w:eastAsia="Times New Roman"/>
        </w:rPr>
        <w:t xml:space="preserve"> all those entering for the hearing;</w:t>
      </w:r>
    </w:p>
    <w:p w14:paraId="03BA2C64" w14:textId="77777777" w:rsidR="00BE67AB" w:rsidRPr="00DD23D1" w:rsidRDefault="00BE67AB" w:rsidP="00BE67AB">
      <w:pPr>
        <w:keepLines w:val="0"/>
        <w:numPr>
          <w:ilvl w:val="0"/>
          <w:numId w:val="25"/>
        </w:numPr>
        <w:spacing w:before="0" w:after="0"/>
        <w:ind w:hanging="654"/>
        <w:rPr>
          <w:rFonts w:eastAsia="Times New Roman"/>
        </w:rPr>
      </w:pPr>
      <w:r>
        <w:rPr>
          <w:rFonts w:eastAsia="Times New Roman"/>
        </w:rPr>
        <w:t>m</w:t>
      </w:r>
      <w:r w:rsidRPr="00DD23D1">
        <w:rPr>
          <w:rFonts w:eastAsia="Times New Roman"/>
        </w:rPr>
        <w:t xml:space="preserve">asks and gloves </w:t>
      </w:r>
      <w:r>
        <w:rPr>
          <w:rFonts w:eastAsia="Times New Roman"/>
        </w:rPr>
        <w:t>were provided but were not mandatory;</w:t>
      </w:r>
    </w:p>
    <w:p w14:paraId="18459F4B" w14:textId="77777777" w:rsidR="00BE67AB" w:rsidRDefault="00BE67AB" w:rsidP="00BE67AB">
      <w:pPr>
        <w:keepLines w:val="0"/>
        <w:numPr>
          <w:ilvl w:val="0"/>
          <w:numId w:val="25"/>
        </w:numPr>
        <w:spacing w:before="0" w:after="0"/>
        <w:ind w:hanging="654"/>
        <w:rPr>
          <w:rFonts w:eastAsia="Times New Roman"/>
        </w:rPr>
      </w:pPr>
      <w:r>
        <w:rPr>
          <w:rFonts w:eastAsia="Times New Roman"/>
        </w:rPr>
        <w:t xml:space="preserve">two </w:t>
      </w:r>
      <w:r w:rsidRPr="00DD23D1">
        <w:rPr>
          <w:rFonts w:eastAsia="Times New Roman"/>
        </w:rPr>
        <w:t xml:space="preserve">Hygiene </w:t>
      </w:r>
      <w:r>
        <w:rPr>
          <w:rFonts w:eastAsia="Times New Roman"/>
        </w:rPr>
        <w:t xml:space="preserve">Officers were in attendance </w:t>
      </w:r>
      <w:r w:rsidRPr="00DD23D1">
        <w:rPr>
          <w:rFonts w:eastAsia="Times New Roman"/>
        </w:rPr>
        <w:t xml:space="preserve">to ensure physical distancing and hygiene requirements </w:t>
      </w:r>
      <w:r>
        <w:rPr>
          <w:rFonts w:eastAsia="Times New Roman"/>
        </w:rPr>
        <w:t>were met;</w:t>
      </w:r>
    </w:p>
    <w:p w14:paraId="41FCC51B" w14:textId="77777777" w:rsidR="00BE67AB" w:rsidRPr="00BD6596" w:rsidRDefault="00BE67AB" w:rsidP="00BE67AB">
      <w:pPr>
        <w:keepLines w:val="0"/>
        <w:numPr>
          <w:ilvl w:val="0"/>
          <w:numId w:val="25"/>
        </w:numPr>
        <w:spacing w:before="0" w:after="0"/>
        <w:ind w:hanging="654"/>
        <w:rPr>
          <w:rFonts w:eastAsia="Times New Roman"/>
        </w:rPr>
      </w:pPr>
      <w:r>
        <w:rPr>
          <w:rFonts w:eastAsia="Times New Roman"/>
        </w:rPr>
        <w:t xml:space="preserve">management of the number of people who were able to attend, with a maximum of 72. This was </w:t>
      </w:r>
      <w:r w:rsidRPr="00DF4CE3">
        <w:rPr>
          <w:rFonts w:asciiTheme="minorHAnsi" w:eastAsia="Times New Roman" w:hAnsiTheme="minorHAnsi" w:cstheme="minorHAnsi"/>
          <w:bCs/>
          <w:iCs/>
        </w:rPr>
        <w:t>made up of staff, media, witnesses and whanau, opposing counsel, external contractors and stakeholders invited by Commissioners</w:t>
      </w:r>
      <w:r>
        <w:rPr>
          <w:rFonts w:eastAsia="Times New Roman"/>
        </w:rPr>
        <w:t xml:space="preserve">.  It was not possible to accommodate members of the public at this hearing. </w:t>
      </w:r>
    </w:p>
    <w:p w14:paraId="192273E1" w14:textId="77777777" w:rsidR="00BE67AB" w:rsidRPr="00CE4196" w:rsidRDefault="00BE67AB" w:rsidP="00BE67AB">
      <w:pPr>
        <w:keepLines w:val="0"/>
        <w:numPr>
          <w:ilvl w:val="0"/>
          <w:numId w:val="25"/>
        </w:numPr>
        <w:spacing w:before="0" w:after="0"/>
        <w:ind w:hanging="654"/>
        <w:rPr>
          <w:rFonts w:eastAsia="Times New Roman"/>
        </w:rPr>
      </w:pPr>
      <w:r w:rsidRPr="009A4B44">
        <w:rPr>
          <w:rFonts w:asciiTheme="minorHAnsi" w:eastAsia="Times New Roman" w:hAnsiTheme="minorHAnsi" w:cstheme="minorHAnsi"/>
          <w:bCs/>
          <w:iCs/>
        </w:rPr>
        <w:t xml:space="preserve">Given the limitation on social distancing only </w:t>
      </w:r>
      <w:r>
        <w:rPr>
          <w:rFonts w:asciiTheme="minorHAnsi" w:eastAsia="Times New Roman" w:hAnsiTheme="minorHAnsi" w:cstheme="minorHAnsi"/>
          <w:bCs/>
          <w:iCs/>
        </w:rPr>
        <w:t>three C</w:t>
      </w:r>
      <w:r w:rsidRPr="009A4B44">
        <w:rPr>
          <w:rFonts w:asciiTheme="minorHAnsi" w:eastAsia="Times New Roman" w:hAnsiTheme="minorHAnsi" w:cstheme="minorHAnsi"/>
          <w:bCs/>
          <w:iCs/>
        </w:rPr>
        <w:t xml:space="preserve">ommissioners </w:t>
      </w:r>
      <w:r>
        <w:rPr>
          <w:rFonts w:asciiTheme="minorHAnsi" w:eastAsia="Times New Roman" w:hAnsiTheme="minorHAnsi" w:cstheme="minorHAnsi"/>
          <w:bCs/>
          <w:iCs/>
        </w:rPr>
        <w:t xml:space="preserve">were in attendance. </w:t>
      </w:r>
      <w:r w:rsidRPr="009A4B44">
        <w:rPr>
          <w:rFonts w:asciiTheme="minorHAnsi" w:eastAsia="Times New Roman" w:hAnsiTheme="minorHAnsi" w:cstheme="minorHAnsi"/>
          <w:bCs/>
          <w:iCs/>
        </w:rPr>
        <w:t xml:space="preserve"> </w:t>
      </w:r>
    </w:p>
    <w:p w14:paraId="59C434C3" w14:textId="77777777" w:rsidR="00BE67AB" w:rsidRDefault="00BE67AB" w:rsidP="00BE67AB">
      <w:pPr>
        <w:keepLines w:val="0"/>
        <w:spacing w:before="0" w:after="0"/>
        <w:rPr>
          <w:rFonts w:asciiTheme="minorHAnsi" w:eastAsia="Times New Roman" w:hAnsiTheme="minorHAnsi" w:cstheme="minorHAnsi"/>
          <w:bCs/>
          <w:iCs/>
        </w:rPr>
      </w:pPr>
    </w:p>
    <w:p w14:paraId="5955A557" w14:textId="273A9C2C" w:rsidR="006C50A0" w:rsidRPr="00F86306" w:rsidRDefault="00BE67AB" w:rsidP="00F86306">
      <w:pPr>
        <w:keepLines w:val="0"/>
        <w:spacing w:before="0" w:after="0"/>
        <w:rPr>
          <w:rFonts w:asciiTheme="minorHAnsi" w:eastAsia="Times New Roman" w:hAnsiTheme="minorHAnsi" w:cstheme="minorHAnsi"/>
          <w:bCs/>
          <w:iCs/>
        </w:rPr>
      </w:pPr>
      <w:r>
        <w:rPr>
          <w:rFonts w:asciiTheme="minorHAnsi" w:eastAsia="Times New Roman" w:hAnsiTheme="minorHAnsi" w:cstheme="minorHAnsi"/>
          <w:bCs/>
          <w:iCs/>
        </w:rPr>
        <w:t xml:space="preserve">Two hearings will take place in the next quarter; the second phase of the State Redress when witnesses for the Crown will give evidence (19 October – 4 November) and Faith-Based Redress (30 November – 11 December). The </w:t>
      </w:r>
      <w:r w:rsidRPr="001F7F26">
        <w:rPr>
          <w:rFonts w:asciiTheme="minorHAnsi" w:eastAsia="Times New Roman" w:hAnsiTheme="minorHAnsi" w:cstheme="minorHAnsi"/>
          <w:bCs/>
          <w:iCs/>
        </w:rPr>
        <w:t xml:space="preserve">focus of the latter will be on the redress </w:t>
      </w:r>
      <w:r w:rsidRPr="001F7F26">
        <w:rPr>
          <w:rFonts w:asciiTheme="minorHAnsi" w:eastAsia="Times New Roman" w:hAnsiTheme="minorHAnsi" w:cstheme="minorHAnsi"/>
          <w:bCs/>
          <w:iCs/>
        </w:rPr>
        <w:lastRenderedPageBreak/>
        <w:t xml:space="preserve">processes of the Catholic Church, Anglican Church and the Salvation Army. The Royal Commission will investigate the adequacy of redress and what needs to be done to support people who have been abused or neglected in </w:t>
      </w:r>
      <w:r>
        <w:rPr>
          <w:rFonts w:asciiTheme="minorHAnsi" w:eastAsia="Times New Roman" w:hAnsiTheme="minorHAnsi" w:cstheme="minorHAnsi"/>
          <w:bCs/>
          <w:iCs/>
        </w:rPr>
        <w:t>f</w:t>
      </w:r>
      <w:r w:rsidRPr="001F7F26">
        <w:rPr>
          <w:rFonts w:asciiTheme="minorHAnsi" w:eastAsia="Times New Roman" w:hAnsiTheme="minorHAnsi" w:cstheme="minorHAnsi"/>
          <w:bCs/>
          <w:iCs/>
        </w:rPr>
        <w:t>aith-based institutions.</w:t>
      </w:r>
      <w:r>
        <w:rPr>
          <w:rFonts w:asciiTheme="minorHAnsi" w:eastAsia="Times New Roman" w:hAnsiTheme="minorHAnsi" w:cstheme="minorHAnsi"/>
          <w:bCs/>
          <w:iCs/>
        </w:rPr>
        <w:t xml:space="preserve">  Key themes from the State Redress hearing will be reflected in the Substantive Interim Report, due to be provided in December 2020. </w:t>
      </w:r>
      <w:bookmarkStart w:id="1" w:name="_Hlk55300071"/>
      <w:r w:rsidR="00F86306">
        <w:rPr>
          <w:rFonts w:asciiTheme="minorHAnsi" w:eastAsia="Times New Roman" w:hAnsiTheme="minorHAnsi" w:cstheme="minorHAnsi"/>
          <w:bCs/>
          <w:iCs/>
        </w:rPr>
        <w:br/>
      </w:r>
    </w:p>
    <w:p w14:paraId="45B4D592" w14:textId="77777777" w:rsidR="00BE67AB" w:rsidRDefault="00BE67AB" w:rsidP="00BE67AB">
      <w:pPr>
        <w:spacing w:after="120"/>
      </w:pPr>
      <w:r w:rsidRPr="001F7F26">
        <w:rPr>
          <w:rFonts w:asciiTheme="minorHAnsi" w:eastAsia="Times New Roman" w:hAnsiTheme="minorHAnsi" w:cstheme="minorHAnsi"/>
          <w:bCs/>
          <w:iCs/>
          <w:u w:val="single"/>
        </w:rPr>
        <w:t xml:space="preserve">Investigations </w:t>
      </w:r>
      <w:r w:rsidRPr="001F7F26">
        <w:rPr>
          <w:rFonts w:asciiTheme="minorHAnsi" w:eastAsia="Times New Roman" w:hAnsiTheme="minorHAnsi" w:cstheme="minorHAnsi"/>
          <w:bCs/>
          <w:iCs/>
          <w:u w:val="single"/>
        </w:rPr>
        <w:br/>
      </w:r>
      <w:r>
        <w:rPr>
          <w:rFonts w:asciiTheme="minorHAnsi" w:eastAsia="Times New Roman" w:hAnsiTheme="minorHAnsi" w:cstheme="minorHAnsi"/>
          <w:bCs/>
          <w:iCs/>
        </w:rPr>
        <w:br/>
      </w:r>
      <w:bookmarkEnd w:id="1"/>
      <w:r>
        <w:t xml:space="preserve">Nine investigations are now underway and six have published scope statements.  These are Residences, Psychiatric, Māori, Catholic, Anglican, and Redress.  The Pacific and Disability scopes will be published in due course. Each investigation has a Counsel Assist appointed and in place to lead it. They are supported by a multi-disciplinary team, comprising resources and expertise from across the Inquiry.  The focus of the investigation work is currently on obtaining documentary or witness evidence and working to ensure relevant witnesses are identified and approached. </w:t>
      </w:r>
    </w:p>
    <w:p w14:paraId="45720925" w14:textId="77777777" w:rsidR="00BE67AB" w:rsidRDefault="00BE67AB" w:rsidP="00BE67AB">
      <w:pPr>
        <w:spacing w:after="120"/>
      </w:pPr>
      <w:r>
        <w:t xml:space="preserve">We have, however, decided to rate the overall investigation programme as amber, on track but under close management. This is because research and policy plans for each investigation are still being finalised and the investigations programme </w:t>
      </w:r>
      <w:proofErr w:type="gramStart"/>
      <w:r>
        <w:t>as a whole is</w:t>
      </w:r>
      <w:proofErr w:type="gramEnd"/>
      <w:r>
        <w:t xml:space="preserve"> still not fully resourced, with a number of roles in their final recruitment stages.</w:t>
      </w:r>
    </w:p>
    <w:p w14:paraId="1C1D24DF" w14:textId="2AB1C466" w:rsidR="00BE67AB" w:rsidRPr="00F86306" w:rsidRDefault="00BE67AB" w:rsidP="00F86306">
      <w:pPr>
        <w:spacing w:after="120"/>
      </w:pPr>
      <w:r>
        <w:t>We expect to report progress in all these areas in the next quarter.</w:t>
      </w:r>
      <w:r>
        <w:br/>
      </w:r>
      <w:r w:rsidR="00F86306">
        <w:br/>
      </w:r>
      <w:r>
        <w:rPr>
          <w:u w:val="single"/>
        </w:rPr>
        <w:t xml:space="preserve">Survivor Accounts </w:t>
      </w:r>
      <w:r>
        <w:rPr>
          <w:u w:val="single"/>
        </w:rPr>
        <w:br/>
      </w:r>
    </w:p>
    <w:p w14:paraId="251C3C4E" w14:textId="77777777" w:rsidR="00BE67AB" w:rsidRDefault="00BE67AB" w:rsidP="00BE67AB">
      <w:pPr>
        <w:contextualSpacing/>
      </w:pPr>
      <w:r>
        <w:t xml:space="preserve">Overall, survivor contact (phone calls and emails) increased during this quarter. This was particularly evident in September during the public redress hearing but was also driven by increased registrations and the management of private session bookings.  </w:t>
      </w:r>
      <w:r>
        <w:br/>
      </w:r>
      <w:r>
        <w:br/>
        <w:t xml:space="preserve">Contact Centre volumes increased four to five -fold during the redress hearing and there was a corresponding significant increase in registrations, from an average of 1-2 per day during non-public hearing periods to 5-6 during the hearing. A total of 45 registrations were received over the course of the two-week hearing (see table below). We have implemented a new telephony system which will enable us to more accurately track call volumes going forward. </w:t>
      </w:r>
    </w:p>
    <w:p w14:paraId="47424624" w14:textId="77777777" w:rsidR="00BE67AB" w:rsidRDefault="00BE67AB" w:rsidP="00BE67AB">
      <w:pPr>
        <w:contextualSpacing/>
      </w:pPr>
    </w:p>
    <w:p w14:paraId="5489A9B2" w14:textId="77777777" w:rsidR="00BE67AB" w:rsidRPr="007617D1" w:rsidRDefault="00BE67AB" w:rsidP="00BE67AB">
      <w:pPr>
        <w:contextualSpacing/>
        <w:rPr>
          <w:b/>
        </w:rPr>
      </w:pPr>
      <w:r w:rsidRPr="007617D1">
        <w:rPr>
          <w:b/>
        </w:rPr>
        <w:t>Table: Contacts to and from the Contact Centre pr</w:t>
      </w:r>
      <w:r>
        <w:rPr>
          <w:b/>
        </w:rPr>
        <w:t xml:space="preserve">ior to and </w:t>
      </w:r>
      <w:r w:rsidRPr="007617D1">
        <w:rPr>
          <w:b/>
        </w:rPr>
        <w:t>during</w:t>
      </w:r>
      <w:r>
        <w:rPr>
          <w:b/>
        </w:rPr>
        <w:t xml:space="preserve"> </w:t>
      </w:r>
      <w:r w:rsidRPr="007617D1">
        <w:rPr>
          <w:b/>
        </w:rPr>
        <w:t xml:space="preserve">the September 2020 State Redress Hearing </w:t>
      </w:r>
      <w:r>
        <w:rPr>
          <w:b/>
        </w:rPr>
        <w:br/>
      </w:r>
    </w:p>
    <w:tbl>
      <w:tblPr>
        <w:tblStyle w:val="DIATable"/>
        <w:tblW w:w="4624" w:type="pct"/>
        <w:tblInd w:w="127" w:type="dxa"/>
        <w:tblLook w:val="04A0" w:firstRow="1" w:lastRow="0" w:firstColumn="1" w:lastColumn="0" w:noHBand="0" w:noVBand="1"/>
      </w:tblPr>
      <w:tblGrid>
        <w:gridCol w:w="2716"/>
        <w:gridCol w:w="1682"/>
        <w:gridCol w:w="2122"/>
        <w:gridCol w:w="1841"/>
      </w:tblGrid>
      <w:tr w:rsidR="00BE67AB" w14:paraId="455D4175" w14:textId="77777777" w:rsidTr="00AC00E3">
        <w:trPr>
          <w:cnfStyle w:val="100000000000" w:firstRow="1" w:lastRow="0" w:firstColumn="0" w:lastColumn="0" w:oddVBand="0" w:evenVBand="0" w:oddHBand="0" w:evenHBand="0" w:firstRowFirstColumn="0" w:firstRowLastColumn="0" w:lastRowFirstColumn="0" w:lastRowLastColumn="0"/>
        </w:trPr>
        <w:tc>
          <w:tcPr>
            <w:tcW w:w="1624" w:type="pct"/>
            <w:shd w:val="clear" w:color="auto" w:fill="173E50" w:themeFill="text2" w:themeFillShade="BF"/>
          </w:tcPr>
          <w:p w14:paraId="403FEA9B" w14:textId="77777777" w:rsidR="00BE67AB" w:rsidRDefault="00BE67AB" w:rsidP="00AC00E3">
            <w:pPr>
              <w:ind w:hanging="367"/>
              <w:contextualSpacing/>
            </w:pPr>
          </w:p>
        </w:tc>
        <w:tc>
          <w:tcPr>
            <w:tcW w:w="1006" w:type="pct"/>
            <w:shd w:val="clear" w:color="auto" w:fill="173E50" w:themeFill="text2" w:themeFillShade="BF"/>
            <w:vAlign w:val="center"/>
          </w:tcPr>
          <w:p w14:paraId="6F180716" w14:textId="77777777" w:rsidR="00BE67AB" w:rsidRPr="00C00894" w:rsidRDefault="00BE67AB" w:rsidP="00AC00E3">
            <w:pPr>
              <w:contextualSpacing/>
            </w:pPr>
            <w:r w:rsidRPr="00C00894">
              <w:rPr>
                <w:b w:val="0"/>
                <w:bCs/>
                <w:szCs w:val="22"/>
                <w:lang w:eastAsia="en-NZ"/>
              </w:rPr>
              <w:t>Week 14 Sept</w:t>
            </w:r>
          </w:p>
        </w:tc>
        <w:tc>
          <w:tcPr>
            <w:tcW w:w="1269" w:type="pct"/>
            <w:shd w:val="clear" w:color="auto" w:fill="173E50" w:themeFill="text2" w:themeFillShade="BF"/>
            <w:vAlign w:val="center"/>
          </w:tcPr>
          <w:p w14:paraId="07D4BB7A" w14:textId="77777777" w:rsidR="00BE67AB" w:rsidRPr="00C00894" w:rsidRDefault="00BE67AB" w:rsidP="00AC00E3">
            <w:pPr>
              <w:contextualSpacing/>
            </w:pPr>
            <w:r w:rsidRPr="00C00894">
              <w:rPr>
                <w:b w:val="0"/>
                <w:bCs/>
                <w:szCs w:val="22"/>
                <w:lang w:eastAsia="en-NZ"/>
              </w:rPr>
              <w:t>1st Week Public Hearings</w:t>
            </w:r>
          </w:p>
        </w:tc>
        <w:tc>
          <w:tcPr>
            <w:tcW w:w="1101" w:type="pct"/>
            <w:shd w:val="clear" w:color="auto" w:fill="173E50" w:themeFill="text2" w:themeFillShade="BF"/>
            <w:vAlign w:val="center"/>
          </w:tcPr>
          <w:p w14:paraId="0728DAC4" w14:textId="77777777" w:rsidR="00BE67AB" w:rsidRPr="00C00894" w:rsidRDefault="00BE67AB" w:rsidP="00AC00E3">
            <w:pPr>
              <w:contextualSpacing/>
            </w:pPr>
            <w:r w:rsidRPr="00C00894">
              <w:rPr>
                <w:b w:val="0"/>
                <w:bCs/>
                <w:szCs w:val="22"/>
                <w:lang w:eastAsia="en-NZ"/>
              </w:rPr>
              <w:t>2nd Week Public Hearings</w:t>
            </w:r>
          </w:p>
        </w:tc>
      </w:tr>
      <w:tr w:rsidR="00BE67AB" w14:paraId="463B151D" w14:textId="77777777" w:rsidTr="00AC00E3">
        <w:tc>
          <w:tcPr>
            <w:tcW w:w="1624" w:type="pct"/>
          </w:tcPr>
          <w:p w14:paraId="25A4FE72" w14:textId="77777777" w:rsidR="00BE67AB" w:rsidRDefault="00BE67AB" w:rsidP="00AC00E3">
            <w:pPr>
              <w:contextualSpacing/>
            </w:pPr>
            <w:r>
              <w:t xml:space="preserve">Registrations Full </w:t>
            </w:r>
          </w:p>
        </w:tc>
        <w:tc>
          <w:tcPr>
            <w:tcW w:w="1006" w:type="pct"/>
            <w:vAlign w:val="center"/>
          </w:tcPr>
          <w:p w14:paraId="45C22631" w14:textId="77777777" w:rsidR="00BE67AB" w:rsidRDefault="00BE67AB" w:rsidP="00AC00E3">
            <w:pPr>
              <w:contextualSpacing/>
            </w:pPr>
            <w:r w:rsidRPr="007158B8">
              <w:rPr>
                <w:color w:val="000000"/>
                <w:szCs w:val="22"/>
                <w:lang w:eastAsia="en-NZ"/>
              </w:rPr>
              <w:t>4</w:t>
            </w:r>
          </w:p>
        </w:tc>
        <w:tc>
          <w:tcPr>
            <w:tcW w:w="1269" w:type="pct"/>
            <w:vAlign w:val="center"/>
          </w:tcPr>
          <w:p w14:paraId="44400A48" w14:textId="77777777" w:rsidR="00BE67AB" w:rsidRDefault="00BE67AB" w:rsidP="00AC00E3">
            <w:pPr>
              <w:contextualSpacing/>
            </w:pPr>
            <w:r w:rsidRPr="007158B8">
              <w:rPr>
                <w:color w:val="000000"/>
                <w:szCs w:val="22"/>
                <w:lang w:eastAsia="en-NZ"/>
              </w:rPr>
              <w:t>23</w:t>
            </w:r>
          </w:p>
        </w:tc>
        <w:tc>
          <w:tcPr>
            <w:tcW w:w="1101" w:type="pct"/>
            <w:vAlign w:val="center"/>
          </w:tcPr>
          <w:p w14:paraId="67D735E2" w14:textId="77777777" w:rsidR="00BE67AB" w:rsidRPr="00C00894" w:rsidRDefault="00BE67AB" w:rsidP="00AC00E3">
            <w:pPr>
              <w:contextualSpacing/>
              <w:rPr>
                <w:color w:val="FF0000"/>
              </w:rPr>
            </w:pPr>
            <w:r w:rsidRPr="007158B8">
              <w:rPr>
                <w:color w:val="000000"/>
                <w:szCs w:val="22"/>
                <w:lang w:eastAsia="en-NZ"/>
              </w:rPr>
              <w:t>22</w:t>
            </w:r>
          </w:p>
        </w:tc>
      </w:tr>
      <w:tr w:rsidR="00BE67AB" w14:paraId="6BC5ACF0" w14:textId="77777777" w:rsidTr="00AC00E3">
        <w:tc>
          <w:tcPr>
            <w:tcW w:w="1624" w:type="pct"/>
          </w:tcPr>
          <w:p w14:paraId="63A5D698" w14:textId="77777777" w:rsidR="00BE67AB" w:rsidRDefault="00BE67AB" w:rsidP="00AC00E3">
            <w:pPr>
              <w:contextualSpacing/>
            </w:pPr>
            <w:r>
              <w:t xml:space="preserve">Registrations </w:t>
            </w:r>
            <w:proofErr w:type="spellStart"/>
            <w:r>
              <w:t>Lite</w:t>
            </w:r>
            <w:proofErr w:type="spellEnd"/>
            <w:r>
              <w:t xml:space="preserve"> #</w:t>
            </w:r>
          </w:p>
        </w:tc>
        <w:tc>
          <w:tcPr>
            <w:tcW w:w="1006" w:type="pct"/>
            <w:vAlign w:val="center"/>
          </w:tcPr>
          <w:p w14:paraId="6C2675FC" w14:textId="77777777" w:rsidR="00BE67AB" w:rsidRDefault="00BE67AB" w:rsidP="00AC00E3">
            <w:pPr>
              <w:contextualSpacing/>
            </w:pPr>
            <w:r w:rsidRPr="007158B8">
              <w:rPr>
                <w:color w:val="000000"/>
                <w:szCs w:val="22"/>
                <w:lang w:eastAsia="en-NZ"/>
              </w:rPr>
              <w:t>0</w:t>
            </w:r>
          </w:p>
        </w:tc>
        <w:tc>
          <w:tcPr>
            <w:tcW w:w="1269" w:type="pct"/>
            <w:vAlign w:val="center"/>
          </w:tcPr>
          <w:p w14:paraId="1A892C8D" w14:textId="77777777" w:rsidR="00BE67AB" w:rsidRDefault="00BE67AB" w:rsidP="00AC00E3">
            <w:pPr>
              <w:contextualSpacing/>
            </w:pPr>
            <w:r w:rsidRPr="007158B8">
              <w:rPr>
                <w:color w:val="000000"/>
                <w:szCs w:val="22"/>
                <w:lang w:eastAsia="en-NZ"/>
              </w:rPr>
              <w:t>1</w:t>
            </w:r>
          </w:p>
        </w:tc>
        <w:tc>
          <w:tcPr>
            <w:tcW w:w="1101" w:type="pct"/>
            <w:vAlign w:val="center"/>
          </w:tcPr>
          <w:p w14:paraId="1B7ED532" w14:textId="77777777" w:rsidR="00BE67AB" w:rsidRPr="00C00894" w:rsidRDefault="00BE67AB" w:rsidP="00AC00E3">
            <w:pPr>
              <w:contextualSpacing/>
              <w:rPr>
                <w:color w:val="FF0000"/>
              </w:rPr>
            </w:pPr>
            <w:r w:rsidRPr="007158B8">
              <w:rPr>
                <w:color w:val="000000"/>
                <w:szCs w:val="22"/>
                <w:lang w:eastAsia="en-NZ"/>
              </w:rPr>
              <w:t>0</w:t>
            </w:r>
          </w:p>
        </w:tc>
      </w:tr>
      <w:tr w:rsidR="00BE67AB" w14:paraId="51EF3332" w14:textId="77777777" w:rsidTr="00AC00E3">
        <w:tc>
          <w:tcPr>
            <w:tcW w:w="1624" w:type="pct"/>
          </w:tcPr>
          <w:p w14:paraId="198861DC" w14:textId="77777777" w:rsidR="00BE67AB" w:rsidRDefault="00BE67AB" w:rsidP="00AC00E3">
            <w:pPr>
              <w:contextualSpacing/>
            </w:pPr>
            <w:r>
              <w:t>Phone Calls Out</w:t>
            </w:r>
          </w:p>
        </w:tc>
        <w:tc>
          <w:tcPr>
            <w:tcW w:w="1006" w:type="pct"/>
            <w:vAlign w:val="center"/>
          </w:tcPr>
          <w:p w14:paraId="201EF357" w14:textId="77777777" w:rsidR="00BE67AB" w:rsidRDefault="00BE67AB" w:rsidP="00AC00E3">
            <w:pPr>
              <w:contextualSpacing/>
            </w:pPr>
            <w:r w:rsidRPr="007158B8">
              <w:rPr>
                <w:color w:val="000000"/>
                <w:szCs w:val="22"/>
                <w:lang w:eastAsia="en-NZ"/>
              </w:rPr>
              <w:t>39</w:t>
            </w:r>
          </w:p>
        </w:tc>
        <w:tc>
          <w:tcPr>
            <w:tcW w:w="1269" w:type="pct"/>
            <w:vAlign w:val="center"/>
          </w:tcPr>
          <w:p w14:paraId="5E6A0FD8" w14:textId="77777777" w:rsidR="00BE67AB" w:rsidRDefault="00BE67AB" w:rsidP="00AC00E3">
            <w:pPr>
              <w:contextualSpacing/>
            </w:pPr>
            <w:r w:rsidRPr="007158B8">
              <w:rPr>
                <w:color w:val="000000"/>
                <w:szCs w:val="22"/>
                <w:lang w:eastAsia="en-NZ"/>
              </w:rPr>
              <w:t>76</w:t>
            </w:r>
          </w:p>
        </w:tc>
        <w:tc>
          <w:tcPr>
            <w:tcW w:w="1101" w:type="pct"/>
            <w:vAlign w:val="center"/>
          </w:tcPr>
          <w:p w14:paraId="25EEB700" w14:textId="77777777" w:rsidR="00BE67AB" w:rsidRPr="00C00894" w:rsidRDefault="00BE67AB" w:rsidP="00AC00E3">
            <w:pPr>
              <w:contextualSpacing/>
              <w:rPr>
                <w:color w:val="FF0000"/>
              </w:rPr>
            </w:pPr>
            <w:r w:rsidRPr="007158B8">
              <w:rPr>
                <w:color w:val="000000"/>
                <w:szCs w:val="22"/>
                <w:lang w:eastAsia="en-NZ"/>
              </w:rPr>
              <w:t>109</w:t>
            </w:r>
          </w:p>
        </w:tc>
      </w:tr>
      <w:tr w:rsidR="00BE67AB" w14:paraId="4004EAED" w14:textId="77777777" w:rsidTr="00AC00E3">
        <w:tc>
          <w:tcPr>
            <w:tcW w:w="1624" w:type="pct"/>
          </w:tcPr>
          <w:p w14:paraId="608BE7D8" w14:textId="77777777" w:rsidR="00BE67AB" w:rsidRDefault="00BE67AB" w:rsidP="00AC00E3">
            <w:pPr>
              <w:contextualSpacing/>
            </w:pPr>
            <w:r>
              <w:t xml:space="preserve">Phone Calls In </w:t>
            </w:r>
          </w:p>
        </w:tc>
        <w:tc>
          <w:tcPr>
            <w:tcW w:w="1006" w:type="pct"/>
            <w:vAlign w:val="center"/>
          </w:tcPr>
          <w:p w14:paraId="724A2BC6" w14:textId="77777777" w:rsidR="00BE67AB" w:rsidRDefault="00BE67AB" w:rsidP="00AC00E3">
            <w:pPr>
              <w:contextualSpacing/>
            </w:pPr>
            <w:r w:rsidRPr="007158B8">
              <w:rPr>
                <w:color w:val="000000"/>
                <w:szCs w:val="22"/>
                <w:lang w:eastAsia="en-NZ"/>
              </w:rPr>
              <w:t>27</w:t>
            </w:r>
          </w:p>
        </w:tc>
        <w:tc>
          <w:tcPr>
            <w:tcW w:w="1269" w:type="pct"/>
            <w:vAlign w:val="center"/>
          </w:tcPr>
          <w:p w14:paraId="227E30C2" w14:textId="77777777" w:rsidR="00BE67AB" w:rsidRDefault="00BE67AB" w:rsidP="00AC00E3">
            <w:pPr>
              <w:contextualSpacing/>
            </w:pPr>
            <w:r w:rsidRPr="007158B8">
              <w:rPr>
                <w:color w:val="000000"/>
                <w:szCs w:val="22"/>
                <w:lang w:eastAsia="en-NZ"/>
              </w:rPr>
              <w:t>166</w:t>
            </w:r>
          </w:p>
        </w:tc>
        <w:tc>
          <w:tcPr>
            <w:tcW w:w="1101" w:type="pct"/>
            <w:vAlign w:val="center"/>
          </w:tcPr>
          <w:p w14:paraId="5E21569F" w14:textId="77777777" w:rsidR="00BE67AB" w:rsidRPr="00C00894" w:rsidRDefault="00BE67AB" w:rsidP="00AC00E3">
            <w:pPr>
              <w:contextualSpacing/>
              <w:rPr>
                <w:color w:val="FF0000"/>
              </w:rPr>
            </w:pPr>
            <w:r w:rsidRPr="007158B8">
              <w:rPr>
                <w:color w:val="000000"/>
                <w:szCs w:val="22"/>
                <w:lang w:eastAsia="en-NZ"/>
              </w:rPr>
              <w:t>106</w:t>
            </w:r>
          </w:p>
        </w:tc>
      </w:tr>
      <w:tr w:rsidR="00BE67AB" w14:paraId="7002D06A" w14:textId="77777777" w:rsidTr="00AC00E3">
        <w:tc>
          <w:tcPr>
            <w:tcW w:w="1624" w:type="pct"/>
          </w:tcPr>
          <w:p w14:paraId="17B565C9" w14:textId="77777777" w:rsidR="00BE67AB" w:rsidRDefault="00BE67AB" w:rsidP="00AC00E3">
            <w:pPr>
              <w:contextualSpacing/>
            </w:pPr>
            <w:r>
              <w:t>Emails Out</w:t>
            </w:r>
          </w:p>
        </w:tc>
        <w:tc>
          <w:tcPr>
            <w:tcW w:w="1006" w:type="pct"/>
            <w:vAlign w:val="center"/>
          </w:tcPr>
          <w:p w14:paraId="250E81C6" w14:textId="77777777" w:rsidR="00BE67AB" w:rsidRDefault="00BE67AB" w:rsidP="00AC00E3">
            <w:pPr>
              <w:contextualSpacing/>
            </w:pPr>
            <w:r w:rsidRPr="007158B8">
              <w:rPr>
                <w:color w:val="000000"/>
                <w:szCs w:val="22"/>
                <w:lang w:eastAsia="en-NZ"/>
              </w:rPr>
              <w:t>161</w:t>
            </w:r>
          </w:p>
        </w:tc>
        <w:tc>
          <w:tcPr>
            <w:tcW w:w="1269" w:type="pct"/>
            <w:vAlign w:val="center"/>
          </w:tcPr>
          <w:p w14:paraId="389553C9" w14:textId="77777777" w:rsidR="00BE67AB" w:rsidRDefault="00BE67AB" w:rsidP="00AC00E3">
            <w:pPr>
              <w:contextualSpacing/>
            </w:pPr>
            <w:r w:rsidRPr="007158B8">
              <w:rPr>
                <w:color w:val="000000"/>
                <w:szCs w:val="22"/>
                <w:lang w:eastAsia="en-NZ"/>
              </w:rPr>
              <w:t>471</w:t>
            </w:r>
          </w:p>
        </w:tc>
        <w:tc>
          <w:tcPr>
            <w:tcW w:w="1101" w:type="pct"/>
            <w:vAlign w:val="center"/>
          </w:tcPr>
          <w:p w14:paraId="53BC0B1A" w14:textId="77777777" w:rsidR="00BE67AB" w:rsidRPr="00C00894" w:rsidRDefault="00BE67AB" w:rsidP="00AC00E3">
            <w:pPr>
              <w:contextualSpacing/>
              <w:rPr>
                <w:color w:val="FF0000"/>
              </w:rPr>
            </w:pPr>
            <w:r w:rsidRPr="007158B8">
              <w:rPr>
                <w:color w:val="000000"/>
                <w:szCs w:val="22"/>
                <w:lang w:eastAsia="en-NZ"/>
              </w:rPr>
              <w:t>447</w:t>
            </w:r>
          </w:p>
        </w:tc>
      </w:tr>
      <w:tr w:rsidR="00BE67AB" w14:paraId="62F2B9AF" w14:textId="77777777" w:rsidTr="00AC00E3">
        <w:tc>
          <w:tcPr>
            <w:tcW w:w="1624" w:type="pct"/>
          </w:tcPr>
          <w:p w14:paraId="370268E5" w14:textId="77777777" w:rsidR="00BE67AB" w:rsidRDefault="00BE67AB" w:rsidP="00AC00E3">
            <w:pPr>
              <w:contextualSpacing/>
            </w:pPr>
            <w:r>
              <w:t xml:space="preserve">Emails In </w:t>
            </w:r>
          </w:p>
        </w:tc>
        <w:tc>
          <w:tcPr>
            <w:tcW w:w="1006" w:type="pct"/>
            <w:vAlign w:val="center"/>
          </w:tcPr>
          <w:p w14:paraId="727EF2BA" w14:textId="77777777" w:rsidR="00BE67AB" w:rsidRDefault="00BE67AB" w:rsidP="00AC00E3">
            <w:pPr>
              <w:contextualSpacing/>
            </w:pPr>
            <w:r w:rsidRPr="007158B8">
              <w:rPr>
                <w:color w:val="000000"/>
                <w:szCs w:val="22"/>
                <w:lang w:eastAsia="en-NZ"/>
              </w:rPr>
              <w:t>208</w:t>
            </w:r>
          </w:p>
        </w:tc>
        <w:tc>
          <w:tcPr>
            <w:tcW w:w="1269" w:type="pct"/>
            <w:vAlign w:val="center"/>
          </w:tcPr>
          <w:p w14:paraId="0B32CC19" w14:textId="77777777" w:rsidR="00BE67AB" w:rsidRDefault="00BE67AB" w:rsidP="00AC00E3">
            <w:pPr>
              <w:contextualSpacing/>
            </w:pPr>
            <w:r w:rsidRPr="007158B8">
              <w:rPr>
                <w:color w:val="000000"/>
                <w:szCs w:val="22"/>
                <w:lang w:eastAsia="en-NZ"/>
              </w:rPr>
              <w:t>766</w:t>
            </w:r>
          </w:p>
        </w:tc>
        <w:tc>
          <w:tcPr>
            <w:tcW w:w="1101" w:type="pct"/>
            <w:vAlign w:val="center"/>
          </w:tcPr>
          <w:p w14:paraId="36CC9EBE" w14:textId="77777777" w:rsidR="00BE67AB" w:rsidRPr="00C00894" w:rsidRDefault="00BE67AB" w:rsidP="00AC00E3">
            <w:pPr>
              <w:contextualSpacing/>
              <w:rPr>
                <w:color w:val="FF0000"/>
              </w:rPr>
            </w:pPr>
            <w:r w:rsidRPr="007158B8">
              <w:rPr>
                <w:color w:val="000000"/>
                <w:szCs w:val="22"/>
                <w:lang w:eastAsia="en-NZ"/>
              </w:rPr>
              <w:t>590</w:t>
            </w:r>
          </w:p>
        </w:tc>
      </w:tr>
      <w:tr w:rsidR="00BE67AB" w14:paraId="176E4593" w14:textId="77777777" w:rsidTr="00AC00E3">
        <w:tc>
          <w:tcPr>
            <w:tcW w:w="1624" w:type="pct"/>
          </w:tcPr>
          <w:p w14:paraId="14CA668A" w14:textId="77777777" w:rsidR="00BE67AB" w:rsidRDefault="00BE67AB" w:rsidP="00AC00E3">
            <w:pPr>
              <w:contextualSpacing/>
            </w:pPr>
            <w:r>
              <w:t xml:space="preserve">Private Session Bookings </w:t>
            </w:r>
          </w:p>
        </w:tc>
        <w:tc>
          <w:tcPr>
            <w:tcW w:w="1006" w:type="pct"/>
            <w:vAlign w:val="center"/>
          </w:tcPr>
          <w:p w14:paraId="33CC6831" w14:textId="77777777" w:rsidR="00BE67AB" w:rsidRDefault="00BE67AB" w:rsidP="00AC00E3">
            <w:pPr>
              <w:contextualSpacing/>
            </w:pPr>
            <w:r w:rsidRPr="007158B8">
              <w:rPr>
                <w:color w:val="000000"/>
                <w:szCs w:val="22"/>
                <w:lang w:eastAsia="en-NZ"/>
              </w:rPr>
              <w:t>0</w:t>
            </w:r>
          </w:p>
        </w:tc>
        <w:tc>
          <w:tcPr>
            <w:tcW w:w="1269" w:type="pct"/>
            <w:vAlign w:val="center"/>
          </w:tcPr>
          <w:p w14:paraId="43C5F226" w14:textId="77777777" w:rsidR="00BE67AB" w:rsidRDefault="00BE67AB" w:rsidP="00AC00E3">
            <w:pPr>
              <w:contextualSpacing/>
            </w:pPr>
            <w:r w:rsidRPr="007158B8">
              <w:rPr>
                <w:color w:val="000000"/>
                <w:szCs w:val="22"/>
                <w:lang w:eastAsia="en-NZ"/>
              </w:rPr>
              <w:t>5</w:t>
            </w:r>
          </w:p>
        </w:tc>
        <w:tc>
          <w:tcPr>
            <w:tcW w:w="1101" w:type="pct"/>
            <w:vAlign w:val="center"/>
          </w:tcPr>
          <w:p w14:paraId="1BE7672F" w14:textId="77777777" w:rsidR="00BE67AB" w:rsidRPr="00C00894" w:rsidRDefault="00BE67AB" w:rsidP="00AC00E3">
            <w:pPr>
              <w:contextualSpacing/>
              <w:rPr>
                <w:color w:val="FF0000"/>
              </w:rPr>
            </w:pPr>
            <w:r w:rsidRPr="007158B8">
              <w:rPr>
                <w:color w:val="000000"/>
                <w:szCs w:val="22"/>
                <w:lang w:eastAsia="en-NZ"/>
              </w:rPr>
              <w:t>6</w:t>
            </w:r>
          </w:p>
        </w:tc>
      </w:tr>
      <w:tr w:rsidR="00BE67AB" w14:paraId="33610150" w14:textId="77777777" w:rsidTr="00AC00E3">
        <w:tc>
          <w:tcPr>
            <w:tcW w:w="1624" w:type="pct"/>
          </w:tcPr>
          <w:p w14:paraId="7C6FE786" w14:textId="77777777" w:rsidR="00BE67AB" w:rsidRDefault="00BE67AB" w:rsidP="00AC00E3">
            <w:pPr>
              <w:contextualSpacing/>
            </w:pPr>
            <w:r>
              <w:t xml:space="preserve">Letters In </w:t>
            </w:r>
          </w:p>
        </w:tc>
        <w:tc>
          <w:tcPr>
            <w:tcW w:w="1006" w:type="pct"/>
            <w:vAlign w:val="center"/>
          </w:tcPr>
          <w:p w14:paraId="6C11F8B0" w14:textId="77777777" w:rsidR="00BE67AB" w:rsidRDefault="00BE67AB" w:rsidP="00AC00E3">
            <w:pPr>
              <w:contextualSpacing/>
            </w:pPr>
            <w:r>
              <w:rPr>
                <w:color w:val="000000"/>
                <w:lang w:eastAsia="en-NZ"/>
              </w:rPr>
              <w:t>5</w:t>
            </w:r>
          </w:p>
        </w:tc>
        <w:tc>
          <w:tcPr>
            <w:tcW w:w="1269" w:type="pct"/>
            <w:vAlign w:val="center"/>
          </w:tcPr>
          <w:p w14:paraId="087E5F44" w14:textId="77777777" w:rsidR="00BE67AB" w:rsidRDefault="00BE67AB" w:rsidP="00AC00E3">
            <w:pPr>
              <w:contextualSpacing/>
            </w:pPr>
            <w:r>
              <w:rPr>
                <w:color w:val="000000"/>
                <w:lang w:eastAsia="en-NZ"/>
              </w:rPr>
              <w:t>0</w:t>
            </w:r>
          </w:p>
        </w:tc>
        <w:tc>
          <w:tcPr>
            <w:tcW w:w="1101" w:type="pct"/>
            <w:vAlign w:val="center"/>
          </w:tcPr>
          <w:p w14:paraId="731979C2" w14:textId="77777777" w:rsidR="00BE67AB" w:rsidRPr="00C00894" w:rsidRDefault="00BE67AB" w:rsidP="00AC00E3">
            <w:pPr>
              <w:contextualSpacing/>
              <w:rPr>
                <w:color w:val="FF0000"/>
              </w:rPr>
            </w:pPr>
            <w:r>
              <w:rPr>
                <w:color w:val="000000"/>
                <w:lang w:eastAsia="en-NZ"/>
              </w:rPr>
              <w:t>6</w:t>
            </w:r>
          </w:p>
        </w:tc>
      </w:tr>
      <w:tr w:rsidR="00BE67AB" w14:paraId="196550C9" w14:textId="77777777" w:rsidTr="00AC00E3">
        <w:tc>
          <w:tcPr>
            <w:tcW w:w="1624" w:type="pct"/>
          </w:tcPr>
          <w:p w14:paraId="2B7C1B07" w14:textId="77777777" w:rsidR="00BE67AB" w:rsidRDefault="00BE67AB" w:rsidP="00AC00E3">
            <w:pPr>
              <w:contextualSpacing/>
            </w:pPr>
            <w:r>
              <w:lastRenderedPageBreak/>
              <w:t>Letters Out</w:t>
            </w:r>
          </w:p>
        </w:tc>
        <w:tc>
          <w:tcPr>
            <w:tcW w:w="1006" w:type="pct"/>
            <w:vAlign w:val="center"/>
          </w:tcPr>
          <w:p w14:paraId="5325A186" w14:textId="77777777" w:rsidR="00BE67AB" w:rsidRDefault="00BE67AB" w:rsidP="00AC00E3">
            <w:pPr>
              <w:contextualSpacing/>
            </w:pPr>
            <w:r>
              <w:rPr>
                <w:color w:val="000000"/>
                <w:lang w:eastAsia="en-NZ"/>
              </w:rPr>
              <w:t>4</w:t>
            </w:r>
          </w:p>
        </w:tc>
        <w:tc>
          <w:tcPr>
            <w:tcW w:w="1269" w:type="pct"/>
            <w:vAlign w:val="center"/>
          </w:tcPr>
          <w:p w14:paraId="65B2848B" w14:textId="77777777" w:rsidR="00BE67AB" w:rsidRDefault="00BE67AB" w:rsidP="00AC00E3">
            <w:pPr>
              <w:contextualSpacing/>
            </w:pPr>
            <w:r>
              <w:rPr>
                <w:color w:val="000000"/>
                <w:lang w:eastAsia="en-NZ"/>
              </w:rPr>
              <w:t>6</w:t>
            </w:r>
          </w:p>
        </w:tc>
        <w:tc>
          <w:tcPr>
            <w:tcW w:w="1101" w:type="pct"/>
            <w:vAlign w:val="center"/>
          </w:tcPr>
          <w:p w14:paraId="0C93B3CC" w14:textId="77777777" w:rsidR="00BE67AB" w:rsidRPr="00C00894" w:rsidRDefault="00BE67AB" w:rsidP="00AC00E3">
            <w:pPr>
              <w:contextualSpacing/>
              <w:rPr>
                <w:color w:val="FF0000"/>
              </w:rPr>
            </w:pPr>
            <w:r>
              <w:rPr>
                <w:color w:val="000000"/>
                <w:lang w:eastAsia="en-NZ"/>
              </w:rPr>
              <w:t>13</w:t>
            </w:r>
          </w:p>
        </w:tc>
      </w:tr>
      <w:tr w:rsidR="00BE67AB" w14:paraId="3EB4A6A2" w14:textId="77777777" w:rsidTr="00AC00E3">
        <w:tc>
          <w:tcPr>
            <w:tcW w:w="1624" w:type="pct"/>
          </w:tcPr>
          <w:p w14:paraId="5ED8E0EC" w14:textId="77777777" w:rsidR="00BE67AB" w:rsidRDefault="00BE67AB" w:rsidP="00AC00E3">
            <w:pPr>
              <w:contextualSpacing/>
            </w:pPr>
            <w:r>
              <w:t xml:space="preserve">Text Sent </w:t>
            </w:r>
          </w:p>
        </w:tc>
        <w:tc>
          <w:tcPr>
            <w:tcW w:w="1006" w:type="pct"/>
            <w:vAlign w:val="center"/>
          </w:tcPr>
          <w:p w14:paraId="41399686" w14:textId="77777777" w:rsidR="00BE67AB" w:rsidRDefault="00BE67AB" w:rsidP="00AC00E3">
            <w:pPr>
              <w:contextualSpacing/>
            </w:pPr>
            <w:r>
              <w:rPr>
                <w:color w:val="000000"/>
                <w:lang w:eastAsia="en-NZ"/>
              </w:rPr>
              <w:t>2</w:t>
            </w:r>
          </w:p>
        </w:tc>
        <w:tc>
          <w:tcPr>
            <w:tcW w:w="1269" w:type="pct"/>
            <w:vAlign w:val="center"/>
          </w:tcPr>
          <w:p w14:paraId="595075E2" w14:textId="77777777" w:rsidR="00BE67AB" w:rsidRDefault="00BE67AB" w:rsidP="00AC00E3">
            <w:pPr>
              <w:contextualSpacing/>
            </w:pPr>
            <w:r>
              <w:rPr>
                <w:color w:val="000000"/>
                <w:lang w:eastAsia="en-NZ"/>
              </w:rPr>
              <w:t>15</w:t>
            </w:r>
          </w:p>
        </w:tc>
        <w:tc>
          <w:tcPr>
            <w:tcW w:w="1101" w:type="pct"/>
            <w:vAlign w:val="center"/>
          </w:tcPr>
          <w:p w14:paraId="7EC74BD2" w14:textId="77777777" w:rsidR="00BE67AB" w:rsidRPr="00C00894" w:rsidRDefault="00BE67AB" w:rsidP="00AC00E3">
            <w:pPr>
              <w:contextualSpacing/>
              <w:rPr>
                <w:color w:val="FF0000"/>
              </w:rPr>
            </w:pPr>
            <w:r>
              <w:rPr>
                <w:color w:val="000000"/>
                <w:lang w:eastAsia="en-NZ"/>
              </w:rPr>
              <w:t>11</w:t>
            </w:r>
          </w:p>
        </w:tc>
      </w:tr>
    </w:tbl>
    <w:p w14:paraId="33696BB2" w14:textId="77777777" w:rsidR="00BE67AB" w:rsidRPr="00D37DCF" w:rsidRDefault="00BE67AB" w:rsidP="00BE67AB">
      <w:pPr>
        <w:keepLines w:val="0"/>
        <w:spacing w:before="0" w:after="0"/>
        <w:rPr>
          <w:rFonts w:eastAsia="Times New Roman"/>
          <w:sz w:val="16"/>
          <w:szCs w:val="16"/>
        </w:rPr>
      </w:pPr>
      <w:r>
        <w:rPr>
          <w:sz w:val="20"/>
          <w:szCs w:val="20"/>
        </w:rPr>
        <w:br/>
      </w:r>
      <w:r w:rsidRPr="00D37DCF">
        <w:rPr>
          <w:sz w:val="16"/>
          <w:szCs w:val="16"/>
        </w:rPr>
        <w:t xml:space="preserve"># </w:t>
      </w:r>
      <w:r w:rsidRPr="00D37DCF">
        <w:rPr>
          <w:sz w:val="16"/>
          <w:szCs w:val="16"/>
          <w:u w:val="single"/>
        </w:rPr>
        <w:t xml:space="preserve">Registrations </w:t>
      </w:r>
      <w:proofErr w:type="spellStart"/>
      <w:r w:rsidRPr="00D37DCF">
        <w:rPr>
          <w:sz w:val="16"/>
          <w:szCs w:val="16"/>
          <w:u w:val="single"/>
        </w:rPr>
        <w:t>Lite</w:t>
      </w:r>
      <w:proofErr w:type="spellEnd"/>
      <w:r w:rsidRPr="00D37DCF">
        <w:rPr>
          <w:sz w:val="16"/>
          <w:szCs w:val="16"/>
        </w:rPr>
        <w:t xml:space="preserve"> is a process for people who feel triggered by what they have seen/heard/read </w:t>
      </w:r>
      <w:proofErr w:type="gramStart"/>
      <w:r w:rsidRPr="00D37DCF">
        <w:rPr>
          <w:sz w:val="16"/>
          <w:szCs w:val="16"/>
        </w:rPr>
        <w:t>in particular near</w:t>
      </w:r>
      <w:proofErr w:type="gramEnd"/>
      <w:r w:rsidRPr="00D37DCF">
        <w:rPr>
          <w:sz w:val="16"/>
          <w:szCs w:val="16"/>
        </w:rPr>
        <w:t xml:space="preserve"> or during the public hearings, and they contact the Contact and Support Centre, but are not in scope. If the individual chooses to, we capture contact detail and what the RC provided in terms of assistance. </w:t>
      </w:r>
    </w:p>
    <w:p w14:paraId="6E555325" w14:textId="77777777" w:rsidR="00BE67AB" w:rsidRDefault="00BE67AB" w:rsidP="00BE67AB">
      <w:pPr>
        <w:contextualSpacing/>
      </w:pPr>
    </w:p>
    <w:p w14:paraId="5A639738" w14:textId="77777777" w:rsidR="00BE67AB" w:rsidRDefault="00BE67AB" w:rsidP="00BE67AB">
      <w:pPr>
        <w:contextualSpacing/>
      </w:pPr>
      <w:r>
        <w:t>The inability to meet face-to-face with survivors due to Covid-19 restrictions this quarter resulted in the cancellation of 17 private sessions and the implementation of additional health and safety protocols. Sessions via Zoom were conducted with survivors where appropriate, but the number of private sessions held, particularly in August and September, were lower than planned.</w:t>
      </w:r>
      <w:r>
        <w:br/>
      </w:r>
    </w:p>
    <w:p w14:paraId="39AD2506" w14:textId="77777777" w:rsidR="00BE67AB" w:rsidRDefault="00BE67AB" w:rsidP="00BE67AB">
      <w:pPr>
        <w:keepLines w:val="0"/>
      </w:pPr>
      <w:r>
        <w:rPr>
          <w:u w:val="single"/>
        </w:rPr>
        <w:t>Research and Policy</w:t>
      </w:r>
    </w:p>
    <w:p w14:paraId="42721D50" w14:textId="77777777" w:rsidR="00BE67AB" w:rsidRDefault="00BE67AB" w:rsidP="00BE67AB">
      <w:r>
        <w:t>The first tranche of literature reviews for the Psychiatric, Catholic, Māori and Residences investigations settings were completed. The reviews will consider the factors of Circumstances of going into Care, Nature, Extent, Causes and Impacts of Abuse. Delivery of these reviews will be staggered between now and the end of 2020.</w:t>
      </w:r>
    </w:p>
    <w:p w14:paraId="2EDB6081" w14:textId="77777777" w:rsidR="00BE67AB" w:rsidRPr="0076474B" w:rsidRDefault="00BE67AB" w:rsidP="00BE67AB">
      <w:r>
        <w:t>Tranche two includes, the settings of foster care, transitional and law enforcement, non-residential psychiatric hospitals and disability facilities, boarding schools and other educational settings. The reviews will consider the circumstances of going into care, and the nature, extent, causes and impacts of abuse. We are proposing to outsource this work for completion by 30 June 2021.</w:t>
      </w:r>
      <w:r>
        <w:br/>
      </w:r>
      <w:r>
        <w:rPr>
          <w:rFonts w:asciiTheme="minorHAnsi" w:hAnsiTheme="minorHAnsi" w:cstheme="minorHAnsi"/>
          <w:b/>
        </w:rPr>
        <w:br/>
      </w:r>
      <w:r w:rsidRPr="008D32C8">
        <w:rPr>
          <w:rFonts w:asciiTheme="minorHAnsi" w:hAnsiTheme="minorHAnsi" w:cstheme="minorHAnsi"/>
          <w:u w:val="single"/>
        </w:rPr>
        <w:t>Community</w:t>
      </w:r>
      <w:r>
        <w:rPr>
          <w:rFonts w:asciiTheme="minorHAnsi" w:hAnsiTheme="minorHAnsi" w:cstheme="minorHAnsi"/>
          <w:u w:val="single"/>
        </w:rPr>
        <w:t xml:space="preserve"> and Treaty</w:t>
      </w:r>
      <w:r w:rsidRPr="008D32C8">
        <w:rPr>
          <w:rFonts w:asciiTheme="minorHAnsi" w:hAnsiTheme="minorHAnsi" w:cstheme="minorHAnsi"/>
          <w:u w:val="single"/>
        </w:rPr>
        <w:t xml:space="preserve"> Engagement</w:t>
      </w:r>
      <w:r w:rsidRPr="003F5122">
        <w:rPr>
          <w:rFonts w:asciiTheme="minorHAnsi" w:hAnsiTheme="minorHAnsi" w:cstheme="minorHAnsi"/>
          <w:b/>
        </w:rPr>
        <w:t xml:space="preserve"> </w:t>
      </w:r>
    </w:p>
    <w:p w14:paraId="3111F18E" w14:textId="77777777" w:rsidR="00BE67AB" w:rsidRDefault="00BE67AB" w:rsidP="00BE67AB">
      <w:pPr>
        <w:rPr>
          <w:rFonts w:asciiTheme="minorHAnsi" w:hAnsiTheme="minorHAnsi" w:cstheme="minorHAnsi"/>
        </w:rPr>
      </w:pPr>
      <w:r>
        <w:rPr>
          <w:rFonts w:asciiTheme="minorHAnsi" w:hAnsiTheme="minorHAnsi" w:cstheme="minorHAnsi"/>
        </w:rPr>
        <w:t>During the quarter the Community Engagement team connected with community organisations, support groups and networks to raise awareness of the Royal Commission and encourage registrations particularly in hard to reach communities.</w:t>
      </w:r>
    </w:p>
    <w:p w14:paraId="186CB35F" w14:textId="77777777" w:rsidR="00BE67AB" w:rsidRDefault="00BE67AB" w:rsidP="00BE67AB">
      <w:pPr>
        <w:rPr>
          <w:rFonts w:asciiTheme="minorHAnsi" w:hAnsiTheme="minorHAnsi" w:cstheme="minorHAnsi"/>
        </w:rPr>
      </w:pPr>
      <w:r>
        <w:rPr>
          <w:rFonts w:asciiTheme="minorHAnsi" w:hAnsiTheme="minorHAnsi" w:cstheme="minorHAnsi"/>
        </w:rPr>
        <w:t xml:space="preserve">Key activities included: </w:t>
      </w:r>
    </w:p>
    <w:p w14:paraId="1D2A14BD" w14:textId="77777777" w:rsidR="00BE67AB" w:rsidRDefault="00BE67AB" w:rsidP="00BE67AB">
      <w:pPr>
        <w:pStyle w:val="ListParagraph"/>
        <w:numPr>
          <w:ilvl w:val="0"/>
          <w:numId w:val="28"/>
        </w:numPr>
        <w:ind w:left="284" w:hanging="284"/>
        <w:rPr>
          <w:rFonts w:asciiTheme="minorHAnsi" w:hAnsiTheme="minorHAnsi" w:cstheme="minorHAnsi"/>
        </w:rPr>
      </w:pPr>
      <w:r w:rsidRPr="00986014">
        <w:rPr>
          <w:rFonts w:asciiTheme="minorHAnsi" w:hAnsiTheme="minorHAnsi" w:cstheme="minorHAnsi"/>
        </w:rPr>
        <w:t xml:space="preserve">Connections were made with Pacific contacts in Christchurch and </w:t>
      </w:r>
      <w:r>
        <w:rPr>
          <w:rFonts w:asciiTheme="minorHAnsi" w:hAnsiTheme="minorHAnsi" w:cstheme="minorHAnsi"/>
        </w:rPr>
        <w:t>the Cook Island c</w:t>
      </w:r>
      <w:r w:rsidRPr="00986014">
        <w:rPr>
          <w:rFonts w:asciiTheme="minorHAnsi" w:hAnsiTheme="minorHAnsi" w:cstheme="minorHAnsi"/>
        </w:rPr>
        <w:t xml:space="preserve">ommunity in Tokoroa with the intention of undertaking initial group meetings in October 2020 focussed on potential survivors in these communities.    </w:t>
      </w:r>
    </w:p>
    <w:p w14:paraId="726A463D" w14:textId="77777777" w:rsidR="00BE67AB" w:rsidRDefault="00BE67AB" w:rsidP="00BE67AB">
      <w:pPr>
        <w:pStyle w:val="ListParagraph"/>
        <w:numPr>
          <w:ilvl w:val="0"/>
          <w:numId w:val="28"/>
        </w:numPr>
        <w:ind w:left="284" w:hanging="284"/>
        <w:rPr>
          <w:rFonts w:asciiTheme="minorHAnsi" w:hAnsiTheme="minorHAnsi" w:cstheme="minorHAnsi"/>
        </w:rPr>
      </w:pPr>
      <w:r>
        <w:rPr>
          <w:rFonts w:asciiTheme="minorHAnsi" w:hAnsiTheme="minorHAnsi" w:cstheme="minorHAnsi"/>
        </w:rPr>
        <w:t xml:space="preserve">Holding a workshop meeting with VOYCE - </w:t>
      </w:r>
      <w:r w:rsidRPr="00986014">
        <w:rPr>
          <w:rFonts w:asciiTheme="minorHAnsi" w:hAnsiTheme="minorHAnsi" w:cstheme="minorHAnsi"/>
        </w:rPr>
        <w:t xml:space="preserve"> </w:t>
      </w:r>
      <w:proofErr w:type="spellStart"/>
      <w:r w:rsidRPr="00986014">
        <w:rPr>
          <w:rFonts w:asciiTheme="minorHAnsi" w:hAnsiTheme="minorHAnsi" w:cstheme="minorHAnsi"/>
        </w:rPr>
        <w:t>Whakarongo</w:t>
      </w:r>
      <w:proofErr w:type="spellEnd"/>
      <w:r w:rsidRPr="00986014">
        <w:rPr>
          <w:rFonts w:asciiTheme="minorHAnsi" w:hAnsiTheme="minorHAnsi" w:cstheme="minorHAnsi"/>
        </w:rPr>
        <w:t xml:space="preserve"> Mai a community organisation</w:t>
      </w:r>
      <w:r>
        <w:rPr>
          <w:rFonts w:asciiTheme="minorHAnsi" w:hAnsiTheme="minorHAnsi" w:cstheme="minorHAnsi"/>
        </w:rPr>
        <w:t xml:space="preserve"> </w:t>
      </w:r>
      <w:r w:rsidRPr="00986014">
        <w:rPr>
          <w:rFonts w:asciiTheme="minorHAnsi" w:hAnsiTheme="minorHAnsi" w:cstheme="minorHAnsi"/>
        </w:rPr>
        <w:t>that advocates for children and young people who hav</w:t>
      </w:r>
      <w:r>
        <w:rPr>
          <w:rFonts w:asciiTheme="minorHAnsi" w:hAnsiTheme="minorHAnsi" w:cstheme="minorHAnsi"/>
        </w:rPr>
        <w:t xml:space="preserve">e experience in the care system. The Commission has a Memorandum of Understanding with VOYCE.  The focus of the workshop was on the workings of the Inquiry and the respective parts in relation to a survivor’s journey. Regular fortnightly meetings have been established. </w:t>
      </w:r>
    </w:p>
    <w:p w14:paraId="7215791C" w14:textId="77777777" w:rsidR="00BE67AB" w:rsidRDefault="00BE67AB" w:rsidP="00BE67AB">
      <w:pPr>
        <w:pStyle w:val="ListParagraph"/>
        <w:numPr>
          <w:ilvl w:val="0"/>
          <w:numId w:val="28"/>
        </w:numPr>
        <w:ind w:left="284" w:hanging="284"/>
        <w:rPr>
          <w:rFonts w:asciiTheme="minorHAnsi" w:hAnsiTheme="minorHAnsi" w:cstheme="minorHAnsi"/>
        </w:rPr>
      </w:pPr>
      <w:r>
        <w:rPr>
          <w:rFonts w:asciiTheme="minorHAnsi" w:hAnsiTheme="minorHAnsi" w:cstheme="minorHAnsi"/>
        </w:rPr>
        <w:t xml:space="preserve">Attending meetings of two deaf community organisations to provide an update on the Inquiry and encourage deaf survivors to register. </w:t>
      </w:r>
    </w:p>
    <w:p w14:paraId="3CD41731" w14:textId="77777777" w:rsidR="00BE67AB" w:rsidRPr="00F47449" w:rsidRDefault="00BE67AB" w:rsidP="00BE67AB">
      <w:pPr>
        <w:pStyle w:val="ListParagraph"/>
        <w:numPr>
          <w:ilvl w:val="0"/>
          <w:numId w:val="28"/>
        </w:numPr>
        <w:ind w:left="284" w:hanging="284"/>
        <w:rPr>
          <w:rFonts w:asciiTheme="minorHAnsi" w:hAnsiTheme="minorHAnsi" w:cstheme="minorHAnsi"/>
        </w:rPr>
      </w:pPr>
      <w:r>
        <w:rPr>
          <w:rFonts w:asciiTheme="minorHAnsi" w:hAnsiTheme="minorHAnsi" w:cstheme="minorHAnsi"/>
        </w:rPr>
        <w:t xml:space="preserve">Finalising contracts and holding induction sessions with literacy support providers for specific communities such as learning disabilities. </w:t>
      </w:r>
    </w:p>
    <w:p w14:paraId="2F8A7B8F" w14:textId="77777777" w:rsidR="00BE67AB" w:rsidRPr="00D33F28" w:rsidRDefault="00BE67AB" w:rsidP="00BE67AB">
      <w:pPr>
        <w:rPr>
          <w:rFonts w:asciiTheme="minorHAnsi" w:hAnsiTheme="minorHAnsi" w:cstheme="minorHAnsi"/>
        </w:rPr>
      </w:pPr>
      <w:r>
        <w:rPr>
          <w:rFonts w:asciiTheme="minorHAnsi" w:hAnsiTheme="minorHAnsi" w:cstheme="minorHAnsi"/>
        </w:rPr>
        <w:t xml:space="preserve">A key focus for community engagements in the next quarter will include Pacific and Catholic communities and schools, Auckland based community organisations, support groups and networks in sectors such as psychiatric and mental health.  </w:t>
      </w:r>
    </w:p>
    <w:p w14:paraId="6EB2DEBC" w14:textId="77777777" w:rsidR="00BE67AB" w:rsidRPr="00C356E6" w:rsidRDefault="00BE67AB" w:rsidP="00BE67AB">
      <w:pPr>
        <w:rPr>
          <w:rFonts w:asciiTheme="minorHAnsi" w:hAnsiTheme="minorHAnsi" w:cstheme="minorHAnsi"/>
        </w:rPr>
      </w:pPr>
      <w:r>
        <w:rPr>
          <w:rFonts w:asciiTheme="minorHAnsi" w:hAnsiTheme="minorHAnsi" w:cstheme="minorHAnsi"/>
        </w:rPr>
        <w:lastRenderedPageBreak/>
        <w:t xml:space="preserve">The Treaty Engagement team have continued to support the Survivor Advisory Group (SAGE) and Te </w:t>
      </w:r>
      <w:proofErr w:type="spellStart"/>
      <w:r>
        <w:rPr>
          <w:rFonts w:asciiTheme="minorHAnsi" w:hAnsiTheme="minorHAnsi" w:cstheme="minorHAnsi"/>
        </w:rPr>
        <w:t>Taumata</w:t>
      </w:r>
      <w:proofErr w:type="spellEnd"/>
      <w:r>
        <w:rPr>
          <w:rFonts w:asciiTheme="minorHAnsi" w:hAnsiTheme="minorHAnsi" w:cstheme="minorHAnsi"/>
        </w:rPr>
        <w:t xml:space="preserve">, the Commission’s Māori Leadership Group. They have continued to engage with </w:t>
      </w:r>
      <w:proofErr w:type="gramStart"/>
      <w:r>
        <w:rPr>
          <w:rFonts w:asciiTheme="minorHAnsi" w:hAnsiTheme="minorHAnsi" w:cstheme="minorHAnsi"/>
        </w:rPr>
        <w:t>a number of</w:t>
      </w:r>
      <w:proofErr w:type="gramEnd"/>
      <w:r>
        <w:rPr>
          <w:rFonts w:asciiTheme="minorHAnsi" w:hAnsiTheme="minorHAnsi" w:cstheme="minorHAnsi"/>
        </w:rPr>
        <w:t xml:space="preserve"> iwi and Māori entities including: </w:t>
      </w:r>
      <w:proofErr w:type="spellStart"/>
      <w:r>
        <w:rPr>
          <w:rFonts w:asciiTheme="minorHAnsi" w:hAnsiTheme="minorHAnsi" w:cstheme="minorHAnsi"/>
        </w:rPr>
        <w:t>Ngāti</w:t>
      </w:r>
      <w:proofErr w:type="spellEnd"/>
      <w:r>
        <w:rPr>
          <w:rFonts w:asciiTheme="minorHAnsi" w:hAnsiTheme="minorHAnsi" w:cstheme="minorHAnsi"/>
        </w:rPr>
        <w:t xml:space="preserve"> </w:t>
      </w:r>
      <w:proofErr w:type="spellStart"/>
      <w:r>
        <w:rPr>
          <w:rFonts w:asciiTheme="minorHAnsi" w:hAnsiTheme="minorHAnsi" w:cstheme="minorHAnsi"/>
        </w:rPr>
        <w:t>Apa</w:t>
      </w:r>
      <w:proofErr w:type="spellEnd"/>
      <w:r>
        <w:rPr>
          <w:rFonts w:asciiTheme="minorHAnsi" w:hAnsiTheme="minorHAnsi" w:cstheme="minorHAnsi"/>
        </w:rPr>
        <w:t xml:space="preserve"> in support of the Psychiatric Care team for the Lake Alice investigation; </w:t>
      </w:r>
      <w:proofErr w:type="spellStart"/>
      <w:r>
        <w:rPr>
          <w:rFonts w:asciiTheme="minorHAnsi" w:hAnsiTheme="minorHAnsi" w:cstheme="minorHAnsi"/>
        </w:rPr>
        <w:t>Ngāti</w:t>
      </w:r>
      <w:proofErr w:type="spellEnd"/>
      <w:r>
        <w:rPr>
          <w:rFonts w:asciiTheme="minorHAnsi" w:hAnsiTheme="minorHAnsi" w:cstheme="minorHAnsi"/>
        </w:rPr>
        <w:t xml:space="preserve"> </w:t>
      </w:r>
      <w:proofErr w:type="spellStart"/>
      <w:r>
        <w:rPr>
          <w:rFonts w:asciiTheme="minorHAnsi" w:hAnsiTheme="minorHAnsi" w:cstheme="minorHAnsi"/>
        </w:rPr>
        <w:t>Whātua</w:t>
      </w:r>
      <w:proofErr w:type="spellEnd"/>
      <w:r>
        <w:rPr>
          <w:rFonts w:asciiTheme="minorHAnsi" w:hAnsiTheme="minorHAnsi" w:cstheme="minorHAnsi"/>
        </w:rPr>
        <w:t xml:space="preserve"> to provide cultural support at the Public hearing, Ratana </w:t>
      </w:r>
      <w:proofErr w:type="spellStart"/>
      <w:r>
        <w:rPr>
          <w:rFonts w:asciiTheme="minorHAnsi" w:hAnsiTheme="minorHAnsi" w:cstheme="minorHAnsi"/>
        </w:rPr>
        <w:t>Hāhi</w:t>
      </w:r>
      <w:proofErr w:type="spellEnd"/>
      <w:r>
        <w:rPr>
          <w:rFonts w:asciiTheme="minorHAnsi" w:hAnsiTheme="minorHAnsi" w:cstheme="minorHAnsi"/>
        </w:rPr>
        <w:t xml:space="preserve"> with regard to the faith-based investigation; the </w:t>
      </w:r>
      <w:proofErr w:type="spellStart"/>
      <w:r>
        <w:rPr>
          <w:rFonts w:asciiTheme="minorHAnsi" w:hAnsiTheme="minorHAnsi" w:cstheme="minorHAnsi"/>
        </w:rPr>
        <w:t>Muaūpoko</w:t>
      </w:r>
      <w:proofErr w:type="spellEnd"/>
      <w:r>
        <w:rPr>
          <w:rFonts w:asciiTheme="minorHAnsi" w:hAnsiTheme="minorHAnsi" w:cstheme="minorHAnsi"/>
        </w:rPr>
        <w:t xml:space="preserve"> Tribal Authority and Waikato Tainui. The team has also engaged with Māori providers of literacy support for survivors making written submissions. </w:t>
      </w:r>
    </w:p>
    <w:p w14:paraId="5F17BE91" w14:textId="77777777" w:rsidR="00BE67AB" w:rsidRDefault="00BE67AB" w:rsidP="00BE67AB">
      <w:pPr>
        <w:rPr>
          <w:rFonts w:asciiTheme="minorHAnsi" w:hAnsiTheme="minorHAnsi" w:cstheme="minorHAnsi"/>
        </w:rPr>
      </w:pPr>
      <w:r w:rsidRPr="008D32C8">
        <w:rPr>
          <w:rFonts w:asciiTheme="minorHAnsi" w:hAnsiTheme="minorHAnsi" w:cstheme="minorHAnsi"/>
          <w:u w:val="single"/>
        </w:rPr>
        <w:t>Communications</w:t>
      </w:r>
      <w:r>
        <w:rPr>
          <w:rFonts w:asciiTheme="minorHAnsi" w:hAnsiTheme="minorHAnsi" w:cstheme="minorHAnsi"/>
          <w:u w:val="single"/>
        </w:rPr>
        <w:br/>
      </w:r>
      <w:r>
        <w:rPr>
          <w:rFonts w:asciiTheme="minorHAnsi" w:hAnsiTheme="minorHAnsi" w:cstheme="minorHAnsi"/>
        </w:rPr>
        <w:br/>
      </w:r>
      <w:r w:rsidRPr="000467AD">
        <w:rPr>
          <w:rFonts w:asciiTheme="minorHAnsi" w:hAnsiTheme="minorHAnsi" w:cstheme="minorHAnsi"/>
        </w:rPr>
        <w:t xml:space="preserve">Important Communications activities for the quarter included: </w:t>
      </w:r>
    </w:p>
    <w:p w14:paraId="2CF6ACA6" w14:textId="77777777" w:rsidR="00BE67AB" w:rsidRDefault="00BE67AB" w:rsidP="00BE67AB">
      <w:pPr>
        <w:pStyle w:val="ListParagraph"/>
        <w:numPr>
          <w:ilvl w:val="0"/>
          <w:numId w:val="26"/>
        </w:numPr>
        <w:ind w:left="284" w:hanging="284"/>
        <w:rPr>
          <w:rFonts w:asciiTheme="minorHAnsi" w:hAnsiTheme="minorHAnsi" w:cstheme="minorHAnsi"/>
        </w:rPr>
      </w:pPr>
      <w:r>
        <w:rPr>
          <w:rFonts w:asciiTheme="minorHAnsi" w:hAnsiTheme="minorHAnsi" w:cstheme="minorHAnsi"/>
        </w:rPr>
        <w:t xml:space="preserve">The Royal Commission was mentioned 196 times in the media between 1 July and 30 September. This an increase of more than 200 percent on the previous quarter.  This coverage reached a cumulative potential audience of 6.6 million (and if paid for in advertising would have cost $798,800). </w:t>
      </w:r>
    </w:p>
    <w:p w14:paraId="0E4A2C55" w14:textId="77777777" w:rsidR="00BE67AB" w:rsidRDefault="00BE67AB" w:rsidP="00BE67AB">
      <w:pPr>
        <w:pStyle w:val="ListParagraph"/>
        <w:numPr>
          <w:ilvl w:val="0"/>
          <w:numId w:val="26"/>
        </w:numPr>
        <w:spacing w:after="120"/>
        <w:ind w:left="284" w:hanging="284"/>
        <w:rPr>
          <w:rFonts w:asciiTheme="minorHAnsi" w:hAnsiTheme="minorHAnsi" w:cstheme="minorHAnsi"/>
        </w:rPr>
      </w:pPr>
      <w:r w:rsidRPr="002C053D">
        <w:rPr>
          <w:rFonts w:asciiTheme="minorHAnsi" w:hAnsiTheme="minorHAnsi" w:cstheme="minorHAnsi"/>
        </w:rPr>
        <w:t xml:space="preserve">Most of the coverage (155 mentions) was </w:t>
      </w:r>
      <w:r>
        <w:rPr>
          <w:rFonts w:asciiTheme="minorHAnsi" w:hAnsiTheme="minorHAnsi" w:cstheme="minorHAnsi"/>
        </w:rPr>
        <w:t xml:space="preserve">the result </w:t>
      </w:r>
      <w:r w:rsidRPr="002C053D">
        <w:rPr>
          <w:rFonts w:asciiTheme="minorHAnsi" w:hAnsiTheme="minorHAnsi" w:cstheme="minorHAnsi"/>
        </w:rPr>
        <w:t xml:space="preserve">of proactive media engagement in relation to the State Redress Hearing. The remaining coverage was garnered from proactive engagement about: </w:t>
      </w:r>
    </w:p>
    <w:p w14:paraId="4E936C0E" w14:textId="23EA9FEA" w:rsidR="00BE67AB" w:rsidRDefault="00BE67AB" w:rsidP="00BE67AB">
      <w:pPr>
        <w:pStyle w:val="ListParagraph"/>
        <w:numPr>
          <w:ilvl w:val="0"/>
          <w:numId w:val="27"/>
        </w:numPr>
        <w:spacing w:after="120"/>
        <w:rPr>
          <w:rFonts w:asciiTheme="minorHAnsi" w:hAnsiTheme="minorHAnsi" w:cstheme="minorHAnsi"/>
        </w:rPr>
      </w:pPr>
      <w:r w:rsidRPr="00CD604F">
        <w:rPr>
          <w:rFonts w:asciiTheme="minorHAnsi" w:hAnsiTheme="minorHAnsi" w:cstheme="minorHAnsi"/>
        </w:rPr>
        <w:t xml:space="preserve">the launch of </w:t>
      </w:r>
      <w:r w:rsidR="000709AF">
        <w:rPr>
          <w:rFonts w:asciiTheme="minorHAnsi" w:hAnsiTheme="minorHAnsi" w:cstheme="minorHAnsi"/>
        </w:rPr>
        <w:t xml:space="preserve">nine </w:t>
      </w:r>
      <w:r w:rsidRPr="00CD604F">
        <w:rPr>
          <w:rFonts w:asciiTheme="minorHAnsi" w:hAnsiTheme="minorHAnsi" w:cstheme="minorHAnsi"/>
        </w:rPr>
        <w:t>investigations including case studi</w:t>
      </w:r>
      <w:r>
        <w:rPr>
          <w:rFonts w:asciiTheme="minorHAnsi" w:hAnsiTheme="minorHAnsi" w:cstheme="minorHAnsi"/>
        </w:rPr>
        <w:t>es in relation to Lake Alic</w:t>
      </w:r>
      <w:r w:rsidR="00F86306">
        <w:rPr>
          <w:rFonts w:asciiTheme="minorHAnsi" w:hAnsiTheme="minorHAnsi" w:cstheme="minorHAnsi"/>
        </w:rPr>
        <w:t>e a</w:t>
      </w:r>
      <w:r>
        <w:rPr>
          <w:rFonts w:asciiTheme="minorHAnsi" w:hAnsiTheme="minorHAnsi" w:cstheme="minorHAnsi"/>
        </w:rPr>
        <w:t xml:space="preserve">nd </w:t>
      </w:r>
      <w:proofErr w:type="spellStart"/>
      <w:r>
        <w:rPr>
          <w:rFonts w:asciiTheme="minorHAnsi" w:hAnsiTheme="minorHAnsi" w:cstheme="minorHAnsi"/>
        </w:rPr>
        <w:t>Marylands</w:t>
      </w:r>
      <w:proofErr w:type="spellEnd"/>
      <w:r>
        <w:rPr>
          <w:rFonts w:asciiTheme="minorHAnsi" w:hAnsiTheme="minorHAnsi" w:cstheme="minorHAnsi"/>
        </w:rPr>
        <w:t xml:space="preserve"> school;</w:t>
      </w:r>
    </w:p>
    <w:p w14:paraId="08A53140" w14:textId="77777777" w:rsidR="00BE67AB" w:rsidRDefault="00BE67AB" w:rsidP="00BE67AB">
      <w:pPr>
        <w:pStyle w:val="ListParagraph"/>
        <w:numPr>
          <w:ilvl w:val="0"/>
          <w:numId w:val="27"/>
        </w:numPr>
        <w:spacing w:after="120"/>
        <w:rPr>
          <w:rFonts w:asciiTheme="minorHAnsi" w:hAnsiTheme="minorHAnsi" w:cstheme="minorHAnsi"/>
        </w:rPr>
      </w:pPr>
      <w:r>
        <w:rPr>
          <w:rFonts w:asciiTheme="minorHAnsi" w:hAnsiTheme="minorHAnsi" w:cstheme="minorHAnsi"/>
        </w:rPr>
        <w:t xml:space="preserve">Messages to Aotearoa (whereby survivors who engage with the Royal Commission are offered the opportunity to send a message to New Zealand on a postcard. The messages are anonymous and added to our website); </w:t>
      </w:r>
      <w:r w:rsidRPr="00CD604F">
        <w:rPr>
          <w:rFonts w:asciiTheme="minorHAnsi" w:hAnsiTheme="minorHAnsi" w:cstheme="minorHAnsi"/>
        </w:rPr>
        <w:t xml:space="preserve">and </w:t>
      </w:r>
      <w:r>
        <w:rPr>
          <w:rFonts w:asciiTheme="minorHAnsi" w:hAnsiTheme="minorHAnsi" w:cstheme="minorHAnsi"/>
        </w:rPr>
        <w:t xml:space="preserve">the completion of </w:t>
      </w:r>
      <w:r w:rsidRPr="00CD604F">
        <w:rPr>
          <w:rFonts w:asciiTheme="minorHAnsi" w:hAnsiTheme="minorHAnsi" w:cstheme="minorHAnsi"/>
        </w:rPr>
        <w:t xml:space="preserve">500 private sessions; </w:t>
      </w:r>
    </w:p>
    <w:p w14:paraId="445F27C3" w14:textId="77777777" w:rsidR="00BE67AB" w:rsidRDefault="00BE67AB" w:rsidP="00BE67AB">
      <w:pPr>
        <w:pStyle w:val="ListParagraph"/>
        <w:numPr>
          <w:ilvl w:val="0"/>
          <w:numId w:val="27"/>
        </w:numPr>
        <w:spacing w:after="120"/>
        <w:rPr>
          <w:rFonts w:asciiTheme="minorHAnsi" w:hAnsiTheme="minorHAnsi" w:cstheme="minorHAnsi"/>
        </w:rPr>
      </w:pPr>
      <w:r w:rsidRPr="00CD604F">
        <w:rPr>
          <w:rFonts w:asciiTheme="minorHAnsi" w:hAnsiTheme="minorHAnsi" w:cstheme="minorHAnsi"/>
        </w:rPr>
        <w:t>Numbers of registered prisoner</w:t>
      </w:r>
      <w:r>
        <w:rPr>
          <w:rFonts w:asciiTheme="minorHAnsi" w:hAnsiTheme="minorHAnsi" w:cstheme="minorHAnsi"/>
        </w:rPr>
        <w:t>s</w:t>
      </w:r>
      <w:r w:rsidRPr="00CD604F">
        <w:rPr>
          <w:rFonts w:asciiTheme="minorHAnsi" w:hAnsiTheme="minorHAnsi" w:cstheme="minorHAnsi"/>
        </w:rPr>
        <w:t xml:space="preserve">; and </w:t>
      </w:r>
    </w:p>
    <w:p w14:paraId="11853092" w14:textId="77777777" w:rsidR="00BE67AB" w:rsidRPr="00CD604F" w:rsidRDefault="00BE67AB" w:rsidP="00BE67AB">
      <w:pPr>
        <w:pStyle w:val="ListParagraph"/>
        <w:numPr>
          <w:ilvl w:val="0"/>
          <w:numId w:val="27"/>
        </w:numPr>
        <w:spacing w:after="120"/>
        <w:rPr>
          <w:rFonts w:asciiTheme="minorHAnsi" w:hAnsiTheme="minorHAnsi" w:cstheme="minorHAnsi"/>
        </w:rPr>
      </w:pPr>
      <w:r w:rsidRPr="00CD604F">
        <w:rPr>
          <w:rFonts w:asciiTheme="minorHAnsi" w:hAnsiTheme="minorHAnsi" w:cstheme="minorHAnsi"/>
        </w:rPr>
        <w:t xml:space="preserve">Public comments around </w:t>
      </w:r>
      <w:r>
        <w:rPr>
          <w:rFonts w:asciiTheme="minorHAnsi" w:hAnsiTheme="minorHAnsi" w:cstheme="minorHAnsi"/>
        </w:rPr>
        <w:t xml:space="preserve">historical </w:t>
      </w:r>
      <w:r w:rsidRPr="00CD604F">
        <w:rPr>
          <w:rFonts w:asciiTheme="minorHAnsi" w:hAnsiTheme="minorHAnsi" w:cstheme="minorHAnsi"/>
        </w:rPr>
        <w:t xml:space="preserve">abuse at Dilworth School in Auckland. </w:t>
      </w:r>
    </w:p>
    <w:p w14:paraId="3DA50484" w14:textId="77777777" w:rsidR="00BE67AB" w:rsidRDefault="00BE67AB" w:rsidP="00BE67AB">
      <w:pPr>
        <w:pStyle w:val="ListParagraph"/>
        <w:numPr>
          <w:ilvl w:val="0"/>
          <w:numId w:val="26"/>
        </w:numPr>
        <w:ind w:left="284" w:hanging="284"/>
        <w:rPr>
          <w:rFonts w:asciiTheme="minorHAnsi" w:hAnsiTheme="minorHAnsi" w:cstheme="minorHAnsi"/>
        </w:rPr>
      </w:pPr>
      <w:r w:rsidRPr="002C053D">
        <w:rPr>
          <w:rFonts w:asciiTheme="minorHAnsi" w:hAnsiTheme="minorHAnsi" w:cstheme="minorHAnsi"/>
        </w:rPr>
        <w:t xml:space="preserve">The productions and launch of </w:t>
      </w:r>
      <w:r>
        <w:rPr>
          <w:rFonts w:asciiTheme="minorHAnsi" w:hAnsiTheme="minorHAnsi" w:cstheme="minorHAnsi"/>
        </w:rPr>
        <w:t xml:space="preserve">three </w:t>
      </w:r>
      <w:r w:rsidRPr="002C053D">
        <w:rPr>
          <w:rFonts w:asciiTheme="minorHAnsi" w:hAnsiTheme="minorHAnsi" w:cstheme="minorHAnsi"/>
        </w:rPr>
        <w:t>NZ Sign Language videos</w:t>
      </w:r>
      <w:r>
        <w:rPr>
          <w:rFonts w:asciiTheme="minorHAnsi" w:hAnsiTheme="minorHAnsi" w:cstheme="minorHAnsi"/>
        </w:rPr>
        <w:t xml:space="preserve"> and an explainer video about the Lake Alice Investigation.</w:t>
      </w:r>
      <w:r w:rsidRPr="002C053D">
        <w:rPr>
          <w:rFonts w:asciiTheme="minorHAnsi" w:hAnsiTheme="minorHAnsi" w:cstheme="minorHAnsi"/>
        </w:rPr>
        <w:t xml:space="preserve"> </w:t>
      </w:r>
    </w:p>
    <w:p w14:paraId="7EAB0D9F" w14:textId="77777777" w:rsidR="00BE67AB" w:rsidRPr="00C356E6" w:rsidRDefault="00BE67AB" w:rsidP="00BE67AB">
      <w:pPr>
        <w:pStyle w:val="ListParagraph"/>
        <w:numPr>
          <w:ilvl w:val="0"/>
          <w:numId w:val="26"/>
        </w:numPr>
        <w:ind w:left="284" w:hanging="284"/>
        <w:rPr>
          <w:rFonts w:asciiTheme="minorHAnsi" w:hAnsiTheme="minorHAnsi" w:cstheme="minorHAnsi"/>
        </w:rPr>
      </w:pPr>
      <w:r>
        <w:rPr>
          <w:rFonts w:asciiTheme="minorHAnsi" w:hAnsiTheme="minorHAnsi" w:cstheme="minorHAnsi"/>
        </w:rPr>
        <w:t xml:space="preserve">In the next quarter, the team will be publishing a series of videos covering all aspects of the Inquiry’s work, providing media and communications support for two hearings as well implementing a review and audit of the website and social media. </w:t>
      </w:r>
      <w:r>
        <w:rPr>
          <w:rFonts w:asciiTheme="minorHAnsi" w:hAnsiTheme="minorHAnsi" w:cstheme="minorHAnsi"/>
        </w:rPr>
        <w:br/>
      </w:r>
    </w:p>
    <w:p w14:paraId="03368C85" w14:textId="77777777" w:rsidR="00BE67AB" w:rsidRDefault="00BE67AB" w:rsidP="00BE67AB">
      <w:r w:rsidRPr="00B52090">
        <w:rPr>
          <w:b/>
        </w:rPr>
        <w:t>Interim Report</w:t>
      </w:r>
      <w:r>
        <w:rPr>
          <w:b/>
        </w:rPr>
        <w:br/>
      </w:r>
      <w:r>
        <w:br/>
        <w:t>The Interim report is one report in two parts – the Substantive Interim Report and the Administrative Report. The Terms of Reference specify a delivery date of December 2020. The Interim Report will draw on evidence from the Contextual Hearing held in October/November 2019 and the State Redress Hearing, which is taking place in September/October 2020.</w:t>
      </w:r>
    </w:p>
    <w:p w14:paraId="0B60FA57" w14:textId="44DD75CE" w:rsidR="00BE67AB" w:rsidRDefault="00BE67AB" w:rsidP="00BE67AB">
      <w:pPr>
        <w:rPr>
          <w:b/>
        </w:rPr>
      </w:pPr>
      <w:r>
        <w:lastRenderedPageBreak/>
        <w:t>We are on track to deliver the Interim Report to the Governor General in December 2020.</w:t>
      </w:r>
      <w:r>
        <w:br/>
      </w:r>
      <w:r>
        <w:rPr>
          <w:b/>
        </w:rPr>
        <w:br/>
        <w:t>A</w:t>
      </w:r>
      <w:r w:rsidRPr="00B52090">
        <w:rPr>
          <w:b/>
        </w:rPr>
        <w:t>dministration Report</w:t>
      </w:r>
      <w:r>
        <w:rPr>
          <w:b/>
        </w:rPr>
        <w:br/>
      </w:r>
      <w:r>
        <w:rPr>
          <w:color w:val="FF0000"/>
        </w:rPr>
        <w:br/>
      </w:r>
      <w:r>
        <w:t xml:space="preserve">The Inquiry’s budget on establishment recognised the limited information about how many people might have been abused in care and how many survivors and others might become involved in our work.  The Administrative Report sets out our analysis of the likely workload to complete the Inquiry. </w:t>
      </w:r>
      <w:r w:rsidRPr="0023022F">
        <w:t>It also provides a detailed assessment of the additional budget and time needed to do this.</w:t>
      </w:r>
      <w:r>
        <w:t xml:space="preserve"> We continue to engage regularly with Departmental officials on our progress. </w:t>
      </w:r>
    </w:p>
    <w:p w14:paraId="2902EFA4" w14:textId="68A1DE0D" w:rsidR="00BE67AB" w:rsidRPr="00373641" w:rsidRDefault="00BE67AB" w:rsidP="00BE67AB">
      <w:pPr>
        <w:contextualSpacing/>
        <w:rPr>
          <w:rFonts w:cs="Calibri"/>
          <w:u w:val="single"/>
        </w:rPr>
      </w:pPr>
      <w:r>
        <w:rPr>
          <w:b/>
        </w:rPr>
        <w:t>Risks</w:t>
      </w:r>
      <w:r>
        <w:rPr>
          <w:b/>
        </w:rPr>
        <w:br/>
      </w:r>
      <w:r>
        <w:rPr>
          <w:b/>
        </w:rPr>
        <w:br/>
      </w:r>
      <w:r w:rsidRPr="009B5BE5">
        <w:rPr>
          <w:u w:val="single"/>
        </w:rPr>
        <w:t>Conflicts of Interest</w:t>
      </w:r>
      <w:r>
        <w:rPr>
          <w:b/>
        </w:rPr>
        <w:t xml:space="preserve"> </w:t>
      </w:r>
      <w:r>
        <w:rPr>
          <w:b/>
        </w:rPr>
        <w:br/>
      </w:r>
      <w:r>
        <w:rPr>
          <w:b/>
        </w:rPr>
        <w:br/>
      </w:r>
      <w:r w:rsidRPr="00C356E6">
        <w:t xml:space="preserve">The progress of the Inquiry into its delivery phase has prompted a review of the way the Commission monitors and manages its </w:t>
      </w:r>
      <w:r>
        <w:t xml:space="preserve">conflicts of interest.  A Conflict of interest Assessment Panel has been formed comprising two senior managers and a member of the Counsel Assist team.  </w:t>
      </w:r>
      <w:r w:rsidRPr="00EF1711">
        <w:t xml:space="preserve">Applicants with backgrounds, work experience or interests relating to past employment at agencies such as the Ministry of Social Development, </w:t>
      </w:r>
      <w:proofErr w:type="spellStart"/>
      <w:r w:rsidRPr="00EF1711">
        <w:t>Oranga</w:t>
      </w:r>
      <w:proofErr w:type="spellEnd"/>
      <w:r w:rsidRPr="00EF1711">
        <w:t xml:space="preserve"> Tamariki, Crown Law, the Ministries of Health and Education and faith-based institutions must be referred to the Panel for consideration of any declared interests, and actual or perceived conflicts before recruitment is finalised.  The Panel is also undertaking a reassessment of current employees, counsel assisting, and contractors with similar backgrounds to ensure any existing conflicts are managed appropriately.</w:t>
      </w:r>
      <w:r>
        <w:br/>
      </w:r>
      <w:r>
        <w:br/>
      </w:r>
      <w:r w:rsidRPr="00616C29">
        <w:rPr>
          <w:u w:val="single"/>
        </w:rPr>
        <w:t xml:space="preserve">Privacy Breach </w:t>
      </w:r>
    </w:p>
    <w:p w14:paraId="70B03A0C" w14:textId="77777777" w:rsidR="00BE67AB" w:rsidRPr="00616C29" w:rsidRDefault="00BE67AB" w:rsidP="00BE67AB">
      <w:pPr>
        <w:contextualSpacing/>
        <w:rPr>
          <w:u w:val="single"/>
        </w:rPr>
      </w:pPr>
    </w:p>
    <w:p w14:paraId="33AFC589" w14:textId="77777777" w:rsidR="00BE67AB" w:rsidRPr="00616C29" w:rsidRDefault="00BE67AB" w:rsidP="00BE67AB">
      <w:r w:rsidRPr="00616C29">
        <w:t xml:space="preserve">On 13 October 2020 the Royal Commission was notified by a journalist that they had been made aware of a privacy incident involving personal details of one survivor being sent, in error, to another survivor.  </w:t>
      </w:r>
    </w:p>
    <w:p w14:paraId="7939F740" w14:textId="77777777" w:rsidR="00BE67AB" w:rsidRPr="00616C29" w:rsidRDefault="00BE67AB" w:rsidP="00BE67AB">
      <w:r w:rsidRPr="00616C29">
        <w:t xml:space="preserve">As a serious privacy breach, involving the release of survivor information, an incident management team was stood up to investigate the incident, endeavouring to contain - as much as possible - the spread of information so that the individual’s data was respected. </w:t>
      </w:r>
    </w:p>
    <w:p w14:paraId="3FCF5453" w14:textId="24D07D81" w:rsidR="00BE67AB" w:rsidRPr="00616C29" w:rsidRDefault="00373641" w:rsidP="00BE67AB">
      <w:r>
        <w:br/>
      </w:r>
      <w:r w:rsidR="00BE67AB" w:rsidRPr="00616C29">
        <w:t>Both survivors were contacted: the person whose information was breached, and the person who the information was sent to in error. We have given our sincere apologies and offered wellbeing support. We are continuing to engage with both survivors either directly or through their nominated support people.</w:t>
      </w:r>
    </w:p>
    <w:p w14:paraId="0FE2DA95" w14:textId="77777777" w:rsidR="00BE67AB" w:rsidRPr="00616C29" w:rsidRDefault="00BE67AB" w:rsidP="00BE67AB">
      <w:pPr>
        <w:rPr>
          <w:color w:val="1F497D"/>
        </w:rPr>
      </w:pPr>
      <w:r>
        <w:t>The O</w:t>
      </w:r>
      <w:r w:rsidRPr="00616C29">
        <w:t>ffice of the Privacy Commission</w:t>
      </w:r>
      <w:r>
        <w:t>er</w:t>
      </w:r>
      <w:r w:rsidRPr="00616C29">
        <w:t>, the De</w:t>
      </w:r>
      <w:r w:rsidR="00AC11DF">
        <w:t>partment and the Public Services</w:t>
      </w:r>
      <w:r w:rsidRPr="00616C29">
        <w:t xml:space="preserve"> Commission were all notified.  </w:t>
      </w:r>
    </w:p>
    <w:p w14:paraId="0CE84539" w14:textId="77777777" w:rsidR="00BE67AB" w:rsidRPr="00616C29" w:rsidRDefault="00BE67AB" w:rsidP="00BE67AB">
      <w:r w:rsidRPr="00616C29">
        <w:t>In addition, survivors on our mailing list were sent a special email about the issue in which we offer</w:t>
      </w:r>
      <w:r>
        <w:t>ed</w:t>
      </w:r>
      <w:r w:rsidRPr="00616C29">
        <w:t xml:space="preserve"> our sincere apologies and aim</w:t>
      </w:r>
      <w:r>
        <w:t>ed</w:t>
      </w:r>
      <w:r w:rsidRPr="00616C29">
        <w:t xml:space="preserve"> to reassure them that their personal information is safe with us, as many will feel justifiably anxious. </w:t>
      </w:r>
    </w:p>
    <w:p w14:paraId="45B44CEF" w14:textId="77777777" w:rsidR="00BE67AB" w:rsidRPr="0017738A" w:rsidRDefault="00BE67AB" w:rsidP="00BE67AB">
      <w:r w:rsidRPr="00616C29">
        <w:lastRenderedPageBreak/>
        <w:t>This incident is being fully investigated, and we are reviewing our processes to ensure that we can confidently assure survivors that the information they share with us will be kept safe going forward.</w:t>
      </w:r>
    </w:p>
    <w:p w14:paraId="30F853A1" w14:textId="77777777" w:rsidR="00BE67AB" w:rsidRPr="0017738A" w:rsidRDefault="00BE67AB" w:rsidP="00BE67AB">
      <w:pPr>
        <w:keepLines w:val="0"/>
        <w:rPr>
          <w:rFonts w:cs="Calibri"/>
          <w:b/>
        </w:rPr>
      </w:pPr>
      <w:r>
        <w:rPr>
          <w:b/>
        </w:rPr>
        <w:t xml:space="preserve">Impact of </w:t>
      </w:r>
      <w:r w:rsidRPr="008D4934">
        <w:rPr>
          <w:b/>
        </w:rPr>
        <w:t>Covid</w:t>
      </w:r>
      <w:r>
        <w:rPr>
          <w:b/>
        </w:rPr>
        <w:t>-</w:t>
      </w:r>
      <w:r w:rsidRPr="008D4934">
        <w:rPr>
          <w:b/>
        </w:rPr>
        <w:t>19</w:t>
      </w:r>
      <w:r>
        <w:rPr>
          <w:b/>
        </w:rPr>
        <w:t xml:space="preserve"> on the Inquiry’s work programme during this quarter</w:t>
      </w:r>
    </w:p>
    <w:p w14:paraId="41AD030E" w14:textId="77777777" w:rsidR="00BE67AB" w:rsidRDefault="00BE67AB" w:rsidP="00BE67AB">
      <w:pPr>
        <w:contextualSpacing/>
      </w:pPr>
      <w:r w:rsidRPr="00B42298">
        <w:t xml:space="preserve">The Royal Commission </w:t>
      </w:r>
      <w:r>
        <w:t>moved quickly in response to the Covid-19 outbreak in August 2020, again with a “people/survivor first” approach, while seeking to minimise the impact on operations and to ensure critical work was progressed and delivered.  We continued to engage with the Department of Internal Affairs (DIA) who provided advice throughout the period.</w:t>
      </w:r>
    </w:p>
    <w:p w14:paraId="255B1970" w14:textId="77777777" w:rsidR="00BE67AB" w:rsidRDefault="00BE67AB" w:rsidP="00BE67AB">
      <w:pPr>
        <w:contextualSpacing/>
      </w:pPr>
      <w:r>
        <w:br/>
        <w:t xml:space="preserve">The Inquiry’s Crisis Management Team was re-established with a focus on identifying the immediate business impacts, with a key focus of our response being to ensure the completion of all necessary work to have a well-functioning public hearing space at our Auckland premises for the opening of the redress hearing on 21 September. This hearing was originally scheduled to take place in March 2020 but was deferred due to Covid-19.  </w:t>
      </w:r>
    </w:p>
    <w:p w14:paraId="32EBA000" w14:textId="77777777" w:rsidR="00BE67AB" w:rsidRDefault="00BE67AB" w:rsidP="00BE67AB">
      <w:pPr>
        <w:contextualSpacing/>
      </w:pPr>
    </w:p>
    <w:p w14:paraId="1465F053" w14:textId="77777777" w:rsidR="00BE67AB" w:rsidRPr="00F511AA" w:rsidRDefault="00BE67AB" w:rsidP="00BE67AB">
      <w:pPr>
        <w:contextualSpacing/>
        <w:rPr>
          <w:u w:val="single"/>
        </w:rPr>
      </w:pPr>
      <w:r>
        <w:t xml:space="preserve">The hearing space was formally opened </w:t>
      </w:r>
      <w:r w:rsidRPr="00400D44">
        <w:t xml:space="preserve">on 11 September by </w:t>
      </w:r>
      <w:r>
        <w:t xml:space="preserve">representatives of </w:t>
      </w:r>
      <w:proofErr w:type="spellStart"/>
      <w:r w:rsidRPr="00400D44">
        <w:t>Ngāti</w:t>
      </w:r>
      <w:proofErr w:type="spellEnd"/>
      <w:r w:rsidRPr="00400D44">
        <w:t xml:space="preserve"> </w:t>
      </w:r>
      <w:proofErr w:type="spellStart"/>
      <w:r w:rsidRPr="00400D44">
        <w:t>Whātua</w:t>
      </w:r>
      <w:proofErr w:type="spellEnd"/>
      <w:r w:rsidRPr="00400D44">
        <w:t xml:space="preserve"> </w:t>
      </w:r>
      <w:proofErr w:type="spellStart"/>
      <w:r w:rsidRPr="00400D44">
        <w:t>Ōrākei</w:t>
      </w:r>
      <w:proofErr w:type="spellEnd"/>
      <w:r w:rsidRPr="00400D44">
        <w:rPr>
          <w:rFonts w:eastAsia="Times New Roman"/>
          <w:sz w:val="20"/>
          <w:szCs w:val="20"/>
        </w:rPr>
        <w:t xml:space="preserve"> </w:t>
      </w:r>
      <w:r w:rsidRPr="00400D44">
        <w:t xml:space="preserve">in a </w:t>
      </w:r>
      <w:r>
        <w:t>small</w:t>
      </w:r>
      <w:r w:rsidRPr="00400D44">
        <w:t xml:space="preserve"> ceremony attended by </w:t>
      </w:r>
      <w:r>
        <w:t xml:space="preserve">the Chair, </w:t>
      </w:r>
      <w:r w:rsidRPr="00400D44">
        <w:t>the two Auckland based Commissioners, and a small number of Auckland based staff</w:t>
      </w:r>
      <w:r>
        <w:t xml:space="preserve">. </w:t>
      </w:r>
      <w:r>
        <w:br/>
      </w:r>
      <w:r>
        <w:br/>
        <w:t xml:space="preserve">Inevitably, travel restrictions, the inability to engage with survivors on a face-to-face basis and the restrictions on group sizes did have an impact on the Inquiry’s work programme in this quarter. However, the comprehensive planning and development of alternative processes undertaken earlier in the year - in response to Covid-19 restrictions - ensured work continued as well as it could during this period. </w:t>
      </w:r>
    </w:p>
    <w:p w14:paraId="25C16F34" w14:textId="77777777" w:rsidR="00BE67AB" w:rsidRDefault="00BE67AB">
      <w:pPr>
        <w:keepLines w:val="0"/>
        <w:rPr>
          <w:b/>
        </w:rPr>
      </w:pPr>
    </w:p>
    <w:p w14:paraId="08D3E992" w14:textId="77777777" w:rsidR="00BE67AB" w:rsidRDefault="00BE67AB">
      <w:pPr>
        <w:keepLines w:val="0"/>
        <w:rPr>
          <w:rFonts w:cs="Arial"/>
          <w:b/>
          <w:bCs/>
          <w:color w:val="1F546B" w:themeColor="text2"/>
          <w:kern w:val="32"/>
          <w:sz w:val="52"/>
          <w:szCs w:val="32"/>
        </w:rPr>
      </w:pPr>
      <w:r>
        <w:br w:type="page"/>
      </w:r>
    </w:p>
    <w:p w14:paraId="44B44B0C" w14:textId="77777777" w:rsidR="00BE67AB" w:rsidRPr="00BE67AB" w:rsidRDefault="00BE67AB" w:rsidP="00BE67AB">
      <w:pPr>
        <w:pStyle w:val="Heading1"/>
      </w:pPr>
      <w:r w:rsidRPr="00BE67AB">
        <w:lastRenderedPageBreak/>
        <w:t xml:space="preserve">Key performance indicators </w:t>
      </w:r>
    </w:p>
    <w:p w14:paraId="53AFF05D" w14:textId="77777777" w:rsidR="00BE67AB" w:rsidRDefault="00BE67AB" w:rsidP="00BE67AB">
      <w:pPr>
        <w:rPr>
          <w:rFonts w:cs="Arial"/>
          <w:b/>
          <w:bCs/>
          <w:color w:val="1F536A"/>
          <w:sz w:val="36"/>
          <w:szCs w:val="36"/>
        </w:rPr>
      </w:pPr>
      <w:r w:rsidRPr="52C751B9">
        <w:rPr>
          <w:rFonts w:cs="Arial"/>
          <w:b/>
          <w:bCs/>
          <w:color w:val="1F536A"/>
          <w:sz w:val="36"/>
          <w:szCs w:val="36"/>
        </w:rPr>
        <w:t xml:space="preserve">Organisational Delivery </w:t>
      </w:r>
    </w:p>
    <w:p w14:paraId="1FA4F3EF" w14:textId="77777777" w:rsidR="00BE67AB" w:rsidRDefault="00BE67AB" w:rsidP="00BE67AB">
      <w:pPr>
        <w:pStyle w:val="Heading4"/>
      </w:pPr>
      <w:r>
        <w:t>Interim Report</w:t>
      </w:r>
    </w:p>
    <w:p w14:paraId="162ECAA1" w14:textId="77777777" w:rsidR="00BE67AB" w:rsidRPr="00C76155" w:rsidRDefault="00BE67AB" w:rsidP="00BE67AB">
      <w:r>
        <w:t>The Inquiry is to provide an interim report on its work, in writing, by 28 December 2020. The report will be in two parts – a substantive interim report and an administrative interim report.</w:t>
      </w:r>
    </w:p>
    <w:p w14:paraId="73B85D21" w14:textId="77777777" w:rsidR="00BE67AB" w:rsidRDefault="00BE67AB" w:rsidP="00BE67AB"/>
    <w:tbl>
      <w:tblPr>
        <w:tblStyle w:val="DIATable"/>
        <w:tblW w:w="0" w:type="auto"/>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7655"/>
        <w:gridCol w:w="1276"/>
      </w:tblGrid>
      <w:tr w:rsidR="00BE67AB" w14:paraId="028283AD" w14:textId="77777777" w:rsidTr="00AC00E3">
        <w:trPr>
          <w:cnfStyle w:val="100000000000" w:firstRow="1" w:lastRow="0" w:firstColumn="0" w:lastColumn="0" w:oddVBand="0" w:evenVBand="0" w:oddHBand="0" w:evenHBand="0" w:firstRowFirstColumn="0" w:firstRowLastColumn="0" w:lastRowFirstColumn="0" w:lastRowLastColumn="0"/>
        </w:trPr>
        <w:tc>
          <w:tcPr>
            <w:tcW w:w="76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02D9B161" w14:textId="77777777" w:rsidR="00BE67AB" w:rsidRPr="001045F5" w:rsidRDefault="00BE67AB" w:rsidP="00AC00E3">
            <w:pPr>
              <w:spacing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Target 20/21: On track</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74768969" w14:textId="01308CBA" w:rsidR="00BE67AB" w:rsidRPr="001045F5" w:rsidRDefault="00BE67AB" w:rsidP="00AC00E3">
            <w:pPr>
              <w:spacing w:line="259" w:lineRule="auto"/>
              <w:jc w:val="center"/>
              <w:rPr>
                <w:color w:val="auto"/>
                <w:highlight w:val="yellow"/>
              </w:rPr>
            </w:pPr>
          </w:p>
        </w:tc>
      </w:tr>
      <w:tr w:rsidR="00BE67AB" w14:paraId="2747C28C" w14:textId="77777777" w:rsidTr="00AC00E3">
        <w:tc>
          <w:tcPr>
            <w:tcW w:w="7655" w:type="dxa"/>
            <w:shd w:val="clear" w:color="auto" w:fill="auto"/>
          </w:tcPr>
          <w:p w14:paraId="64023812" w14:textId="238D318F" w:rsidR="00BE67AB" w:rsidRPr="001B71EA" w:rsidRDefault="00BE67AB" w:rsidP="00AC00E3">
            <w:pPr>
              <w:spacing w:line="259" w:lineRule="auto"/>
              <w:rPr>
                <w:bCs/>
              </w:rPr>
            </w:pPr>
            <w:r>
              <w:rPr>
                <w:bCs/>
              </w:rPr>
              <w:t xml:space="preserve">Substantive Interim Report </w:t>
            </w:r>
          </w:p>
        </w:tc>
        <w:tc>
          <w:tcPr>
            <w:tcW w:w="1276" w:type="dxa"/>
            <w:shd w:val="clear" w:color="auto" w:fill="auto"/>
          </w:tcPr>
          <w:p w14:paraId="33177DF4" w14:textId="40DE55D3" w:rsidR="00BE67AB" w:rsidRPr="002D3AFF" w:rsidRDefault="00BE67AB" w:rsidP="00AC00E3">
            <w:pPr>
              <w:jc w:val="center"/>
              <w:rPr>
                <w:rFonts w:ascii="Elephant" w:eastAsia="Elephant" w:hAnsi="Elephant" w:cs="Elephant"/>
                <w:color w:val="00B050"/>
                <w:sz w:val="40"/>
                <w:szCs w:val="40"/>
              </w:rPr>
            </w:pPr>
          </w:p>
        </w:tc>
      </w:tr>
      <w:tr w:rsidR="00BE67AB" w14:paraId="60CEA72D" w14:textId="77777777" w:rsidTr="00AC00E3">
        <w:trPr>
          <w:gridAfter w:val="1"/>
          <w:wAfter w:w="1276" w:type="dxa"/>
        </w:trPr>
        <w:tc>
          <w:tcPr>
            <w:tcW w:w="7655" w:type="dxa"/>
          </w:tcPr>
          <w:p w14:paraId="06FF4496" w14:textId="77777777" w:rsidR="00BE67AB" w:rsidRDefault="00BE67AB" w:rsidP="00AC00E3">
            <w:r>
              <w:t xml:space="preserve">Comments: In final stages of completion. On track to deliver in December 2020. </w:t>
            </w:r>
          </w:p>
          <w:p w14:paraId="09F6EC29" w14:textId="77777777" w:rsidR="00BE67AB" w:rsidRDefault="00BE67AB" w:rsidP="00AC00E3"/>
        </w:tc>
      </w:tr>
    </w:tbl>
    <w:p w14:paraId="72F051B8" w14:textId="77777777" w:rsidR="00BE67AB" w:rsidRDefault="00BE67AB" w:rsidP="00BE67AB"/>
    <w:tbl>
      <w:tblPr>
        <w:tblStyle w:val="DIATable"/>
        <w:tblW w:w="0" w:type="auto"/>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7655"/>
        <w:gridCol w:w="1276"/>
      </w:tblGrid>
      <w:tr w:rsidR="00BE67AB" w14:paraId="69C0D2DF" w14:textId="77777777" w:rsidTr="00AC00E3">
        <w:trPr>
          <w:cnfStyle w:val="100000000000" w:firstRow="1" w:lastRow="0" w:firstColumn="0" w:lastColumn="0" w:oddVBand="0" w:evenVBand="0" w:oddHBand="0" w:evenHBand="0" w:firstRowFirstColumn="0" w:firstRowLastColumn="0" w:lastRowFirstColumn="0" w:lastRowLastColumn="0"/>
        </w:trPr>
        <w:tc>
          <w:tcPr>
            <w:tcW w:w="76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087C0106" w14:textId="77777777" w:rsidR="00BE67AB" w:rsidRPr="001045F5" w:rsidRDefault="00BE67AB" w:rsidP="00AC00E3">
            <w:pPr>
              <w:spacing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Target 20/21: On track</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183FFC5A" w14:textId="13B67972" w:rsidR="00BE67AB" w:rsidRPr="001045F5" w:rsidRDefault="00BE67AB" w:rsidP="00AC00E3">
            <w:pPr>
              <w:spacing w:line="259" w:lineRule="auto"/>
              <w:jc w:val="center"/>
              <w:rPr>
                <w:color w:val="auto"/>
                <w:highlight w:val="yellow"/>
              </w:rPr>
            </w:pPr>
          </w:p>
        </w:tc>
      </w:tr>
      <w:tr w:rsidR="00BE67AB" w14:paraId="16428B81" w14:textId="77777777" w:rsidTr="00AC00E3">
        <w:tc>
          <w:tcPr>
            <w:tcW w:w="7655" w:type="dxa"/>
            <w:shd w:val="clear" w:color="auto" w:fill="auto"/>
          </w:tcPr>
          <w:p w14:paraId="2566AE79" w14:textId="6DFFA75E" w:rsidR="00BE67AB" w:rsidRPr="001B71EA" w:rsidRDefault="00BE67AB" w:rsidP="00AC00E3">
            <w:pPr>
              <w:spacing w:line="259" w:lineRule="auto"/>
              <w:rPr>
                <w:bCs/>
              </w:rPr>
            </w:pPr>
            <w:r>
              <w:rPr>
                <w:bCs/>
              </w:rPr>
              <w:t xml:space="preserve">Administrative Report </w:t>
            </w:r>
          </w:p>
        </w:tc>
        <w:tc>
          <w:tcPr>
            <w:tcW w:w="1276" w:type="dxa"/>
            <w:shd w:val="clear" w:color="auto" w:fill="auto"/>
          </w:tcPr>
          <w:p w14:paraId="098A35E7" w14:textId="2A66379E" w:rsidR="00BE67AB" w:rsidRPr="002D3AFF" w:rsidRDefault="00BE67AB" w:rsidP="00AC00E3">
            <w:pPr>
              <w:jc w:val="center"/>
              <w:rPr>
                <w:rFonts w:ascii="Elephant" w:eastAsia="Elephant" w:hAnsi="Elephant" w:cs="Elephant"/>
                <w:color w:val="00B050"/>
                <w:sz w:val="40"/>
                <w:szCs w:val="40"/>
              </w:rPr>
            </w:pPr>
          </w:p>
        </w:tc>
      </w:tr>
      <w:tr w:rsidR="00BE67AB" w14:paraId="073B013D" w14:textId="77777777" w:rsidTr="00AC00E3">
        <w:trPr>
          <w:gridAfter w:val="1"/>
          <w:wAfter w:w="1276" w:type="dxa"/>
        </w:trPr>
        <w:tc>
          <w:tcPr>
            <w:tcW w:w="7655" w:type="dxa"/>
          </w:tcPr>
          <w:p w14:paraId="11EE8A44" w14:textId="201722C5" w:rsidR="00BE67AB" w:rsidRDefault="00BE67AB" w:rsidP="00AC00E3">
            <w:r>
              <w:t>Comments: On 10 October a working draft of the full Administrative Report was provided to the Department. We continue to engage the Department on our progress.</w:t>
            </w:r>
          </w:p>
        </w:tc>
      </w:tr>
    </w:tbl>
    <w:p w14:paraId="7DAB2CEA" w14:textId="77777777" w:rsidR="00BE67AB" w:rsidRDefault="00BE67AB" w:rsidP="00BE67AB">
      <w:pPr>
        <w:pStyle w:val="Heading4"/>
      </w:pPr>
    </w:p>
    <w:p w14:paraId="2AE71035" w14:textId="77777777" w:rsidR="00BE67AB" w:rsidRDefault="00BE67AB" w:rsidP="00BE67AB">
      <w:pPr>
        <w:keepLines w:val="0"/>
        <w:rPr>
          <w:b/>
          <w:bCs/>
          <w:i/>
          <w:color w:val="1F546B" w:themeColor="text2"/>
          <w:szCs w:val="28"/>
        </w:rPr>
      </w:pPr>
      <w:r>
        <w:br w:type="page"/>
      </w:r>
    </w:p>
    <w:p w14:paraId="7D659D30" w14:textId="77777777" w:rsidR="00BE67AB" w:rsidRDefault="00BE67AB" w:rsidP="00BE67AB">
      <w:pPr>
        <w:pStyle w:val="Heading4"/>
      </w:pPr>
      <w:r w:rsidRPr="35243F86">
        <w:lastRenderedPageBreak/>
        <w:t>Investigations</w:t>
      </w:r>
      <w:r>
        <w:t xml:space="preserve"> and Public Hearings </w:t>
      </w:r>
      <w:r w:rsidRPr="35243F86">
        <w:t xml:space="preserve"> </w:t>
      </w:r>
    </w:p>
    <w:p w14:paraId="2FC44086" w14:textId="22F11AFF" w:rsidR="00BE67AB" w:rsidRDefault="00BE67AB" w:rsidP="00D45FC3">
      <w:pPr>
        <w:rPr>
          <w:rFonts w:eastAsia="Calibri" w:cs="Calibri"/>
        </w:rPr>
      </w:pPr>
      <w:r>
        <w:rPr>
          <w:rFonts w:eastAsia="Calibri" w:cs="Calibri"/>
        </w:rPr>
        <w:t xml:space="preserve">Nine </w:t>
      </w:r>
      <w:r w:rsidRPr="35243F86">
        <w:rPr>
          <w:rFonts w:eastAsia="Calibri" w:cs="Calibri"/>
        </w:rPr>
        <w:t>investigation</w:t>
      </w:r>
      <w:r>
        <w:rPr>
          <w:rFonts w:eastAsia="Calibri" w:cs="Calibri"/>
        </w:rPr>
        <w:t>s were launched in 2020/21.</w:t>
      </w:r>
      <w:r w:rsidRPr="35243F86">
        <w:rPr>
          <w:rFonts w:eastAsia="Calibri" w:cs="Calibri"/>
        </w:rPr>
        <w:t xml:space="preserve"> </w:t>
      </w:r>
      <w:proofErr w:type="gramStart"/>
      <w:r>
        <w:rPr>
          <w:rFonts w:eastAsia="Calibri" w:cs="Calibri"/>
        </w:rPr>
        <w:t>All of</w:t>
      </w:r>
      <w:proofErr w:type="gramEnd"/>
      <w:r>
        <w:rPr>
          <w:rFonts w:eastAsia="Calibri" w:cs="Calibri"/>
        </w:rPr>
        <w:t xml:space="preserve"> these investigations</w:t>
      </w:r>
      <w:r w:rsidRPr="35243F86">
        <w:rPr>
          <w:rFonts w:eastAsia="Calibri" w:cs="Calibri"/>
        </w:rPr>
        <w:t xml:space="preserve"> </w:t>
      </w:r>
      <w:r>
        <w:rPr>
          <w:rFonts w:eastAsia="Calibri" w:cs="Calibri"/>
        </w:rPr>
        <w:t>will</w:t>
      </w:r>
      <w:r w:rsidRPr="35243F86">
        <w:rPr>
          <w:rFonts w:eastAsia="Calibri" w:cs="Calibri"/>
        </w:rPr>
        <w:t xml:space="preserve"> extend </w:t>
      </w:r>
      <w:r>
        <w:rPr>
          <w:rFonts w:eastAsia="Calibri" w:cs="Calibri"/>
        </w:rPr>
        <w:t xml:space="preserve">beyond the </w:t>
      </w:r>
      <w:r w:rsidRPr="35243F86">
        <w:rPr>
          <w:rFonts w:eastAsia="Calibri" w:cs="Calibri"/>
        </w:rPr>
        <w:t xml:space="preserve">2020/21 </w:t>
      </w:r>
      <w:r>
        <w:rPr>
          <w:rFonts w:eastAsia="Calibri" w:cs="Calibri"/>
        </w:rPr>
        <w:t xml:space="preserve">financial </w:t>
      </w:r>
      <w:r w:rsidRPr="35243F86">
        <w:rPr>
          <w:rFonts w:eastAsia="Calibri" w:cs="Calibri"/>
        </w:rPr>
        <w:t>year</w:t>
      </w:r>
      <w:r>
        <w:rPr>
          <w:rFonts w:eastAsia="Calibri" w:cs="Calibri"/>
        </w:rPr>
        <w:t>. Public hearings on Redress (State and faith-based) and abuse in Psychiatric care (Lake Alice Child and Adolescent Unit), and State children’s residential care are scheduled for 2020/21. Reporting against each investigation will occur progressively as they are established.</w:t>
      </w:r>
    </w:p>
    <w:tbl>
      <w:tblPr>
        <w:tblStyle w:val="DIATable"/>
        <w:tblW w:w="0" w:type="auto"/>
        <w:tblInd w:w="101" w:type="dxa"/>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8815"/>
      </w:tblGrid>
      <w:tr w:rsidR="00373641" w14:paraId="19A3DDED" w14:textId="77777777" w:rsidTr="00373641">
        <w:trPr>
          <w:cnfStyle w:val="100000000000" w:firstRow="1" w:lastRow="0" w:firstColumn="0" w:lastColumn="0" w:oddVBand="0" w:evenVBand="0" w:oddHBand="0" w:evenHBand="0" w:firstRowFirstColumn="0" w:firstRowLastColumn="0" w:lastRowFirstColumn="0" w:lastRowLastColumn="0"/>
        </w:trPr>
        <w:tc>
          <w:tcPr>
            <w:tcW w:w="8815" w:type="dxa"/>
            <w:shd w:val="clear" w:color="auto" w:fill="92D050"/>
          </w:tcPr>
          <w:p w14:paraId="16EC27EE" w14:textId="51F4D102" w:rsidR="00373641" w:rsidRPr="001045F5" w:rsidRDefault="00373641" w:rsidP="00D45FC3">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373641" w14:paraId="29F2E5D9" w14:textId="77777777" w:rsidTr="00373641">
        <w:tc>
          <w:tcPr>
            <w:tcW w:w="8815" w:type="dxa"/>
            <w:shd w:val="clear" w:color="auto" w:fill="auto"/>
          </w:tcPr>
          <w:p w14:paraId="3E857A6E" w14:textId="0182D228" w:rsidR="00373641" w:rsidRPr="001B71EA" w:rsidRDefault="00373641" w:rsidP="00D45FC3">
            <w:pPr>
              <w:spacing w:before="40" w:after="40" w:line="259" w:lineRule="auto"/>
              <w:rPr>
                <w:bCs/>
              </w:rPr>
            </w:pPr>
            <w:r>
              <w:rPr>
                <w:bCs/>
              </w:rPr>
              <w:t xml:space="preserve">Overall Comment on Investigations and Hearings </w:t>
            </w:r>
          </w:p>
        </w:tc>
      </w:tr>
      <w:tr w:rsidR="00373641" w14:paraId="1F9A4DB8" w14:textId="77777777" w:rsidTr="00373641">
        <w:tc>
          <w:tcPr>
            <w:tcW w:w="8815" w:type="dxa"/>
          </w:tcPr>
          <w:p w14:paraId="66686F9A" w14:textId="12C4E9E1" w:rsidR="00373641" w:rsidRDefault="00373641" w:rsidP="00D45FC3">
            <w:pPr>
              <w:spacing w:before="40" w:after="40" w:line="259" w:lineRule="auto"/>
              <w:rPr>
                <w:bCs/>
              </w:rPr>
            </w:pPr>
            <w:r w:rsidRPr="001801E2">
              <w:rPr>
                <w:bCs/>
              </w:rPr>
              <w:t xml:space="preserve">The forward hearing schedule is currently being finalised and the investigations programme </w:t>
            </w:r>
            <w:proofErr w:type="gramStart"/>
            <w:r w:rsidRPr="001801E2">
              <w:rPr>
                <w:bCs/>
              </w:rPr>
              <w:t>as a whole is</w:t>
            </w:r>
            <w:proofErr w:type="gramEnd"/>
            <w:r w:rsidRPr="001801E2">
              <w:rPr>
                <w:bCs/>
              </w:rPr>
              <w:t xml:space="preserve"> still not properly resourced, although it is noted that the recruitment of an additional 32 roles are in the final stages of completion. In addition, research and policy plans for each investigation are still to be finalised. </w:t>
            </w:r>
          </w:p>
          <w:p w14:paraId="4F8E4282" w14:textId="77777777" w:rsidR="00373641" w:rsidRDefault="00373641" w:rsidP="00D45FC3">
            <w:pPr>
              <w:spacing w:before="40" w:after="40" w:line="259" w:lineRule="auto"/>
            </w:pPr>
            <w:r w:rsidRPr="001801E2">
              <w:rPr>
                <w:bCs/>
              </w:rPr>
              <w:t xml:space="preserve">The nine launched investigations are in the process of obtaining their documentary or witness evidence which will be a continuing piece of work as the Inquiry develops. The Investigations team are working in partnership with the Community Engagement and Treaty Engagement teams in developing different methods of finding hard to reach witnesses to ensure relevant witnesses are identified and approached. </w:t>
            </w:r>
          </w:p>
        </w:tc>
      </w:tr>
    </w:tbl>
    <w:p w14:paraId="7DA4532C" w14:textId="77777777" w:rsidR="00BE67AB" w:rsidRDefault="00BE67AB" w:rsidP="00D45FC3">
      <w:pPr>
        <w:spacing w:before="40" w:after="40"/>
        <w:rPr>
          <w:rFonts w:eastAsia="Calibri" w:cs="Calibri"/>
        </w:rPr>
      </w:pPr>
    </w:p>
    <w:tbl>
      <w:tblPr>
        <w:tblStyle w:val="DIATable"/>
        <w:tblW w:w="0" w:type="auto"/>
        <w:tblInd w:w="101" w:type="dxa"/>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8815"/>
      </w:tblGrid>
      <w:tr w:rsidR="00373641" w14:paraId="0E726DCF" w14:textId="77777777" w:rsidTr="00373641">
        <w:trPr>
          <w:cnfStyle w:val="100000000000" w:firstRow="1" w:lastRow="0" w:firstColumn="0" w:lastColumn="0" w:oddVBand="0" w:evenVBand="0" w:oddHBand="0" w:evenHBand="0" w:firstRowFirstColumn="0" w:firstRowLastColumn="0" w:lastRowFirstColumn="0" w:lastRowLastColumn="0"/>
        </w:trPr>
        <w:tc>
          <w:tcPr>
            <w:tcW w:w="8815" w:type="dxa"/>
            <w:shd w:val="clear" w:color="auto" w:fill="92D050"/>
          </w:tcPr>
          <w:p w14:paraId="2417BC31" w14:textId="0AA0A86B" w:rsidR="00373641" w:rsidRPr="001045F5" w:rsidRDefault="00373641" w:rsidP="00D45FC3">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p>
        </w:tc>
      </w:tr>
      <w:tr w:rsidR="00373641" w14:paraId="1E93F0AA" w14:textId="77777777" w:rsidTr="00373641">
        <w:tc>
          <w:tcPr>
            <w:tcW w:w="8815" w:type="dxa"/>
            <w:tcBorders>
              <w:right w:val="single" w:sz="4" w:space="0" w:color="auto"/>
            </w:tcBorders>
            <w:shd w:val="clear" w:color="auto" w:fill="auto"/>
          </w:tcPr>
          <w:p w14:paraId="56EB5951" w14:textId="77777777" w:rsidR="00373641" w:rsidRPr="001B71EA" w:rsidRDefault="00373641" w:rsidP="00D45FC3">
            <w:pPr>
              <w:spacing w:before="40" w:after="40" w:line="259" w:lineRule="auto"/>
              <w:rPr>
                <w:bCs/>
              </w:rPr>
            </w:pPr>
            <w:r w:rsidRPr="00AF14D1">
              <w:rPr>
                <w:rFonts w:eastAsia="Calibri" w:cs="Calibri"/>
                <w:color w:val="000000" w:themeColor="text1"/>
              </w:rPr>
              <w:t>Redress</w:t>
            </w:r>
            <w:r>
              <w:rPr>
                <w:rFonts w:eastAsia="Calibri" w:cs="Calibri"/>
                <w:color w:val="000000" w:themeColor="text1"/>
              </w:rPr>
              <w:t xml:space="preserve"> investigation (State and faith-based)</w:t>
            </w:r>
          </w:p>
        </w:tc>
      </w:tr>
      <w:tr w:rsidR="00373641" w14:paraId="0D3129D5" w14:textId="77777777" w:rsidTr="00373641">
        <w:tc>
          <w:tcPr>
            <w:tcW w:w="8815" w:type="dxa"/>
            <w:tcBorders>
              <w:right w:val="single" w:sz="4" w:space="0" w:color="auto"/>
            </w:tcBorders>
            <w:shd w:val="clear" w:color="auto" w:fill="auto"/>
          </w:tcPr>
          <w:p w14:paraId="2C846793" w14:textId="77777777" w:rsidR="00373641" w:rsidRDefault="00373641" w:rsidP="00D45FC3">
            <w:pPr>
              <w:spacing w:before="40" w:after="40" w:line="259" w:lineRule="auto"/>
              <w:rPr>
                <w:bCs/>
              </w:rPr>
            </w:pPr>
            <w:r>
              <w:t xml:space="preserve">Comments: </w:t>
            </w:r>
            <w:r>
              <w:rPr>
                <w:bCs/>
              </w:rPr>
              <w:t xml:space="preserve">State Redress is halfway through the hearings schedule which has so far gone to plan.  </w:t>
            </w:r>
          </w:p>
          <w:p w14:paraId="6E86469F" w14:textId="77777777" w:rsidR="00373641" w:rsidRPr="00AF14D1" w:rsidRDefault="00373641" w:rsidP="00D45FC3">
            <w:pPr>
              <w:spacing w:before="40" w:after="40" w:line="259" w:lineRule="auto"/>
              <w:rPr>
                <w:rFonts w:eastAsia="Calibri" w:cs="Calibri"/>
                <w:color w:val="000000" w:themeColor="text1"/>
              </w:rPr>
            </w:pPr>
            <w:r>
              <w:rPr>
                <w:bCs/>
              </w:rPr>
              <w:t xml:space="preserve">Faith-based redress hearings commence on 30 November, and the Investigations team is currently finalising its evidential gathering and disclosure exercise. </w:t>
            </w:r>
            <w:proofErr w:type="gramStart"/>
            <w:r>
              <w:rPr>
                <w:bCs/>
              </w:rPr>
              <w:t>At the conclusion of</w:t>
            </w:r>
            <w:proofErr w:type="gramEnd"/>
            <w:r>
              <w:rPr>
                <w:bCs/>
              </w:rPr>
              <w:t xml:space="preserve"> these hearings, the team will then start to focus on roundtables and reporting. </w:t>
            </w:r>
          </w:p>
        </w:tc>
      </w:tr>
    </w:tbl>
    <w:p w14:paraId="321E897A" w14:textId="77777777" w:rsidR="00BE67AB" w:rsidRDefault="00BE67AB" w:rsidP="00D45FC3">
      <w:pPr>
        <w:spacing w:before="40" w:after="40"/>
        <w:rPr>
          <w:rFonts w:eastAsia="Calibri" w:cs="Calibri"/>
        </w:rPr>
      </w:pPr>
    </w:p>
    <w:tbl>
      <w:tblPr>
        <w:tblStyle w:val="DIATable"/>
        <w:tblW w:w="0" w:type="auto"/>
        <w:tblInd w:w="101" w:type="dxa"/>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8815"/>
      </w:tblGrid>
      <w:tr w:rsidR="00373641" w14:paraId="10A56617" w14:textId="77777777" w:rsidTr="00373641">
        <w:trPr>
          <w:cnfStyle w:val="100000000000" w:firstRow="1" w:lastRow="0" w:firstColumn="0" w:lastColumn="0" w:oddVBand="0" w:evenVBand="0" w:oddHBand="0" w:evenHBand="0" w:firstRowFirstColumn="0" w:firstRowLastColumn="0" w:lastRowFirstColumn="0" w:lastRowLastColumn="0"/>
        </w:trPr>
        <w:tc>
          <w:tcPr>
            <w:tcW w:w="8815" w:type="dxa"/>
            <w:shd w:val="clear" w:color="auto" w:fill="92D050"/>
          </w:tcPr>
          <w:p w14:paraId="588CD088" w14:textId="7DF89131" w:rsidR="00373641" w:rsidRPr="001045F5" w:rsidRDefault="00373641" w:rsidP="00D45FC3">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p>
        </w:tc>
      </w:tr>
      <w:tr w:rsidR="00373641" w14:paraId="5F393C9A" w14:textId="77777777" w:rsidTr="00373641">
        <w:trPr>
          <w:trHeight w:val="389"/>
        </w:trPr>
        <w:tc>
          <w:tcPr>
            <w:tcW w:w="8815" w:type="dxa"/>
            <w:shd w:val="clear" w:color="auto" w:fill="auto"/>
          </w:tcPr>
          <w:p w14:paraId="344A2A2B" w14:textId="77777777" w:rsidR="00373641" w:rsidRPr="001B71EA" w:rsidRDefault="00373641" w:rsidP="00D45FC3">
            <w:pPr>
              <w:spacing w:before="40" w:after="40" w:line="259" w:lineRule="auto"/>
              <w:rPr>
                <w:bCs/>
              </w:rPr>
            </w:pPr>
            <w:r w:rsidRPr="00AF14D1">
              <w:rPr>
                <w:rFonts w:eastAsia="Calibri" w:cs="Calibri"/>
                <w:color w:val="000000" w:themeColor="text1"/>
              </w:rPr>
              <w:t xml:space="preserve">Māori </w:t>
            </w:r>
            <w:r>
              <w:rPr>
                <w:rFonts w:eastAsia="Calibri" w:cs="Calibri"/>
                <w:color w:val="000000" w:themeColor="text1"/>
              </w:rPr>
              <w:t xml:space="preserve">experience of care </w:t>
            </w:r>
          </w:p>
        </w:tc>
      </w:tr>
      <w:tr w:rsidR="00373641" w14:paraId="23A9BE04" w14:textId="77777777" w:rsidTr="00373641">
        <w:tc>
          <w:tcPr>
            <w:tcW w:w="8815" w:type="dxa"/>
            <w:shd w:val="clear" w:color="auto" w:fill="auto"/>
          </w:tcPr>
          <w:p w14:paraId="31D6CC11" w14:textId="77777777" w:rsidR="00373641" w:rsidRPr="00AF14D1" w:rsidRDefault="00373641" w:rsidP="00D45FC3">
            <w:pPr>
              <w:spacing w:before="40" w:after="40" w:line="259" w:lineRule="auto"/>
              <w:rPr>
                <w:rFonts w:eastAsia="Calibri" w:cs="Calibri"/>
                <w:color w:val="000000" w:themeColor="text1"/>
              </w:rPr>
            </w:pPr>
            <w:r>
              <w:rPr>
                <w:bCs/>
              </w:rPr>
              <w:t>Comment: The Maori investigation now has its overall investigation scope published.  The team is currently planning some public-facing work in February.  The in-house team has been recruited and will be in place by the start of November. A public hearing will likely occur in late 2021.</w:t>
            </w:r>
          </w:p>
        </w:tc>
      </w:tr>
    </w:tbl>
    <w:p w14:paraId="79667301" w14:textId="66DFB084" w:rsidR="00BE67AB" w:rsidRDefault="00BE67AB" w:rsidP="00D45FC3">
      <w:pPr>
        <w:keepLines w:val="0"/>
        <w:spacing w:before="40" w:after="40"/>
        <w:rPr>
          <w:rFonts w:eastAsia="Calibri" w:cs="Calibri"/>
        </w:rPr>
      </w:pPr>
    </w:p>
    <w:tbl>
      <w:tblPr>
        <w:tblStyle w:val="DIATable"/>
        <w:tblW w:w="8815" w:type="dxa"/>
        <w:tblInd w:w="101" w:type="dxa"/>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8815"/>
      </w:tblGrid>
      <w:tr w:rsidR="00373641" w14:paraId="01F2A2B7" w14:textId="77777777" w:rsidTr="00373641">
        <w:trPr>
          <w:cnfStyle w:val="100000000000" w:firstRow="1" w:lastRow="0" w:firstColumn="0" w:lastColumn="0" w:oddVBand="0" w:evenVBand="0" w:oddHBand="0" w:evenHBand="0" w:firstRowFirstColumn="0" w:firstRowLastColumn="0" w:lastRowFirstColumn="0" w:lastRowLastColumn="0"/>
        </w:trPr>
        <w:tc>
          <w:tcPr>
            <w:tcW w:w="8815" w:type="dxa"/>
            <w:shd w:val="clear" w:color="auto" w:fill="92D050"/>
          </w:tcPr>
          <w:p w14:paraId="7C4F20D4" w14:textId="5BABE946" w:rsidR="00373641" w:rsidRPr="001045F5" w:rsidRDefault="00373641" w:rsidP="00D45FC3">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p>
        </w:tc>
      </w:tr>
      <w:tr w:rsidR="00373641" w14:paraId="4025D96E" w14:textId="77777777" w:rsidTr="00373641">
        <w:tc>
          <w:tcPr>
            <w:tcW w:w="8815" w:type="dxa"/>
            <w:shd w:val="clear" w:color="auto" w:fill="auto"/>
          </w:tcPr>
          <w:p w14:paraId="545902E0" w14:textId="77777777" w:rsidR="00373641" w:rsidRPr="001B71EA" w:rsidRDefault="00373641" w:rsidP="00D45FC3">
            <w:pPr>
              <w:spacing w:before="40" w:after="40" w:line="259" w:lineRule="auto"/>
              <w:rPr>
                <w:bCs/>
              </w:rPr>
            </w:pPr>
            <w:r w:rsidRPr="00AF14D1">
              <w:rPr>
                <w:rFonts w:eastAsia="Calibri" w:cs="Calibri"/>
                <w:color w:val="000000" w:themeColor="text1"/>
              </w:rPr>
              <w:t xml:space="preserve">Pacific </w:t>
            </w:r>
            <w:r>
              <w:rPr>
                <w:rFonts w:eastAsia="Calibri" w:cs="Calibri"/>
                <w:color w:val="000000" w:themeColor="text1"/>
              </w:rPr>
              <w:t>People’s experience of care</w:t>
            </w:r>
          </w:p>
        </w:tc>
      </w:tr>
      <w:tr w:rsidR="00373641" w14:paraId="72B2D377" w14:textId="77777777" w:rsidTr="00373641">
        <w:tc>
          <w:tcPr>
            <w:tcW w:w="8815" w:type="dxa"/>
            <w:shd w:val="clear" w:color="auto" w:fill="auto"/>
          </w:tcPr>
          <w:p w14:paraId="071324E2" w14:textId="77777777" w:rsidR="00373641" w:rsidRPr="00AF14D1" w:rsidRDefault="00373641" w:rsidP="00D45FC3">
            <w:pPr>
              <w:spacing w:before="40" w:after="40" w:line="259" w:lineRule="auto"/>
              <w:rPr>
                <w:rFonts w:eastAsia="Calibri" w:cs="Calibri"/>
                <w:color w:val="000000" w:themeColor="text1"/>
              </w:rPr>
            </w:pPr>
            <w:r>
              <w:rPr>
                <w:bCs/>
              </w:rPr>
              <w:t>Comment: The Pacific People’s investigation scope is in its final stages of draft; the team is currently working with the Community Engagement team to establish relationships with the survivor networks.  The in-house team will be properly resourced in November.</w:t>
            </w:r>
          </w:p>
        </w:tc>
      </w:tr>
    </w:tbl>
    <w:p w14:paraId="51677996" w14:textId="66C20941" w:rsidR="00BE67AB" w:rsidRDefault="00F86306" w:rsidP="00D45FC3">
      <w:pPr>
        <w:spacing w:before="40" w:after="40"/>
        <w:rPr>
          <w:rFonts w:eastAsia="Calibri" w:cs="Calibri"/>
        </w:rPr>
      </w:pPr>
      <w:r>
        <w:rPr>
          <w:rFonts w:eastAsia="Calibri" w:cs="Calibri"/>
        </w:rPr>
        <w:br/>
      </w:r>
    </w:p>
    <w:p w14:paraId="3CE9F45B" w14:textId="77777777" w:rsidR="00F86306" w:rsidRDefault="00F86306" w:rsidP="00D45FC3">
      <w:pPr>
        <w:spacing w:before="40" w:after="40"/>
        <w:rPr>
          <w:rFonts w:eastAsia="Calibri" w:cs="Calibri"/>
        </w:rPr>
      </w:pPr>
    </w:p>
    <w:tbl>
      <w:tblPr>
        <w:tblStyle w:val="DIATable"/>
        <w:tblW w:w="0" w:type="auto"/>
        <w:tblInd w:w="101" w:type="dxa"/>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8815"/>
      </w:tblGrid>
      <w:tr w:rsidR="00373641" w14:paraId="7AD8E3F3" w14:textId="77777777" w:rsidTr="00373641">
        <w:trPr>
          <w:cnfStyle w:val="100000000000" w:firstRow="1" w:lastRow="0" w:firstColumn="0" w:lastColumn="0" w:oddVBand="0" w:evenVBand="0" w:oddHBand="0" w:evenHBand="0" w:firstRowFirstColumn="0" w:firstRowLastColumn="0" w:lastRowFirstColumn="0" w:lastRowLastColumn="0"/>
        </w:trPr>
        <w:tc>
          <w:tcPr>
            <w:tcW w:w="8815" w:type="dxa"/>
            <w:shd w:val="clear" w:color="auto" w:fill="92D050"/>
          </w:tcPr>
          <w:p w14:paraId="09B044FD" w14:textId="4E8886BC" w:rsidR="00373641" w:rsidRPr="001045F5" w:rsidRDefault="00373641" w:rsidP="00D45FC3">
            <w:pPr>
              <w:spacing w:before="40" w:after="40" w:line="259" w:lineRule="auto"/>
              <w:rPr>
                <w:color w:val="auto"/>
                <w:highlight w:val="yellow"/>
              </w:rPr>
            </w:pPr>
            <w:r w:rsidRPr="001045F5">
              <w:rPr>
                <w:bCs/>
                <w:color w:val="auto"/>
              </w:rPr>
              <w:lastRenderedPageBreak/>
              <w:t xml:space="preserve">How we will monitor our performance </w:t>
            </w:r>
            <w:r w:rsidRPr="001045F5">
              <w:rPr>
                <w:bCs/>
                <w:color w:val="auto"/>
              </w:rPr>
              <w:tab/>
            </w:r>
            <w:r>
              <w:rPr>
                <w:bCs/>
                <w:color w:val="auto"/>
              </w:rPr>
              <w:t xml:space="preserve">                            </w:t>
            </w:r>
          </w:p>
        </w:tc>
      </w:tr>
      <w:tr w:rsidR="00373641" w14:paraId="28A46C3E" w14:textId="77777777" w:rsidTr="00373641">
        <w:tc>
          <w:tcPr>
            <w:tcW w:w="8815" w:type="dxa"/>
            <w:shd w:val="clear" w:color="auto" w:fill="auto"/>
          </w:tcPr>
          <w:p w14:paraId="6DADE67F" w14:textId="77777777" w:rsidR="00373641" w:rsidRPr="001B71EA" w:rsidRDefault="00373641" w:rsidP="00D45FC3">
            <w:pPr>
              <w:spacing w:before="40" w:after="40" w:line="259" w:lineRule="auto"/>
              <w:rPr>
                <w:bCs/>
              </w:rPr>
            </w:pPr>
            <w:r w:rsidRPr="00AF14D1">
              <w:rPr>
                <w:rFonts w:eastAsia="Calibri" w:cs="Calibri"/>
                <w:color w:val="000000" w:themeColor="text1"/>
              </w:rPr>
              <w:t>Disability</w:t>
            </w:r>
            <w:r>
              <w:rPr>
                <w:rFonts w:eastAsia="Calibri" w:cs="Calibri"/>
                <w:color w:val="000000" w:themeColor="text1"/>
              </w:rPr>
              <w:t xml:space="preserve"> investigations (disability care settings and experiences of disabled people in care)</w:t>
            </w:r>
          </w:p>
        </w:tc>
      </w:tr>
      <w:tr w:rsidR="00373641" w14:paraId="1FC4A4CA" w14:textId="77777777" w:rsidTr="00373641">
        <w:tc>
          <w:tcPr>
            <w:tcW w:w="8815" w:type="dxa"/>
            <w:shd w:val="clear" w:color="auto" w:fill="auto"/>
          </w:tcPr>
          <w:p w14:paraId="46D94922" w14:textId="77777777" w:rsidR="00373641" w:rsidRPr="00AF14D1" w:rsidRDefault="00373641" w:rsidP="00D45FC3">
            <w:pPr>
              <w:spacing w:before="40" w:after="40" w:line="259" w:lineRule="auto"/>
              <w:rPr>
                <w:rFonts w:eastAsia="Calibri" w:cs="Calibri"/>
                <w:color w:val="000000" w:themeColor="text1"/>
              </w:rPr>
            </w:pPr>
            <w:r>
              <w:rPr>
                <w:bCs/>
              </w:rPr>
              <w:t>Comment: The two Disability investigations scope documents are close to being published.  The investigations are still in its preparatory stage but are working with the Community Engagement team to establish relationships with survivor networks.  The in-house team will be properly resourced in November.</w:t>
            </w:r>
          </w:p>
        </w:tc>
      </w:tr>
    </w:tbl>
    <w:p w14:paraId="55F2A68F" w14:textId="77777777" w:rsidR="00BE67AB" w:rsidRDefault="00BE67AB" w:rsidP="00D45FC3">
      <w:pPr>
        <w:spacing w:before="40" w:after="40"/>
        <w:rPr>
          <w:rFonts w:eastAsia="Calibri" w:cs="Calibri"/>
        </w:rPr>
      </w:pPr>
    </w:p>
    <w:tbl>
      <w:tblPr>
        <w:tblStyle w:val="DIATable"/>
        <w:tblW w:w="0" w:type="auto"/>
        <w:tblInd w:w="101" w:type="dxa"/>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8815"/>
      </w:tblGrid>
      <w:tr w:rsidR="00373641" w14:paraId="56895172" w14:textId="77777777" w:rsidTr="00373641">
        <w:trPr>
          <w:cnfStyle w:val="100000000000" w:firstRow="1" w:lastRow="0" w:firstColumn="0" w:lastColumn="0" w:oddVBand="0" w:evenVBand="0" w:oddHBand="0" w:evenHBand="0" w:firstRowFirstColumn="0" w:firstRowLastColumn="0" w:lastRowFirstColumn="0" w:lastRowLastColumn="0"/>
        </w:trPr>
        <w:tc>
          <w:tcPr>
            <w:tcW w:w="8815" w:type="dxa"/>
            <w:shd w:val="clear" w:color="auto" w:fill="92D050"/>
          </w:tcPr>
          <w:p w14:paraId="58EC993C" w14:textId="47D7BD98" w:rsidR="00373641" w:rsidRPr="001045F5" w:rsidRDefault="00373641" w:rsidP="00D45FC3">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373641" w14:paraId="7C512FF2" w14:textId="77777777" w:rsidTr="00373641">
        <w:tc>
          <w:tcPr>
            <w:tcW w:w="8815" w:type="dxa"/>
            <w:shd w:val="clear" w:color="auto" w:fill="auto"/>
          </w:tcPr>
          <w:p w14:paraId="6D0661DF" w14:textId="77777777" w:rsidR="00373641" w:rsidRPr="001B71EA" w:rsidRDefault="00373641" w:rsidP="00D45FC3">
            <w:pPr>
              <w:spacing w:before="40" w:after="40" w:line="259" w:lineRule="auto"/>
              <w:rPr>
                <w:bCs/>
              </w:rPr>
            </w:pPr>
            <w:r w:rsidRPr="00AF14D1">
              <w:rPr>
                <w:rFonts w:eastAsia="Calibri" w:cs="Calibri"/>
                <w:color w:val="000000" w:themeColor="text1"/>
              </w:rPr>
              <w:t>Psychiatric</w:t>
            </w:r>
            <w:r>
              <w:rPr>
                <w:rFonts w:eastAsia="Calibri" w:cs="Calibri"/>
                <w:color w:val="000000" w:themeColor="text1"/>
              </w:rPr>
              <w:t xml:space="preserve"> care investigation</w:t>
            </w:r>
          </w:p>
        </w:tc>
      </w:tr>
      <w:tr w:rsidR="00373641" w14:paraId="4BE3DD6B" w14:textId="77777777" w:rsidTr="00373641">
        <w:trPr>
          <w:trHeight w:val="785"/>
        </w:trPr>
        <w:tc>
          <w:tcPr>
            <w:tcW w:w="8815" w:type="dxa"/>
            <w:shd w:val="clear" w:color="auto" w:fill="auto"/>
          </w:tcPr>
          <w:p w14:paraId="51A94954" w14:textId="77777777" w:rsidR="00373641" w:rsidRPr="00AF14D1" w:rsidRDefault="00373641" w:rsidP="00D45FC3">
            <w:pPr>
              <w:spacing w:before="40" w:after="40" w:line="259" w:lineRule="auto"/>
              <w:rPr>
                <w:rFonts w:eastAsia="Calibri" w:cs="Calibri"/>
                <w:color w:val="000000" w:themeColor="text1"/>
              </w:rPr>
            </w:pPr>
            <w:r>
              <w:rPr>
                <w:rFonts w:eastAsia="Calibri" w:cs="Calibri"/>
                <w:color w:val="000000" w:themeColor="text1"/>
              </w:rPr>
              <w:t xml:space="preserve">Comment: </w:t>
            </w:r>
            <w:r>
              <w:rPr>
                <w:bCs/>
              </w:rPr>
              <w:t>The Psychiatric investigation has published its investigation scope, and a case study scope on Lake Alice Child and Adolescent Unit. Preparation and evidence gathering is well advanced and the Lake Alice public hearing will proceed in June 2021.</w:t>
            </w:r>
          </w:p>
        </w:tc>
      </w:tr>
    </w:tbl>
    <w:p w14:paraId="7FB223C4" w14:textId="77777777" w:rsidR="00BE67AB" w:rsidRDefault="00BE67AB" w:rsidP="00D45FC3">
      <w:pPr>
        <w:spacing w:before="40" w:after="40"/>
        <w:rPr>
          <w:rFonts w:eastAsia="Calibri" w:cs="Calibri"/>
        </w:rPr>
      </w:pPr>
    </w:p>
    <w:tbl>
      <w:tblPr>
        <w:tblStyle w:val="DIATable"/>
        <w:tblW w:w="0" w:type="auto"/>
        <w:tblInd w:w="101" w:type="dxa"/>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8815"/>
      </w:tblGrid>
      <w:tr w:rsidR="00373641" w14:paraId="383710BD" w14:textId="77777777" w:rsidTr="00373641">
        <w:trPr>
          <w:cnfStyle w:val="100000000000" w:firstRow="1" w:lastRow="0" w:firstColumn="0" w:lastColumn="0" w:oddVBand="0" w:evenVBand="0" w:oddHBand="0" w:evenHBand="0" w:firstRowFirstColumn="0" w:firstRowLastColumn="0" w:lastRowFirstColumn="0" w:lastRowLastColumn="0"/>
        </w:trPr>
        <w:tc>
          <w:tcPr>
            <w:tcW w:w="8815" w:type="dxa"/>
            <w:shd w:val="clear" w:color="auto" w:fill="92D050"/>
          </w:tcPr>
          <w:p w14:paraId="7013047F" w14:textId="774A67F7" w:rsidR="00373641" w:rsidRPr="001045F5" w:rsidRDefault="00373641" w:rsidP="00D45FC3">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p>
        </w:tc>
      </w:tr>
      <w:tr w:rsidR="00373641" w14:paraId="422E2ADB" w14:textId="77777777" w:rsidTr="00373641">
        <w:tc>
          <w:tcPr>
            <w:tcW w:w="8815" w:type="dxa"/>
            <w:shd w:val="clear" w:color="auto" w:fill="auto"/>
          </w:tcPr>
          <w:p w14:paraId="3389EB0B" w14:textId="77777777" w:rsidR="00373641" w:rsidRPr="001B71EA" w:rsidRDefault="00373641" w:rsidP="00D45FC3">
            <w:pPr>
              <w:spacing w:before="40" w:after="40" w:line="259" w:lineRule="auto"/>
              <w:rPr>
                <w:bCs/>
              </w:rPr>
            </w:pPr>
            <w:r>
              <w:rPr>
                <w:rFonts w:eastAsia="Calibri" w:cs="Calibri"/>
                <w:color w:val="000000" w:themeColor="text1"/>
              </w:rPr>
              <w:t xml:space="preserve">State children’s residential Care investigation </w:t>
            </w:r>
          </w:p>
        </w:tc>
      </w:tr>
      <w:tr w:rsidR="00373641" w14:paraId="7A11CCC1" w14:textId="77777777" w:rsidTr="00373641">
        <w:tc>
          <w:tcPr>
            <w:tcW w:w="8815" w:type="dxa"/>
            <w:shd w:val="clear" w:color="auto" w:fill="auto"/>
          </w:tcPr>
          <w:p w14:paraId="002EEE3A" w14:textId="77777777" w:rsidR="00373641" w:rsidRDefault="00373641" w:rsidP="00D45FC3">
            <w:pPr>
              <w:spacing w:before="40" w:after="40" w:line="259" w:lineRule="auto"/>
              <w:rPr>
                <w:rFonts w:eastAsia="Calibri" w:cs="Calibri"/>
                <w:color w:val="000000" w:themeColor="text1"/>
              </w:rPr>
            </w:pPr>
            <w:r>
              <w:rPr>
                <w:rFonts w:eastAsia="Calibri" w:cs="Calibri"/>
                <w:color w:val="000000" w:themeColor="text1"/>
                <w:szCs w:val="22"/>
              </w:rPr>
              <w:t xml:space="preserve">Comment: </w:t>
            </w:r>
            <w:r w:rsidRPr="00E962D2">
              <w:rPr>
                <w:rFonts w:eastAsia="Calibri" w:cs="Calibri"/>
                <w:color w:val="000000" w:themeColor="text1"/>
                <w:szCs w:val="22"/>
              </w:rPr>
              <w:t xml:space="preserve">The </w:t>
            </w:r>
            <w:r>
              <w:rPr>
                <w:rFonts w:eastAsia="Calibri" w:cs="Calibri"/>
                <w:color w:val="000000" w:themeColor="text1"/>
                <w:szCs w:val="22"/>
              </w:rPr>
              <w:t>Children’s R</w:t>
            </w:r>
            <w:r w:rsidRPr="00E962D2">
              <w:rPr>
                <w:rFonts w:eastAsia="Calibri" w:cs="Calibri"/>
                <w:color w:val="000000" w:themeColor="text1"/>
                <w:szCs w:val="22"/>
              </w:rPr>
              <w:t xml:space="preserve">esidential </w:t>
            </w:r>
            <w:r>
              <w:rPr>
                <w:rFonts w:eastAsia="Calibri" w:cs="Calibri"/>
                <w:color w:val="000000" w:themeColor="text1"/>
                <w:szCs w:val="22"/>
              </w:rPr>
              <w:t>Care investigation</w:t>
            </w:r>
            <w:r w:rsidRPr="00E962D2">
              <w:rPr>
                <w:rFonts w:eastAsia="Calibri" w:cs="Calibri"/>
                <w:color w:val="000000" w:themeColor="text1"/>
                <w:szCs w:val="22"/>
              </w:rPr>
              <w:t xml:space="preserve"> </w:t>
            </w:r>
            <w:r>
              <w:rPr>
                <w:rFonts w:eastAsia="Calibri" w:cs="Calibri"/>
                <w:color w:val="000000" w:themeColor="text1"/>
                <w:szCs w:val="22"/>
              </w:rPr>
              <w:t xml:space="preserve">is about to publish its investigation scope. The investigation is </w:t>
            </w:r>
            <w:r w:rsidRPr="00E962D2">
              <w:rPr>
                <w:rFonts w:eastAsia="Calibri" w:cs="Calibri"/>
                <w:color w:val="000000" w:themeColor="text1"/>
                <w:szCs w:val="22"/>
              </w:rPr>
              <w:t>about to receive a large tranche of evidence from the Crown</w:t>
            </w:r>
            <w:r>
              <w:rPr>
                <w:rFonts w:eastAsia="Calibri" w:cs="Calibri"/>
                <w:color w:val="000000" w:themeColor="text1"/>
                <w:szCs w:val="22"/>
              </w:rPr>
              <w:t xml:space="preserve"> and the team are preparing for a hearing in April 2021 including taking witness statements</w:t>
            </w:r>
            <w:r w:rsidRPr="00E962D2">
              <w:rPr>
                <w:rFonts w:eastAsia="Calibri" w:cs="Calibri"/>
                <w:color w:val="000000" w:themeColor="text1"/>
                <w:szCs w:val="22"/>
              </w:rPr>
              <w:t xml:space="preserve">.  </w:t>
            </w:r>
          </w:p>
        </w:tc>
      </w:tr>
    </w:tbl>
    <w:p w14:paraId="6D3D69A7" w14:textId="61D8459D" w:rsidR="00BE67AB" w:rsidRDefault="00BE67AB" w:rsidP="00D45FC3">
      <w:pPr>
        <w:spacing w:before="40" w:after="40"/>
        <w:rPr>
          <w:rFonts w:eastAsia="Calibri" w:cs="Calibri"/>
        </w:rPr>
      </w:pPr>
    </w:p>
    <w:tbl>
      <w:tblPr>
        <w:tblStyle w:val="DIATable"/>
        <w:tblW w:w="0" w:type="auto"/>
        <w:tblInd w:w="101" w:type="dxa"/>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8815"/>
      </w:tblGrid>
      <w:tr w:rsidR="00373641" w14:paraId="20AFE9BB" w14:textId="77777777" w:rsidTr="00373641">
        <w:trPr>
          <w:cnfStyle w:val="100000000000" w:firstRow="1" w:lastRow="0" w:firstColumn="0" w:lastColumn="0" w:oddVBand="0" w:evenVBand="0" w:oddHBand="0" w:evenHBand="0" w:firstRowFirstColumn="0" w:firstRowLastColumn="0" w:lastRowFirstColumn="0" w:lastRowLastColumn="0"/>
        </w:trPr>
        <w:tc>
          <w:tcPr>
            <w:tcW w:w="8815" w:type="dxa"/>
            <w:shd w:val="clear" w:color="auto" w:fill="92D050"/>
          </w:tcPr>
          <w:p w14:paraId="62F95146" w14:textId="6B544BA2" w:rsidR="00373641" w:rsidRPr="001045F5" w:rsidRDefault="00373641" w:rsidP="00D45FC3">
            <w:pPr>
              <w:spacing w:before="40" w:after="40"/>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373641" w14:paraId="3A46F946" w14:textId="77777777" w:rsidTr="00373641">
        <w:tc>
          <w:tcPr>
            <w:tcW w:w="8815" w:type="dxa"/>
            <w:shd w:val="clear" w:color="auto" w:fill="auto"/>
          </w:tcPr>
          <w:p w14:paraId="17A665FB" w14:textId="77777777" w:rsidR="00373641" w:rsidRPr="001B71EA" w:rsidRDefault="00373641" w:rsidP="00D45FC3">
            <w:pPr>
              <w:spacing w:before="40" w:after="40"/>
              <w:rPr>
                <w:bCs/>
              </w:rPr>
            </w:pPr>
            <w:r w:rsidRPr="00AF14D1">
              <w:rPr>
                <w:rFonts w:eastAsia="Calibri" w:cs="Calibri"/>
                <w:color w:val="000000" w:themeColor="text1"/>
              </w:rPr>
              <w:t xml:space="preserve">Catholic </w:t>
            </w:r>
            <w:r>
              <w:rPr>
                <w:rFonts w:eastAsia="Calibri" w:cs="Calibri"/>
                <w:color w:val="000000" w:themeColor="text1"/>
              </w:rPr>
              <w:t xml:space="preserve">Church investigation </w:t>
            </w:r>
          </w:p>
        </w:tc>
      </w:tr>
      <w:tr w:rsidR="00373641" w14:paraId="546CDDC3" w14:textId="77777777" w:rsidTr="00373641">
        <w:tc>
          <w:tcPr>
            <w:tcW w:w="8815" w:type="dxa"/>
            <w:shd w:val="clear" w:color="auto" w:fill="auto"/>
          </w:tcPr>
          <w:p w14:paraId="4FD5C021" w14:textId="77777777" w:rsidR="00373641" w:rsidRPr="00AF14D1" w:rsidRDefault="00373641" w:rsidP="00D45FC3">
            <w:pPr>
              <w:spacing w:before="40" w:after="40"/>
              <w:rPr>
                <w:rFonts w:eastAsia="Calibri" w:cs="Calibri"/>
                <w:color w:val="000000" w:themeColor="text1"/>
              </w:rPr>
            </w:pPr>
            <w:r>
              <w:rPr>
                <w:bCs/>
              </w:rPr>
              <w:t xml:space="preserve">Comment: The Catholic Church investigation has received a substantial amount of evidence that is currently under review.  The team is focused on preparing for the faith-based redress hearings which are being heard in December 2020 and March 2021.  The team is also gathering evidence on the </w:t>
            </w:r>
            <w:proofErr w:type="spellStart"/>
            <w:r>
              <w:rPr>
                <w:bCs/>
              </w:rPr>
              <w:t>Marylands</w:t>
            </w:r>
            <w:proofErr w:type="spellEnd"/>
            <w:r>
              <w:rPr>
                <w:bCs/>
              </w:rPr>
              <w:t xml:space="preserve"> case study which is being heard in Aug 2021.</w:t>
            </w:r>
          </w:p>
        </w:tc>
      </w:tr>
    </w:tbl>
    <w:p w14:paraId="6F846019" w14:textId="77777777" w:rsidR="00BE67AB" w:rsidRDefault="00BE67AB" w:rsidP="00D45FC3">
      <w:pPr>
        <w:spacing w:before="40" w:after="40"/>
        <w:rPr>
          <w:rFonts w:eastAsia="Calibri" w:cs="Calibri"/>
        </w:rPr>
      </w:pPr>
    </w:p>
    <w:tbl>
      <w:tblPr>
        <w:tblStyle w:val="DIATable"/>
        <w:tblW w:w="0" w:type="auto"/>
        <w:tblInd w:w="101" w:type="dxa"/>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8815"/>
      </w:tblGrid>
      <w:tr w:rsidR="00D45FC3" w14:paraId="666651D5" w14:textId="77777777" w:rsidTr="00D45FC3">
        <w:trPr>
          <w:cnfStyle w:val="100000000000" w:firstRow="1" w:lastRow="0" w:firstColumn="0" w:lastColumn="0" w:oddVBand="0" w:evenVBand="0" w:oddHBand="0" w:evenHBand="0" w:firstRowFirstColumn="0" w:firstRowLastColumn="0" w:lastRowFirstColumn="0" w:lastRowLastColumn="0"/>
          <w:trHeight w:val="259"/>
        </w:trPr>
        <w:tc>
          <w:tcPr>
            <w:tcW w:w="8815" w:type="dxa"/>
            <w:shd w:val="clear" w:color="auto" w:fill="92D050"/>
          </w:tcPr>
          <w:p w14:paraId="44678C41" w14:textId="61BC0C1F" w:rsidR="00D45FC3" w:rsidRPr="001045F5" w:rsidRDefault="00D45FC3" w:rsidP="00D45FC3">
            <w:pPr>
              <w:spacing w:before="40" w:after="40"/>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D45FC3" w14:paraId="221F41DE" w14:textId="77777777" w:rsidTr="00D45FC3">
        <w:tc>
          <w:tcPr>
            <w:tcW w:w="8815" w:type="dxa"/>
            <w:tcBorders>
              <w:bottom w:val="single" w:sz="6" w:space="0" w:color="1F546B" w:themeColor="text2"/>
            </w:tcBorders>
            <w:shd w:val="clear" w:color="auto" w:fill="auto"/>
          </w:tcPr>
          <w:p w14:paraId="7E5E3669" w14:textId="77777777" w:rsidR="00D45FC3" w:rsidRPr="001B71EA" w:rsidRDefault="00D45FC3" w:rsidP="00D45FC3">
            <w:pPr>
              <w:spacing w:before="40" w:after="40"/>
              <w:rPr>
                <w:bCs/>
              </w:rPr>
            </w:pPr>
            <w:r w:rsidRPr="00AF14D1">
              <w:rPr>
                <w:rFonts w:eastAsia="Calibri" w:cs="Calibri"/>
                <w:color w:val="000000" w:themeColor="text1"/>
              </w:rPr>
              <w:t xml:space="preserve">Anglican </w:t>
            </w:r>
            <w:r>
              <w:rPr>
                <w:rFonts w:eastAsia="Calibri" w:cs="Calibri"/>
                <w:color w:val="000000" w:themeColor="text1"/>
              </w:rPr>
              <w:t xml:space="preserve">Church investigation </w:t>
            </w:r>
          </w:p>
        </w:tc>
      </w:tr>
      <w:tr w:rsidR="00D45FC3" w14:paraId="4003774E" w14:textId="77777777" w:rsidTr="00D45FC3">
        <w:tc>
          <w:tcPr>
            <w:tcW w:w="8815" w:type="dxa"/>
            <w:shd w:val="clear" w:color="auto" w:fill="auto"/>
          </w:tcPr>
          <w:p w14:paraId="242EA6BC" w14:textId="77777777" w:rsidR="00D45FC3" w:rsidRPr="00AF14D1" w:rsidRDefault="00D45FC3" w:rsidP="00D45FC3">
            <w:pPr>
              <w:spacing w:before="40" w:after="40"/>
              <w:rPr>
                <w:rFonts w:eastAsia="Calibri" w:cs="Calibri"/>
                <w:color w:val="000000" w:themeColor="text1"/>
              </w:rPr>
            </w:pPr>
            <w:r>
              <w:rPr>
                <w:rFonts w:eastAsia="Calibri" w:cs="Calibri"/>
                <w:color w:val="000000" w:themeColor="text1"/>
              </w:rPr>
              <w:t xml:space="preserve">Comment: </w:t>
            </w:r>
            <w:r>
              <w:rPr>
                <w:bCs/>
              </w:rPr>
              <w:t>The Anglican Investigation team has received a substantial amount of evidence that is currently under review. The team is focused on preparing for the faith-based redress hearings which are being held in December 2020 and March 2021.</w:t>
            </w:r>
          </w:p>
        </w:tc>
      </w:tr>
    </w:tbl>
    <w:p w14:paraId="6004C4E0" w14:textId="0CE2C07A" w:rsidR="00D45FC3" w:rsidRDefault="00D45FC3" w:rsidP="00BE67AB">
      <w:pPr>
        <w:pStyle w:val="ListParagraph"/>
        <w:numPr>
          <w:ilvl w:val="0"/>
          <w:numId w:val="0"/>
        </w:numPr>
        <w:spacing w:before="0" w:after="0"/>
        <w:rPr>
          <w:b/>
          <w:bCs/>
          <w:i/>
          <w:color w:val="1F546B" w:themeColor="text2"/>
          <w:szCs w:val="28"/>
        </w:rPr>
      </w:pPr>
    </w:p>
    <w:p w14:paraId="71FED305" w14:textId="77777777" w:rsidR="00D45FC3" w:rsidRDefault="00D45FC3">
      <w:pPr>
        <w:keepLines w:val="0"/>
        <w:rPr>
          <w:b/>
          <w:bCs/>
          <w:i/>
          <w:color w:val="1F546B" w:themeColor="text2"/>
          <w:szCs w:val="28"/>
        </w:rPr>
      </w:pPr>
      <w:r>
        <w:rPr>
          <w:b/>
          <w:bCs/>
          <w:i/>
          <w:color w:val="1F546B" w:themeColor="text2"/>
          <w:szCs w:val="28"/>
        </w:rPr>
        <w:br w:type="page"/>
      </w:r>
    </w:p>
    <w:p w14:paraId="55E101B3" w14:textId="4A217299" w:rsidR="00BE67AB" w:rsidRPr="00D45FC3" w:rsidRDefault="00BE67AB" w:rsidP="00D45FC3">
      <w:pPr>
        <w:keepLines w:val="0"/>
        <w:rPr>
          <w:rFonts w:eastAsia="Calibri" w:cs="Calibri"/>
        </w:rPr>
      </w:pPr>
      <w:r w:rsidRPr="00391B9D">
        <w:rPr>
          <w:b/>
          <w:bCs/>
          <w:i/>
          <w:color w:val="1F546B" w:themeColor="text2"/>
          <w:szCs w:val="28"/>
        </w:rPr>
        <w:lastRenderedPageBreak/>
        <w:t>Research and Policy</w:t>
      </w:r>
      <w:r>
        <w:rPr>
          <w:b/>
          <w:bCs/>
          <w:i/>
          <w:color w:val="1F546B" w:themeColor="text2"/>
          <w:szCs w:val="28"/>
        </w:rPr>
        <w:br/>
      </w:r>
      <w:r>
        <w:br/>
        <w:t>This work is focussed on delivering research products to support the investigations and hearings workstreams. Other discrete research and policy work will sit outside the Investigations and Hearings streams. This work will include research and briefings, round tables, Commissioner information sessions, written reports – both internal and commissioned - and other information needs to support Commissioners.</w:t>
      </w:r>
      <w:r w:rsidRPr="00A0793F">
        <w:rPr>
          <w:rFonts w:eastAsia="Calibri" w:cs="Calibri"/>
        </w:rPr>
        <w:t xml:space="preserve"> </w:t>
      </w:r>
      <w:r>
        <w:rPr>
          <w:rFonts w:eastAsia="Calibri" w:cs="Calibri"/>
        </w:rPr>
        <w:t>Separate reporting against each stream of the policy work programme – core and investigative - will occur progressively as they are established.</w:t>
      </w:r>
    </w:p>
    <w:tbl>
      <w:tblPr>
        <w:tblStyle w:val="DIATable"/>
        <w:tblW w:w="0" w:type="auto"/>
        <w:tblInd w:w="101" w:type="dxa"/>
        <w:tblBorders>
          <w:top w:val="single" w:sz="6" w:space="0" w:color="1F546B" w:themeColor="text2"/>
          <w:left w:val="single" w:sz="6" w:space="0" w:color="1F546B" w:themeColor="text2"/>
          <w:bottom w:val="single" w:sz="6" w:space="0" w:color="1F546B" w:themeColor="text2"/>
          <w:right w:val="single" w:sz="6" w:space="0" w:color="1F546B" w:themeColor="text2"/>
        </w:tblBorders>
        <w:tblLook w:val="04A0" w:firstRow="1" w:lastRow="0" w:firstColumn="1" w:lastColumn="0" w:noHBand="0" w:noVBand="1"/>
      </w:tblPr>
      <w:tblGrid>
        <w:gridCol w:w="8815"/>
      </w:tblGrid>
      <w:tr w:rsidR="00373641" w:rsidRPr="00061335" w14:paraId="598EC38D" w14:textId="77777777" w:rsidTr="00D45FC3">
        <w:trPr>
          <w:cnfStyle w:val="100000000000" w:firstRow="1" w:lastRow="0" w:firstColumn="0" w:lastColumn="0" w:oddVBand="0" w:evenVBand="0" w:oddHBand="0" w:evenHBand="0" w:firstRowFirstColumn="0" w:firstRowLastColumn="0" w:lastRowFirstColumn="0" w:lastRowLastColumn="0"/>
        </w:trPr>
        <w:tc>
          <w:tcPr>
            <w:tcW w:w="8815" w:type="dxa"/>
            <w:shd w:val="clear" w:color="auto" w:fill="92D050"/>
          </w:tcPr>
          <w:p w14:paraId="340B22F8" w14:textId="1751507D" w:rsidR="00373641" w:rsidRPr="00061335" w:rsidRDefault="00373641" w:rsidP="00AC00E3">
            <w:pPr>
              <w:spacing w:line="259" w:lineRule="auto"/>
              <w:rPr>
                <w:rFonts w:asciiTheme="minorHAnsi" w:hAnsiTheme="minorHAnsi" w:cstheme="minorHAnsi"/>
                <w:color w:val="auto"/>
                <w:szCs w:val="22"/>
                <w:highlight w:val="yellow"/>
              </w:rPr>
            </w:pPr>
            <w:bookmarkStart w:id="2" w:name="_Hlk48732572"/>
            <w:r w:rsidRPr="00061335">
              <w:rPr>
                <w:rFonts w:asciiTheme="minorHAnsi" w:hAnsiTheme="minorHAnsi" w:cstheme="minorHAnsi"/>
                <w:bCs/>
                <w:color w:val="auto"/>
                <w:szCs w:val="22"/>
              </w:rPr>
              <w:t xml:space="preserve">How we will monitor our performance </w:t>
            </w:r>
            <w:r w:rsidRPr="00061335">
              <w:rPr>
                <w:rFonts w:asciiTheme="minorHAnsi" w:hAnsiTheme="minorHAnsi" w:cstheme="minorHAnsi"/>
                <w:bCs/>
                <w:color w:val="auto"/>
                <w:szCs w:val="22"/>
              </w:rPr>
              <w:tab/>
              <w:t xml:space="preserve">                  </w:t>
            </w:r>
            <w:r>
              <w:rPr>
                <w:rFonts w:asciiTheme="minorHAnsi" w:hAnsiTheme="minorHAnsi" w:cstheme="minorHAnsi"/>
                <w:bCs/>
                <w:color w:val="auto"/>
                <w:szCs w:val="22"/>
              </w:rPr>
              <w:t xml:space="preserve">         </w:t>
            </w:r>
            <w:r w:rsidRPr="00061335">
              <w:rPr>
                <w:rFonts w:asciiTheme="minorHAnsi" w:hAnsiTheme="minorHAnsi" w:cstheme="minorHAnsi"/>
                <w:bCs/>
                <w:color w:val="auto"/>
                <w:szCs w:val="22"/>
              </w:rPr>
              <w:t xml:space="preserve"> </w:t>
            </w:r>
          </w:p>
        </w:tc>
      </w:tr>
      <w:tr w:rsidR="00373641" w:rsidRPr="00061335" w14:paraId="2B0DFF51" w14:textId="77777777" w:rsidTr="00D45FC3">
        <w:tc>
          <w:tcPr>
            <w:tcW w:w="8815" w:type="dxa"/>
          </w:tcPr>
          <w:p w14:paraId="3D66C7DB" w14:textId="77777777" w:rsidR="00373641" w:rsidRPr="00061335" w:rsidRDefault="00373641" w:rsidP="00AC00E3">
            <w:pPr>
              <w:rPr>
                <w:rFonts w:asciiTheme="minorHAnsi" w:hAnsiTheme="minorHAnsi" w:cstheme="minorHAnsi"/>
                <w:szCs w:val="22"/>
              </w:rPr>
            </w:pPr>
            <w:r w:rsidRPr="00061335">
              <w:rPr>
                <w:rFonts w:asciiTheme="minorHAnsi" w:hAnsiTheme="minorHAnsi" w:cstheme="minorHAnsi"/>
                <w:szCs w:val="22"/>
              </w:rPr>
              <w:t>Comments:</w:t>
            </w:r>
            <w:r>
              <w:rPr>
                <w:rFonts w:asciiTheme="minorHAnsi" w:hAnsiTheme="minorHAnsi" w:cstheme="minorHAnsi"/>
                <w:szCs w:val="22"/>
              </w:rPr>
              <w:t xml:space="preserve"> The Research and Policy Steering Committee has met twice in the last quarter. The Steering Committee will oversee a comprehensive work programme for the Research and Policy initiatives.  The work programme has been approved by the Steering Committee and research briefs are now underway to support investigations and core work programmes.  Some initiatives are still being resourced.  Budget to complete all work this financial year will be very tight and work prioritisation will be necessary.</w:t>
            </w:r>
          </w:p>
        </w:tc>
      </w:tr>
    </w:tbl>
    <w:bookmarkEnd w:id="2"/>
    <w:p w14:paraId="53088956" w14:textId="77777777" w:rsidR="00BE67AB" w:rsidRPr="00AF14D1" w:rsidRDefault="00BE67AB" w:rsidP="00BE67AB">
      <w:pPr>
        <w:keepLines w:val="0"/>
        <w:rPr>
          <w:b/>
          <w:bCs/>
          <w:i/>
          <w:color w:val="1F546B" w:themeColor="text2"/>
          <w:szCs w:val="28"/>
        </w:rPr>
      </w:pPr>
      <w:r>
        <w:rPr>
          <w:b/>
          <w:bCs/>
          <w:i/>
          <w:color w:val="1F546B" w:themeColor="text2"/>
          <w:szCs w:val="28"/>
        </w:rPr>
        <w:br/>
      </w:r>
      <w:r w:rsidRPr="00AF14D1">
        <w:rPr>
          <w:b/>
          <w:bCs/>
          <w:i/>
          <w:color w:val="1F546B" w:themeColor="text2"/>
          <w:szCs w:val="28"/>
        </w:rPr>
        <w:t>Survivor Accounts</w:t>
      </w:r>
    </w:p>
    <w:p w14:paraId="098989F4" w14:textId="77777777" w:rsidR="00BE67AB" w:rsidRPr="00522E85" w:rsidRDefault="00BE67AB" w:rsidP="00BE67AB">
      <w:r w:rsidRPr="00522E85">
        <w:t xml:space="preserve">We anticipate that 2000 survivors will be registered with the Inquiry in the 2020/21 financial year. </w:t>
      </w:r>
      <w:r>
        <w:t>We anticipate increased interest and awareness will develop resulting from Public Hearings, community, treaty engagements and hui, promotional communication strategies and word of mouth.</w:t>
      </w:r>
    </w:p>
    <w:p w14:paraId="7C7E03B8" w14:textId="350FE949" w:rsidR="00BE67AB" w:rsidRPr="00522E85" w:rsidRDefault="00BE67AB" w:rsidP="00BE67AB">
      <w:r>
        <w:t>Private se</w:t>
      </w:r>
      <w:r w:rsidRPr="00522E85">
        <w:t>ssions with survivors to hear their experiences include written, face-to-face, technology (zoom) and group/marae-based sessions. It excludes witness statements collected for investigations.</w:t>
      </w:r>
    </w:p>
    <w:tbl>
      <w:tblPr>
        <w:tblStyle w:val="TableGrid"/>
        <w:tblW w:w="8926" w:type="dxa"/>
        <w:tblLook w:val="04A0" w:firstRow="1" w:lastRow="0" w:firstColumn="1" w:lastColumn="0" w:noHBand="0" w:noVBand="1"/>
      </w:tblPr>
      <w:tblGrid>
        <w:gridCol w:w="4531"/>
        <w:gridCol w:w="1701"/>
        <w:gridCol w:w="1418"/>
        <w:gridCol w:w="1276"/>
      </w:tblGrid>
      <w:tr w:rsidR="00BE67AB" w14:paraId="26F64863" w14:textId="77777777" w:rsidTr="00D45FC3">
        <w:tc>
          <w:tcPr>
            <w:tcW w:w="4531" w:type="dxa"/>
            <w:shd w:val="clear" w:color="auto" w:fill="92CC63" w:themeFill="accent4" w:themeFillTint="99"/>
          </w:tcPr>
          <w:p w14:paraId="09619EE3" w14:textId="77777777" w:rsidR="00BE67AB" w:rsidRPr="00061335" w:rsidRDefault="00BE67AB" w:rsidP="00AC00E3">
            <w:pPr>
              <w:keepNext/>
              <w:spacing w:before="60" w:after="32" w:line="259" w:lineRule="auto"/>
              <w:rPr>
                <w:bCs/>
                <w:sz w:val="22"/>
                <w:szCs w:val="22"/>
              </w:rPr>
            </w:pPr>
            <w:bookmarkStart w:id="3" w:name="_Hlk55375203"/>
            <w:r w:rsidRPr="00061335">
              <w:rPr>
                <w:b/>
                <w:bCs/>
                <w:sz w:val="22"/>
                <w:szCs w:val="22"/>
              </w:rPr>
              <w:t xml:space="preserve">How we will monitor our performance </w:t>
            </w:r>
            <w:r w:rsidRPr="00061335">
              <w:rPr>
                <w:b/>
                <w:bCs/>
                <w:sz w:val="22"/>
                <w:szCs w:val="22"/>
              </w:rPr>
              <w:tab/>
            </w:r>
          </w:p>
        </w:tc>
        <w:tc>
          <w:tcPr>
            <w:tcW w:w="1701" w:type="dxa"/>
            <w:shd w:val="clear" w:color="auto" w:fill="92CC63" w:themeFill="accent4" w:themeFillTint="99"/>
          </w:tcPr>
          <w:p w14:paraId="01191374" w14:textId="77777777" w:rsidR="00BE67AB" w:rsidRPr="00061335" w:rsidRDefault="00BE67AB" w:rsidP="00AC00E3">
            <w:pPr>
              <w:keepNext/>
              <w:spacing w:before="60" w:after="32" w:line="259" w:lineRule="auto"/>
              <w:rPr>
                <w:bCs/>
                <w:sz w:val="22"/>
                <w:szCs w:val="22"/>
              </w:rPr>
            </w:pPr>
            <w:r w:rsidRPr="00061335">
              <w:rPr>
                <w:b/>
                <w:bCs/>
                <w:sz w:val="22"/>
                <w:szCs w:val="22"/>
              </w:rPr>
              <w:t>Target 20/21</w:t>
            </w:r>
          </w:p>
        </w:tc>
        <w:tc>
          <w:tcPr>
            <w:tcW w:w="1418" w:type="dxa"/>
            <w:shd w:val="clear" w:color="auto" w:fill="92CC63" w:themeFill="accent4" w:themeFillTint="99"/>
          </w:tcPr>
          <w:p w14:paraId="3A0C0A54" w14:textId="77777777" w:rsidR="00BE67AB" w:rsidRPr="00061335" w:rsidRDefault="00BE67AB" w:rsidP="00AC00E3">
            <w:pPr>
              <w:keepNext/>
              <w:spacing w:before="60" w:after="32" w:line="259" w:lineRule="auto"/>
              <w:rPr>
                <w:bCs/>
                <w:sz w:val="22"/>
                <w:szCs w:val="22"/>
              </w:rPr>
            </w:pPr>
            <w:r>
              <w:rPr>
                <w:b/>
                <w:bCs/>
                <w:sz w:val="22"/>
                <w:szCs w:val="22"/>
              </w:rPr>
              <w:t>Quarter end 30/09/2020</w:t>
            </w:r>
          </w:p>
        </w:tc>
        <w:tc>
          <w:tcPr>
            <w:tcW w:w="1276" w:type="dxa"/>
            <w:shd w:val="clear" w:color="auto" w:fill="92CC63" w:themeFill="accent4" w:themeFillTint="99"/>
          </w:tcPr>
          <w:p w14:paraId="7AF51367" w14:textId="77777777" w:rsidR="00BE67AB" w:rsidRPr="00061335" w:rsidRDefault="00BE67AB" w:rsidP="00AC00E3">
            <w:pPr>
              <w:keepNext/>
              <w:spacing w:before="60" w:after="32" w:line="259" w:lineRule="auto"/>
              <w:jc w:val="center"/>
              <w:rPr>
                <w:bCs/>
                <w:sz w:val="22"/>
                <w:szCs w:val="22"/>
              </w:rPr>
            </w:pPr>
            <w:r>
              <w:rPr>
                <w:b/>
                <w:bCs/>
                <w:sz w:val="22"/>
                <w:szCs w:val="22"/>
              </w:rPr>
              <w:t>Previous quarter</w:t>
            </w:r>
          </w:p>
        </w:tc>
      </w:tr>
      <w:tr w:rsidR="00BE67AB" w14:paraId="60D41959" w14:textId="77777777" w:rsidTr="00D45FC3">
        <w:tc>
          <w:tcPr>
            <w:tcW w:w="4531" w:type="dxa"/>
          </w:tcPr>
          <w:p w14:paraId="5143BC14" w14:textId="77777777" w:rsidR="00BE67AB" w:rsidRPr="00061335" w:rsidRDefault="00BE67AB" w:rsidP="00AC00E3">
            <w:pPr>
              <w:keepNext/>
              <w:spacing w:before="60" w:after="32" w:line="259" w:lineRule="auto"/>
              <w:rPr>
                <w:bCs/>
                <w:sz w:val="22"/>
                <w:szCs w:val="22"/>
              </w:rPr>
            </w:pPr>
            <w:r w:rsidRPr="00061335">
              <w:rPr>
                <w:bCs/>
                <w:sz w:val="22"/>
                <w:szCs w:val="22"/>
              </w:rPr>
              <w:t>Total Survivor registrations</w:t>
            </w:r>
          </w:p>
        </w:tc>
        <w:tc>
          <w:tcPr>
            <w:tcW w:w="1701" w:type="dxa"/>
          </w:tcPr>
          <w:p w14:paraId="2E933B5C" w14:textId="77777777" w:rsidR="00BE67AB" w:rsidRPr="001B71EA" w:rsidRDefault="00BE67AB" w:rsidP="00AC00E3">
            <w:pPr>
              <w:keepNext/>
              <w:spacing w:before="60" w:after="32" w:line="259" w:lineRule="auto"/>
              <w:jc w:val="center"/>
              <w:rPr>
                <w:bCs/>
                <w:sz w:val="22"/>
                <w:szCs w:val="22"/>
                <w:highlight w:val="yellow"/>
              </w:rPr>
            </w:pPr>
            <w:r w:rsidRPr="001A6441">
              <w:rPr>
                <w:bCs/>
                <w:sz w:val="22"/>
                <w:szCs w:val="22"/>
              </w:rPr>
              <w:t>2000</w:t>
            </w:r>
          </w:p>
        </w:tc>
        <w:tc>
          <w:tcPr>
            <w:tcW w:w="1418" w:type="dxa"/>
          </w:tcPr>
          <w:p w14:paraId="61590812" w14:textId="77777777" w:rsidR="00BE67AB" w:rsidRPr="00B93DB4" w:rsidRDefault="00BE67AB" w:rsidP="00AC00E3">
            <w:pPr>
              <w:keepNext/>
              <w:spacing w:before="60" w:after="32" w:line="259" w:lineRule="auto"/>
              <w:jc w:val="center"/>
              <w:rPr>
                <w:bCs/>
                <w:sz w:val="22"/>
                <w:szCs w:val="22"/>
              </w:rPr>
            </w:pPr>
            <w:r>
              <w:rPr>
                <w:bCs/>
                <w:sz w:val="22"/>
                <w:szCs w:val="22"/>
              </w:rPr>
              <w:t>200</w:t>
            </w:r>
          </w:p>
        </w:tc>
        <w:tc>
          <w:tcPr>
            <w:tcW w:w="1276" w:type="dxa"/>
          </w:tcPr>
          <w:p w14:paraId="2F97779A" w14:textId="77777777" w:rsidR="00BE67AB" w:rsidRPr="002D7B49" w:rsidRDefault="00BE67AB" w:rsidP="00AC00E3">
            <w:pPr>
              <w:keepNext/>
              <w:spacing w:before="60" w:after="32" w:line="259" w:lineRule="auto"/>
              <w:jc w:val="center"/>
              <w:rPr>
                <w:bCs/>
                <w:sz w:val="22"/>
                <w:szCs w:val="22"/>
              </w:rPr>
            </w:pPr>
            <w:r>
              <w:rPr>
                <w:bCs/>
                <w:sz w:val="22"/>
                <w:szCs w:val="22"/>
              </w:rPr>
              <w:t>N/A</w:t>
            </w:r>
          </w:p>
        </w:tc>
      </w:tr>
      <w:tr w:rsidR="00BE67AB" w14:paraId="4F0D7C5C" w14:textId="77777777" w:rsidTr="00D45FC3">
        <w:tc>
          <w:tcPr>
            <w:tcW w:w="4531" w:type="dxa"/>
          </w:tcPr>
          <w:p w14:paraId="43DD5355" w14:textId="77777777" w:rsidR="00BE67AB" w:rsidRPr="00061335" w:rsidRDefault="00BE67AB" w:rsidP="00AC00E3">
            <w:pPr>
              <w:keepNext/>
              <w:spacing w:before="60" w:after="32" w:line="259" w:lineRule="auto"/>
              <w:rPr>
                <w:bCs/>
                <w:sz w:val="22"/>
                <w:szCs w:val="22"/>
              </w:rPr>
            </w:pPr>
            <w:r w:rsidRPr="00061335">
              <w:rPr>
                <w:bCs/>
                <w:sz w:val="22"/>
                <w:szCs w:val="22"/>
              </w:rPr>
              <w:t>Private sessions conducted</w:t>
            </w:r>
            <w:r>
              <w:rPr>
                <w:bCs/>
                <w:sz w:val="22"/>
                <w:szCs w:val="22"/>
              </w:rPr>
              <w:t>, including Written Accounts and Zoom sessions</w:t>
            </w:r>
            <w:r w:rsidRPr="00061335">
              <w:rPr>
                <w:bCs/>
                <w:sz w:val="22"/>
                <w:szCs w:val="22"/>
              </w:rPr>
              <w:t xml:space="preserve">                                                       </w:t>
            </w:r>
          </w:p>
        </w:tc>
        <w:tc>
          <w:tcPr>
            <w:tcW w:w="1701" w:type="dxa"/>
          </w:tcPr>
          <w:p w14:paraId="1CD2C237" w14:textId="77777777" w:rsidR="00BE67AB" w:rsidRPr="001B71EA" w:rsidRDefault="00BE67AB" w:rsidP="00AC00E3">
            <w:pPr>
              <w:keepNext/>
              <w:spacing w:before="60" w:after="32" w:line="259" w:lineRule="auto"/>
              <w:jc w:val="center"/>
              <w:rPr>
                <w:bCs/>
                <w:sz w:val="22"/>
                <w:szCs w:val="22"/>
                <w:highlight w:val="yellow"/>
              </w:rPr>
            </w:pPr>
            <w:r w:rsidRPr="002D7B49">
              <w:rPr>
                <w:bCs/>
                <w:sz w:val="22"/>
                <w:szCs w:val="22"/>
              </w:rPr>
              <w:t>320</w:t>
            </w:r>
          </w:p>
        </w:tc>
        <w:tc>
          <w:tcPr>
            <w:tcW w:w="1418" w:type="dxa"/>
          </w:tcPr>
          <w:p w14:paraId="5C7185C1" w14:textId="77777777" w:rsidR="00BE67AB" w:rsidRPr="00061335" w:rsidRDefault="00BE67AB" w:rsidP="00AC00E3">
            <w:pPr>
              <w:keepNext/>
              <w:spacing w:before="60" w:after="32" w:line="259" w:lineRule="auto"/>
              <w:jc w:val="center"/>
              <w:rPr>
                <w:bCs/>
                <w:sz w:val="22"/>
                <w:szCs w:val="22"/>
              </w:rPr>
            </w:pPr>
            <w:r>
              <w:rPr>
                <w:bCs/>
                <w:sz w:val="22"/>
                <w:szCs w:val="22"/>
              </w:rPr>
              <w:t>127</w:t>
            </w:r>
          </w:p>
        </w:tc>
        <w:tc>
          <w:tcPr>
            <w:tcW w:w="1276" w:type="dxa"/>
          </w:tcPr>
          <w:p w14:paraId="0A252BC9" w14:textId="77777777" w:rsidR="00BE67AB" w:rsidRPr="002D7B49" w:rsidRDefault="00BE67AB" w:rsidP="00AC00E3">
            <w:pPr>
              <w:keepNext/>
              <w:spacing w:before="60" w:after="32" w:line="259" w:lineRule="auto"/>
              <w:jc w:val="center"/>
              <w:rPr>
                <w:bCs/>
                <w:sz w:val="22"/>
                <w:szCs w:val="22"/>
              </w:rPr>
            </w:pPr>
            <w:r>
              <w:rPr>
                <w:bCs/>
                <w:sz w:val="22"/>
                <w:szCs w:val="22"/>
              </w:rPr>
              <w:t>N/A</w:t>
            </w:r>
          </w:p>
        </w:tc>
      </w:tr>
      <w:tr w:rsidR="00BE67AB" w14:paraId="19BDEFE1" w14:textId="77777777" w:rsidTr="00F86306">
        <w:tc>
          <w:tcPr>
            <w:tcW w:w="4531" w:type="dxa"/>
            <w:tcBorders>
              <w:bottom w:val="single" w:sz="4" w:space="0" w:color="auto"/>
            </w:tcBorders>
          </w:tcPr>
          <w:p w14:paraId="5368B40E" w14:textId="77777777" w:rsidR="00BE67AB" w:rsidRDefault="00BE67AB" w:rsidP="00AC00E3">
            <w:pPr>
              <w:keepNext/>
              <w:spacing w:before="60" w:after="32" w:line="259" w:lineRule="auto"/>
              <w:rPr>
                <w:bCs/>
                <w:sz w:val="22"/>
                <w:szCs w:val="22"/>
              </w:rPr>
            </w:pPr>
            <w:r w:rsidRPr="00061335">
              <w:rPr>
                <w:bCs/>
                <w:sz w:val="22"/>
                <w:szCs w:val="22"/>
              </w:rPr>
              <w:t xml:space="preserve">Wellbeing sessions </w:t>
            </w:r>
            <w:r>
              <w:rPr>
                <w:bCs/>
                <w:sz w:val="22"/>
                <w:szCs w:val="22"/>
              </w:rPr>
              <w:t xml:space="preserve">provided </w:t>
            </w:r>
          </w:p>
          <w:p w14:paraId="72D066BB" w14:textId="77777777" w:rsidR="00BE67AB" w:rsidRPr="00061335" w:rsidRDefault="00BE67AB" w:rsidP="00AC00E3">
            <w:pPr>
              <w:keepNext/>
              <w:spacing w:before="60" w:after="32" w:line="259" w:lineRule="auto"/>
              <w:rPr>
                <w:bCs/>
                <w:sz w:val="22"/>
                <w:szCs w:val="22"/>
              </w:rPr>
            </w:pPr>
            <w:r>
              <w:rPr>
                <w:bCs/>
                <w:sz w:val="22"/>
                <w:szCs w:val="22"/>
              </w:rPr>
              <w:t xml:space="preserve">(2592 Wellbeing and 240 </w:t>
            </w:r>
            <w:proofErr w:type="spellStart"/>
            <w:r>
              <w:rPr>
                <w:bCs/>
                <w:sz w:val="22"/>
                <w:szCs w:val="22"/>
              </w:rPr>
              <w:t>Kaupapa</w:t>
            </w:r>
            <w:proofErr w:type="spellEnd"/>
            <w:r>
              <w:rPr>
                <w:bCs/>
                <w:sz w:val="22"/>
                <w:szCs w:val="22"/>
              </w:rPr>
              <w:t xml:space="preserve"> Māori NGO)</w:t>
            </w:r>
          </w:p>
        </w:tc>
        <w:tc>
          <w:tcPr>
            <w:tcW w:w="1701" w:type="dxa"/>
            <w:tcBorders>
              <w:bottom w:val="single" w:sz="4" w:space="0" w:color="auto"/>
            </w:tcBorders>
          </w:tcPr>
          <w:p w14:paraId="4002187B" w14:textId="77777777" w:rsidR="00BE67AB" w:rsidRDefault="00BE67AB" w:rsidP="00AC00E3">
            <w:pPr>
              <w:keepNext/>
              <w:spacing w:before="60" w:after="32" w:line="259" w:lineRule="auto"/>
              <w:jc w:val="center"/>
              <w:rPr>
                <w:bCs/>
                <w:sz w:val="22"/>
                <w:szCs w:val="22"/>
              </w:rPr>
            </w:pPr>
            <w:r w:rsidRPr="002D7B49">
              <w:rPr>
                <w:bCs/>
                <w:sz w:val="22"/>
                <w:szCs w:val="22"/>
              </w:rPr>
              <w:t>2732</w:t>
            </w:r>
            <w:r>
              <w:rPr>
                <w:bCs/>
                <w:sz w:val="22"/>
                <w:szCs w:val="22"/>
              </w:rPr>
              <w:t xml:space="preserve"> </w:t>
            </w:r>
          </w:p>
          <w:p w14:paraId="2B720CF6" w14:textId="77777777" w:rsidR="00BE67AB" w:rsidRPr="001B71EA" w:rsidRDefault="00BE67AB" w:rsidP="00AC00E3">
            <w:pPr>
              <w:keepNext/>
              <w:spacing w:before="60" w:after="32" w:line="259" w:lineRule="auto"/>
              <w:rPr>
                <w:bCs/>
                <w:sz w:val="22"/>
                <w:szCs w:val="22"/>
                <w:highlight w:val="yellow"/>
              </w:rPr>
            </w:pPr>
          </w:p>
        </w:tc>
        <w:tc>
          <w:tcPr>
            <w:tcW w:w="1418" w:type="dxa"/>
            <w:tcBorders>
              <w:bottom w:val="single" w:sz="4" w:space="0" w:color="auto"/>
            </w:tcBorders>
          </w:tcPr>
          <w:p w14:paraId="516810E2" w14:textId="77777777" w:rsidR="00BE67AB" w:rsidRPr="0043595E" w:rsidRDefault="00BE67AB" w:rsidP="00AC00E3">
            <w:pPr>
              <w:keepNext/>
              <w:spacing w:before="60" w:after="32" w:line="259" w:lineRule="auto"/>
              <w:jc w:val="center"/>
              <w:rPr>
                <w:bCs/>
                <w:sz w:val="22"/>
                <w:szCs w:val="22"/>
                <w:highlight w:val="yellow"/>
              </w:rPr>
            </w:pPr>
            <w:r w:rsidRPr="000144D4">
              <w:rPr>
                <w:bCs/>
                <w:sz w:val="22"/>
                <w:szCs w:val="22"/>
              </w:rPr>
              <w:t>462 (Wellbeing)</w:t>
            </w:r>
          </w:p>
        </w:tc>
        <w:tc>
          <w:tcPr>
            <w:tcW w:w="1276" w:type="dxa"/>
            <w:tcBorders>
              <w:bottom w:val="single" w:sz="4" w:space="0" w:color="auto"/>
            </w:tcBorders>
          </w:tcPr>
          <w:p w14:paraId="205C8DF0" w14:textId="77777777" w:rsidR="00BE67AB" w:rsidRPr="002D7B49" w:rsidRDefault="00BE67AB" w:rsidP="00AC00E3">
            <w:pPr>
              <w:keepNext/>
              <w:spacing w:before="60" w:after="32" w:line="259" w:lineRule="auto"/>
              <w:jc w:val="center"/>
              <w:rPr>
                <w:bCs/>
                <w:sz w:val="22"/>
                <w:szCs w:val="22"/>
              </w:rPr>
            </w:pPr>
            <w:r>
              <w:rPr>
                <w:bCs/>
                <w:sz w:val="22"/>
                <w:szCs w:val="22"/>
              </w:rPr>
              <w:t>N/A</w:t>
            </w:r>
          </w:p>
        </w:tc>
      </w:tr>
    </w:tbl>
    <w:tbl>
      <w:tblPr>
        <w:tblStyle w:val="TableGrid10"/>
        <w:tblW w:w="8926" w:type="dxa"/>
        <w:tblInd w:w="0" w:type="dxa"/>
        <w:tblLook w:val="04A0" w:firstRow="1" w:lastRow="0" w:firstColumn="1" w:lastColumn="0" w:noHBand="0" w:noVBand="1"/>
      </w:tblPr>
      <w:tblGrid>
        <w:gridCol w:w="4531"/>
        <w:gridCol w:w="1701"/>
        <w:gridCol w:w="1418"/>
        <w:gridCol w:w="1276"/>
      </w:tblGrid>
      <w:tr w:rsidR="00D45FC3" w14:paraId="5E4D63AA" w14:textId="77777777" w:rsidTr="00D45FC3">
        <w:tc>
          <w:tcPr>
            <w:tcW w:w="4531" w:type="dxa"/>
            <w:tcBorders>
              <w:top w:val="single" w:sz="4" w:space="0" w:color="auto"/>
              <w:left w:val="single" w:sz="4" w:space="0" w:color="auto"/>
              <w:bottom w:val="single" w:sz="4" w:space="0" w:color="auto"/>
              <w:right w:val="single" w:sz="4" w:space="0" w:color="auto"/>
            </w:tcBorders>
            <w:hideMark/>
          </w:tcPr>
          <w:bookmarkEnd w:id="3"/>
          <w:p w14:paraId="0D310AFA" w14:textId="77777777" w:rsidR="00D45FC3" w:rsidRDefault="00D45FC3">
            <w:pPr>
              <w:keepNext/>
              <w:spacing w:before="60" w:after="32" w:line="256" w:lineRule="auto"/>
              <w:rPr>
                <w:bCs/>
                <w:sz w:val="22"/>
                <w:szCs w:val="22"/>
              </w:rPr>
            </w:pPr>
            <w:r>
              <w:rPr>
                <w:bCs/>
                <w:sz w:val="22"/>
                <w:szCs w:val="22"/>
              </w:rPr>
              <w:t>Results of a Survivor Evaluation Survey (from April 2021)</w:t>
            </w:r>
          </w:p>
        </w:tc>
        <w:tc>
          <w:tcPr>
            <w:tcW w:w="1701" w:type="dxa"/>
            <w:tcBorders>
              <w:top w:val="single" w:sz="4" w:space="0" w:color="auto"/>
              <w:left w:val="single" w:sz="4" w:space="0" w:color="auto"/>
              <w:bottom w:val="single" w:sz="4" w:space="0" w:color="auto"/>
              <w:right w:val="single" w:sz="4" w:space="0" w:color="auto"/>
            </w:tcBorders>
            <w:hideMark/>
          </w:tcPr>
          <w:p w14:paraId="2D7EC45B" w14:textId="77777777" w:rsidR="00D45FC3" w:rsidRDefault="00D45FC3">
            <w:pPr>
              <w:keepNext/>
              <w:spacing w:before="60" w:after="32" w:line="256" w:lineRule="auto"/>
              <w:jc w:val="center"/>
              <w:rPr>
                <w:bCs/>
                <w:sz w:val="22"/>
                <w:szCs w:val="22"/>
              </w:rPr>
            </w:pPr>
            <w:r>
              <w:rPr>
                <w:bCs/>
                <w:sz w:val="22"/>
                <w:szCs w:val="22"/>
              </w:rPr>
              <w:t>June 2021</w:t>
            </w:r>
          </w:p>
        </w:tc>
        <w:tc>
          <w:tcPr>
            <w:tcW w:w="1418" w:type="dxa"/>
            <w:tcBorders>
              <w:top w:val="single" w:sz="4" w:space="0" w:color="auto"/>
              <w:left w:val="single" w:sz="4" w:space="0" w:color="auto"/>
              <w:bottom w:val="single" w:sz="4" w:space="0" w:color="auto"/>
              <w:right w:val="single" w:sz="4" w:space="0" w:color="auto"/>
            </w:tcBorders>
            <w:hideMark/>
          </w:tcPr>
          <w:p w14:paraId="733F9EFD" w14:textId="77777777" w:rsidR="00D45FC3" w:rsidRDefault="00D45FC3">
            <w:pPr>
              <w:keepNext/>
              <w:spacing w:before="60" w:after="32" w:line="256" w:lineRule="auto"/>
              <w:jc w:val="center"/>
              <w:rPr>
                <w:bCs/>
                <w:sz w:val="22"/>
                <w:szCs w:val="22"/>
              </w:rPr>
            </w:pPr>
            <w:r>
              <w:rPr>
                <w:bCs/>
                <w:sz w:val="22"/>
                <w:szCs w:val="22"/>
              </w:rPr>
              <w:t>N/A</w:t>
            </w:r>
          </w:p>
        </w:tc>
        <w:tc>
          <w:tcPr>
            <w:tcW w:w="1276" w:type="dxa"/>
            <w:tcBorders>
              <w:top w:val="single" w:sz="4" w:space="0" w:color="auto"/>
              <w:left w:val="single" w:sz="4" w:space="0" w:color="auto"/>
              <w:bottom w:val="single" w:sz="4" w:space="0" w:color="auto"/>
              <w:right w:val="single" w:sz="4" w:space="0" w:color="auto"/>
            </w:tcBorders>
            <w:hideMark/>
          </w:tcPr>
          <w:p w14:paraId="6AC33822" w14:textId="77777777" w:rsidR="00D45FC3" w:rsidRDefault="00D45FC3">
            <w:pPr>
              <w:keepNext/>
              <w:spacing w:before="60" w:after="32" w:line="256" w:lineRule="auto"/>
              <w:jc w:val="center"/>
              <w:rPr>
                <w:bCs/>
                <w:sz w:val="22"/>
                <w:szCs w:val="22"/>
              </w:rPr>
            </w:pPr>
            <w:r>
              <w:rPr>
                <w:bCs/>
                <w:sz w:val="22"/>
                <w:szCs w:val="22"/>
              </w:rPr>
              <w:t>N/A</w:t>
            </w:r>
          </w:p>
        </w:tc>
      </w:tr>
      <w:tr w:rsidR="00D45FC3" w14:paraId="355D9D2C" w14:textId="77777777" w:rsidTr="00D45FC3">
        <w:trPr>
          <w:trHeight w:val="1880"/>
        </w:trPr>
        <w:tc>
          <w:tcPr>
            <w:tcW w:w="8926" w:type="dxa"/>
            <w:gridSpan w:val="4"/>
            <w:tcBorders>
              <w:top w:val="single" w:sz="4" w:space="0" w:color="auto"/>
              <w:left w:val="single" w:sz="4" w:space="0" w:color="auto"/>
              <w:bottom w:val="single" w:sz="4" w:space="0" w:color="auto"/>
              <w:right w:val="single" w:sz="4" w:space="0" w:color="auto"/>
            </w:tcBorders>
            <w:hideMark/>
          </w:tcPr>
          <w:p w14:paraId="59F55F80" w14:textId="77777777" w:rsidR="00D45FC3" w:rsidRDefault="00D45FC3">
            <w:pPr>
              <w:spacing w:line="256" w:lineRule="auto"/>
              <w:rPr>
                <w:sz w:val="22"/>
                <w:szCs w:val="22"/>
              </w:rPr>
            </w:pPr>
            <w:r>
              <w:rPr>
                <w:sz w:val="22"/>
                <w:szCs w:val="22"/>
              </w:rPr>
              <w:t xml:space="preserve">Comments: We anticipate that survivor registrations will continue to increase, as public hearings progress over the course of the year and awareness of the Royal Commission increases. During the Redress hearing in September registrations increased to four or five per day up from one to two during non-public hearing periods. </w:t>
            </w:r>
            <w:r>
              <w:rPr>
                <w:sz w:val="22"/>
                <w:szCs w:val="22"/>
              </w:rPr>
              <w:br/>
              <w:t xml:space="preserve">Procurement of NGO’ s to provide </w:t>
            </w:r>
            <w:proofErr w:type="spellStart"/>
            <w:r>
              <w:rPr>
                <w:sz w:val="22"/>
                <w:szCs w:val="22"/>
              </w:rPr>
              <w:t>Kaupapa</w:t>
            </w:r>
            <w:proofErr w:type="spellEnd"/>
            <w:r>
              <w:rPr>
                <w:sz w:val="22"/>
                <w:szCs w:val="22"/>
              </w:rPr>
              <w:t xml:space="preserve"> Māori wellbeing was completed in the quarter and contracts will be finalised in November. </w:t>
            </w:r>
          </w:p>
        </w:tc>
      </w:tr>
    </w:tbl>
    <w:p w14:paraId="24EC2837" w14:textId="77777777" w:rsidR="00D45FC3" w:rsidRDefault="00D45FC3" w:rsidP="00BE67AB">
      <w:pPr>
        <w:keepLines w:val="0"/>
        <w:rPr>
          <w:b/>
          <w:bCs/>
          <w:i/>
          <w:color w:val="1F546B" w:themeColor="text2"/>
          <w:szCs w:val="28"/>
        </w:rPr>
      </w:pPr>
    </w:p>
    <w:p w14:paraId="52FD1FEF" w14:textId="70080A46" w:rsidR="00BE67AB" w:rsidRPr="00AF14D1" w:rsidRDefault="00D45FC3" w:rsidP="00BE67AB">
      <w:pPr>
        <w:keepLines w:val="0"/>
        <w:rPr>
          <w:b/>
          <w:bCs/>
          <w:i/>
          <w:color w:val="1F546B" w:themeColor="text2"/>
          <w:szCs w:val="28"/>
        </w:rPr>
      </w:pPr>
      <w:r>
        <w:rPr>
          <w:b/>
          <w:bCs/>
          <w:i/>
          <w:color w:val="1F546B" w:themeColor="text2"/>
          <w:szCs w:val="28"/>
        </w:rPr>
        <w:br w:type="page"/>
      </w:r>
      <w:r w:rsidR="00BE67AB" w:rsidRPr="00AF14D1">
        <w:rPr>
          <w:b/>
          <w:bCs/>
          <w:i/>
          <w:color w:val="1F546B" w:themeColor="text2"/>
          <w:szCs w:val="28"/>
        </w:rPr>
        <w:lastRenderedPageBreak/>
        <w:t xml:space="preserve">Community and Treaty Engagement </w:t>
      </w:r>
    </w:p>
    <w:p w14:paraId="53BEEC50" w14:textId="77777777" w:rsidR="00BE67AB" w:rsidRDefault="00BE67AB" w:rsidP="00BE67AB">
      <w:r>
        <w:t xml:space="preserve">Engagement with Iwi, NGOs and support/community organisations. </w:t>
      </w:r>
      <w:r w:rsidRPr="00F9049C">
        <w:t xml:space="preserve">‘Engagement’ constitutes a stakeholder activity (e.g., large or small group meetings, </w:t>
      </w:r>
      <w:r>
        <w:t>significant conversations, face-to-</w:t>
      </w:r>
      <w:r w:rsidRPr="00F9049C">
        <w:t>face or virtual meetings that Advisors have with an external community stakeholder (new or established).</w:t>
      </w:r>
      <w:r>
        <w:t xml:space="preserve"> </w:t>
      </w:r>
    </w:p>
    <w:p w14:paraId="5E7CA6C2" w14:textId="77777777" w:rsidR="00BE67AB" w:rsidRDefault="00BE67AB" w:rsidP="00BE67AB">
      <w:r>
        <w:t>We will engage with external stakeholders with a focus on Māori, Iwi, Pacific people, Disabled and LGBTIQA+ to increase awareness of the work of the Royal Commission, increase engagement and registrations of survivors to come forward to share their experiences.</w:t>
      </w:r>
    </w:p>
    <w:tbl>
      <w:tblPr>
        <w:tblStyle w:val="TableGrid"/>
        <w:tblW w:w="8784" w:type="dxa"/>
        <w:tblLook w:val="04A0" w:firstRow="1" w:lastRow="0" w:firstColumn="1" w:lastColumn="0" w:noHBand="0" w:noVBand="1"/>
      </w:tblPr>
      <w:tblGrid>
        <w:gridCol w:w="4248"/>
        <w:gridCol w:w="1701"/>
        <w:gridCol w:w="1418"/>
        <w:gridCol w:w="1417"/>
      </w:tblGrid>
      <w:tr w:rsidR="00BE67AB" w:rsidRPr="00D45D71" w14:paraId="20FBAEDA" w14:textId="77777777" w:rsidTr="00D45FC3">
        <w:tc>
          <w:tcPr>
            <w:tcW w:w="4248" w:type="dxa"/>
            <w:shd w:val="clear" w:color="auto" w:fill="92CC63" w:themeFill="accent4" w:themeFillTint="99"/>
          </w:tcPr>
          <w:p w14:paraId="6F163751" w14:textId="77777777" w:rsidR="00BE67AB" w:rsidRPr="00061335" w:rsidRDefault="00BE67AB" w:rsidP="00AC00E3">
            <w:pPr>
              <w:keepNext/>
              <w:spacing w:before="60" w:after="32" w:line="259" w:lineRule="auto"/>
              <w:rPr>
                <w:bCs/>
                <w:sz w:val="22"/>
                <w:szCs w:val="22"/>
              </w:rPr>
            </w:pPr>
            <w:r w:rsidRPr="00061335">
              <w:rPr>
                <w:b/>
                <w:bCs/>
                <w:sz w:val="22"/>
                <w:szCs w:val="22"/>
              </w:rPr>
              <w:t xml:space="preserve">How we will monitor our performance </w:t>
            </w:r>
            <w:r w:rsidRPr="00061335">
              <w:rPr>
                <w:b/>
                <w:bCs/>
                <w:sz w:val="22"/>
                <w:szCs w:val="22"/>
              </w:rPr>
              <w:tab/>
            </w:r>
          </w:p>
        </w:tc>
        <w:tc>
          <w:tcPr>
            <w:tcW w:w="1701" w:type="dxa"/>
            <w:shd w:val="clear" w:color="auto" w:fill="92CC63" w:themeFill="accent4" w:themeFillTint="99"/>
          </w:tcPr>
          <w:p w14:paraId="42550C45" w14:textId="77777777" w:rsidR="00BE67AB" w:rsidRPr="00061335" w:rsidRDefault="00BE67AB" w:rsidP="00AC00E3">
            <w:pPr>
              <w:keepNext/>
              <w:spacing w:before="60" w:after="32" w:line="259" w:lineRule="auto"/>
              <w:rPr>
                <w:bCs/>
                <w:sz w:val="22"/>
                <w:szCs w:val="22"/>
              </w:rPr>
            </w:pPr>
            <w:r w:rsidRPr="00061335">
              <w:rPr>
                <w:b/>
                <w:bCs/>
                <w:sz w:val="22"/>
                <w:szCs w:val="22"/>
              </w:rPr>
              <w:t>Target 20/21</w:t>
            </w:r>
          </w:p>
        </w:tc>
        <w:tc>
          <w:tcPr>
            <w:tcW w:w="1418" w:type="dxa"/>
            <w:shd w:val="clear" w:color="auto" w:fill="92CC63" w:themeFill="accent4" w:themeFillTint="99"/>
          </w:tcPr>
          <w:p w14:paraId="53C497FE" w14:textId="77777777" w:rsidR="00BE67AB" w:rsidRPr="00061335" w:rsidRDefault="00BE67AB" w:rsidP="00AC00E3">
            <w:pPr>
              <w:keepNext/>
              <w:spacing w:before="60" w:after="32" w:line="259" w:lineRule="auto"/>
              <w:rPr>
                <w:bCs/>
                <w:sz w:val="22"/>
                <w:szCs w:val="22"/>
              </w:rPr>
            </w:pPr>
            <w:r>
              <w:rPr>
                <w:b/>
                <w:bCs/>
                <w:sz w:val="22"/>
                <w:szCs w:val="22"/>
              </w:rPr>
              <w:t>Quarter ended 30/09/2020</w:t>
            </w:r>
          </w:p>
        </w:tc>
        <w:tc>
          <w:tcPr>
            <w:tcW w:w="1417" w:type="dxa"/>
            <w:shd w:val="clear" w:color="auto" w:fill="92CC63" w:themeFill="accent4" w:themeFillTint="99"/>
          </w:tcPr>
          <w:p w14:paraId="3807DED0" w14:textId="77777777" w:rsidR="00BE67AB" w:rsidRPr="00061335" w:rsidRDefault="00BE67AB" w:rsidP="00AC00E3">
            <w:pPr>
              <w:keepNext/>
              <w:spacing w:before="60" w:after="32" w:line="259" w:lineRule="auto"/>
              <w:jc w:val="center"/>
              <w:rPr>
                <w:bCs/>
                <w:sz w:val="22"/>
                <w:szCs w:val="22"/>
              </w:rPr>
            </w:pPr>
            <w:r>
              <w:rPr>
                <w:b/>
                <w:bCs/>
                <w:sz w:val="22"/>
                <w:szCs w:val="22"/>
              </w:rPr>
              <w:t>Previous quarter</w:t>
            </w:r>
          </w:p>
        </w:tc>
      </w:tr>
      <w:tr w:rsidR="00BE67AB" w:rsidRPr="00D45D71" w14:paraId="4FE1B6F2" w14:textId="77777777" w:rsidTr="00D45FC3">
        <w:tc>
          <w:tcPr>
            <w:tcW w:w="4248" w:type="dxa"/>
          </w:tcPr>
          <w:p w14:paraId="726F9A23" w14:textId="77777777" w:rsidR="00BE67AB" w:rsidRPr="001B71EA" w:rsidRDefault="00BE67AB" w:rsidP="00AC00E3">
            <w:pPr>
              <w:keepNext/>
              <w:spacing w:before="60" w:after="32" w:line="259" w:lineRule="auto"/>
              <w:rPr>
                <w:bCs/>
                <w:sz w:val="22"/>
                <w:szCs w:val="22"/>
              </w:rPr>
            </w:pPr>
            <w:r w:rsidRPr="001B71EA">
              <w:rPr>
                <w:bCs/>
                <w:sz w:val="22"/>
                <w:szCs w:val="22"/>
              </w:rPr>
              <w:t>Community engagements</w:t>
            </w:r>
          </w:p>
        </w:tc>
        <w:tc>
          <w:tcPr>
            <w:tcW w:w="1701" w:type="dxa"/>
          </w:tcPr>
          <w:p w14:paraId="3E7932B7" w14:textId="77777777" w:rsidR="00BE67AB" w:rsidRPr="00061335" w:rsidRDefault="00BE67AB" w:rsidP="00AC00E3">
            <w:pPr>
              <w:keepNext/>
              <w:spacing w:before="60" w:after="32" w:line="259" w:lineRule="auto"/>
              <w:rPr>
                <w:bCs/>
                <w:sz w:val="22"/>
                <w:szCs w:val="22"/>
              </w:rPr>
            </w:pPr>
            <w:r>
              <w:rPr>
                <w:bCs/>
                <w:sz w:val="22"/>
                <w:szCs w:val="22"/>
              </w:rPr>
              <w:t>120 per month</w:t>
            </w:r>
          </w:p>
        </w:tc>
        <w:tc>
          <w:tcPr>
            <w:tcW w:w="1418" w:type="dxa"/>
          </w:tcPr>
          <w:p w14:paraId="4A9B7604" w14:textId="77777777" w:rsidR="00BE67AB" w:rsidRPr="002D7B49" w:rsidRDefault="00BE67AB" w:rsidP="00AC00E3">
            <w:pPr>
              <w:keepNext/>
              <w:spacing w:before="60" w:after="32" w:line="259" w:lineRule="auto"/>
              <w:jc w:val="center"/>
              <w:rPr>
                <w:bCs/>
              </w:rPr>
            </w:pPr>
            <w:r>
              <w:rPr>
                <w:bCs/>
              </w:rPr>
              <w:t>292</w:t>
            </w:r>
          </w:p>
        </w:tc>
        <w:tc>
          <w:tcPr>
            <w:tcW w:w="1417" w:type="dxa"/>
          </w:tcPr>
          <w:p w14:paraId="490B41A2" w14:textId="77777777" w:rsidR="00BE67AB" w:rsidRPr="002D3AFF" w:rsidRDefault="00BE67AB" w:rsidP="00AC00E3">
            <w:pPr>
              <w:keepNext/>
              <w:spacing w:before="60" w:after="32" w:line="259" w:lineRule="auto"/>
              <w:jc w:val="center"/>
              <w:rPr>
                <w:bCs/>
                <w:sz w:val="22"/>
                <w:szCs w:val="22"/>
              </w:rPr>
            </w:pPr>
            <w:r>
              <w:rPr>
                <w:bCs/>
                <w:sz w:val="22"/>
                <w:szCs w:val="22"/>
              </w:rPr>
              <w:t>NA</w:t>
            </w:r>
          </w:p>
        </w:tc>
      </w:tr>
      <w:tr w:rsidR="00BE67AB" w:rsidRPr="00D45D71" w14:paraId="0406C809" w14:textId="77777777" w:rsidTr="00D45FC3">
        <w:tc>
          <w:tcPr>
            <w:tcW w:w="4248" w:type="dxa"/>
          </w:tcPr>
          <w:p w14:paraId="21344C9D" w14:textId="77777777" w:rsidR="00BE67AB" w:rsidRPr="001B71EA" w:rsidRDefault="00BE67AB" w:rsidP="00AC00E3">
            <w:pPr>
              <w:keepNext/>
              <w:spacing w:before="60" w:after="32" w:line="259" w:lineRule="auto"/>
              <w:rPr>
                <w:bCs/>
                <w:sz w:val="22"/>
                <w:szCs w:val="22"/>
              </w:rPr>
            </w:pPr>
            <w:r w:rsidRPr="001B71EA">
              <w:rPr>
                <w:bCs/>
                <w:sz w:val="22"/>
                <w:szCs w:val="22"/>
              </w:rPr>
              <w:t xml:space="preserve">Treaty engagements                                                                                     </w:t>
            </w:r>
          </w:p>
        </w:tc>
        <w:tc>
          <w:tcPr>
            <w:tcW w:w="1701" w:type="dxa"/>
          </w:tcPr>
          <w:p w14:paraId="6E6BEFAF" w14:textId="77777777" w:rsidR="00BE67AB" w:rsidRPr="00061335" w:rsidRDefault="00BE67AB" w:rsidP="00AC00E3">
            <w:pPr>
              <w:keepNext/>
              <w:spacing w:before="60" w:after="32" w:line="259" w:lineRule="auto"/>
              <w:rPr>
                <w:bCs/>
                <w:sz w:val="22"/>
                <w:szCs w:val="22"/>
              </w:rPr>
            </w:pPr>
            <w:r>
              <w:rPr>
                <w:bCs/>
                <w:sz w:val="22"/>
                <w:szCs w:val="22"/>
              </w:rPr>
              <w:t xml:space="preserve">5 </w:t>
            </w:r>
            <w:proofErr w:type="gramStart"/>
            <w:r>
              <w:rPr>
                <w:bCs/>
                <w:sz w:val="22"/>
                <w:szCs w:val="22"/>
              </w:rPr>
              <w:t>iwi</w:t>
            </w:r>
            <w:proofErr w:type="gramEnd"/>
            <w:r>
              <w:rPr>
                <w:bCs/>
                <w:sz w:val="22"/>
                <w:szCs w:val="22"/>
              </w:rPr>
              <w:t xml:space="preserve"> and 10 survivors per month </w:t>
            </w:r>
          </w:p>
        </w:tc>
        <w:tc>
          <w:tcPr>
            <w:tcW w:w="1418" w:type="dxa"/>
          </w:tcPr>
          <w:p w14:paraId="3DD705CF" w14:textId="77777777" w:rsidR="00BE67AB" w:rsidRPr="0043595E" w:rsidRDefault="00BE67AB" w:rsidP="00AC00E3">
            <w:pPr>
              <w:keepNext/>
              <w:spacing w:before="60" w:after="32" w:line="259" w:lineRule="auto"/>
              <w:jc w:val="center"/>
              <w:rPr>
                <w:bCs/>
                <w:highlight w:val="yellow"/>
              </w:rPr>
            </w:pPr>
            <w:r w:rsidRPr="00E171D4">
              <w:rPr>
                <w:bCs/>
              </w:rPr>
              <w:t>53</w:t>
            </w:r>
          </w:p>
        </w:tc>
        <w:tc>
          <w:tcPr>
            <w:tcW w:w="1417" w:type="dxa"/>
          </w:tcPr>
          <w:p w14:paraId="7D06AC23" w14:textId="77777777" w:rsidR="00BE67AB" w:rsidRPr="002D3AFF" w:rsidRDefault="00BE67AB" w:rsidP="00AC00E3">
            <w:pPr>
              <w:keepNext/>
              <w:spacing w:before="60" w:after="32" w:line="259" w:lineRule="auto"/>
              <w:jc w:val="center"/>
              <w:rPr>
                <w:bCs/>
                <w:sz w:val="22"/>
                <w:szCs w:val="22"/>
              </w:rPr>
            </w:pPr>
            <w:r>
              <w:rPr>
                <w:bCs/>
                <w:sz w:val="22"/>
                <w:szCs w:val="22"/>
              </w:rPr>
              <w:t>NA</w:t>
            </w:r>
          </w:p>
        </w:tc>
      </w:tr>
      <w:tr w:rsidR="00BE67AB" w14:paraId="6599F0FE" w14:textId="77777777" w:rsidTr="00D45FC3">
        <w:trPr>
          <w:trHeight w:val="1311"/>
        </w:trPr>
        <w:tc>
          <w:tcPr>
            <w:tcW w:w="8784" w:type="dxa"/>
            <w:gridSpan w:val="4"/>
          </w:tcPr>
          <w:p w14:paraId="1334A490" w14:textId="77777777" w:rsidR="00BE67AB" w:rsidRPr="00B7046C" w:rsidRDefault="00BE67AB" w:rsidP="00AC00E3">
            <w:pPr>
              <w:spacing w:line="259" w:lineRule="auto"/>
              <w:rPr>
                <w:sz w:val="22"/>
                <w:szCs w:val="22"/>
              </w:rPr>
            </w:pPr>
            <w:r w:rsidRPr="00B7046C">
              <w:rPr>
                <w:sz w:val="22"/>
                <w:szCs w:val="22"/>
              </w:rPr>
              <w:t>Comments: The number of Community engagements were down in August and September due to the impact of COVID-19. In respect of Treaty engagements</w:t>
            </w:r>
            <w:r>
              <w:rPr>
                <w:sz w:val="22"/>
                <w:szCs w:val="22"/>
              </w:rPr>
              <w:t>,</w:t>
            </w:r>
            <w:r w:rsidRPr="00B7046C">
              <w:rPr>
                <w:sz w:val="22"/>
                <w:szCs w:val="22"/>
              </w:rPr>
              <w:t xml:space="preserve"> </w:t>
            </w:r>
            <w:r>
              <w:rPr>
                <w:sz w:val="22"/>
                <w:szCs w:val="22"/>
              </w:rPr>
              <w:t xml:space="preserve">there </w:t>
            </w:r>
            <w:r w:rsidRPr="00B7046C">
              <w:rPr>
                <w:sz w:val="22"/>
                <w:szCs w:val="22"/>
              </w:rPr>
              <w:t>7 with iwi</w:t>
            </w:r>
            <w:r>
              <w:rPr>
                <w:sz w:val="22"/>
                <w:szCs w:val="22"/>
              </w:rPr>
              <w:t>/</w:t>
            </w:r>
            <w:r w:rsidRPr="00B7046C">
              <w:rPr>
                <w:sz w:val="22"/>
                <w:szCs w:val="22"/>
              </w:rPr>
              <w:t>Māori entities and 11 with survivors</w:t>
            </w:r>
            <w:r>
              <w:rPr>
                <w:sz w:val="22"/>
                <w:szCs w:val="22"/>
              </w:rPr>
              <w:t xml:space="preserve"> in September; and </w:t>
            </w:r>
            <w:r w:rsidRPr="00B7046C">
              <w:rPr>
                <w:sz w:val="22"/>
                <w:szCs w:val="22"/>
              </w:rPr>
              <w:t>6 with iwi and 7 with survivors in August</w:t>
            </w:r>
            <w:r>
              <w:rPr>
                <w:sz w:val="22"/>
                <w:szCs w:val="22"/>
              </w:rPr>
              <w:t xml:space="preserve">. </w:t>
            </w:r>
            <w:r w:rsidRPr="00B7046C">
              <w:rPr>
                <w:sz w:val="22"/>
                <w:szCs w:val="22"/>
              </w:rPr>
              <w:t xml:space="preserve"> This breakdown is not available for July.  </w:t>
            </w:r>
          </w:p>
        </w:tc>
      </w:tr>
    </w:tbl>
    <w:p w14:paraId="5DBF2174" w14:textId="77777777" w:rsidR="00BE67AB" w:rsidRDefault="00BE67AB" w:rsidP="00BE67AB">
      <w:pPr>
        <w:keepLines w:val="0"/>
        <w:rPr>
          <w:rFonts w:cs="Arial"/>
          <w:b/>
          <w:bCs/>
          <w:iCs/>
          <w:color w:val="1F546B"/>
          <w:sz w:val="36"/>
          <w:szCs w:val="28"/>
        </w:rPr>
      </w:pPr>
      <w:bookmarkStart w:id="4" w:name="_Toc47682412"/>
      <w:bookmarkStart w:id="5" w:name="_Toc54193236"/>
    </w:p>
    <w:p w14:paraId="08734F89" w14:textId="77777777" w:rsidR="00BE67AB" w:rsidRDefault="00BE67AB" w:rsidP="00BE67AB">
      <w:pPr>
        <w:keepLines w:val="0"/>
        <w:rPr>
          <w:rFonts w:cs="Arial"/>
          <w:b/>
          <w:bCs/>
          <w:iCs/>
          <w:color w:val="1F546B"/>
          <w:sz w:val="36"/>
          <w:szCs w:val="28"/>
        </w:rPr>
      </w:pPr>
      <w:r>
        <w:rPr>
          <w:rFonts w:cs="Arial"/>
          <w:b/>
          <w:bCs/>
          <w:iCs/>
          <w:color w:val="1F546B"/>
          <w:sz w:val="36"/>
          <w:szCs w:val="28"/>
        </w:rPr>
        <w:br w:type="page"/>
      </w:r>
    </w:p>
    <w:p w14:paraId="4ABEFFEE" w14:textId="77777777" w:rsidR="00BE67AB" w:rsidRDefault="00BE67AB" w:rsidP="00BE67AB">
      <w:pPr>
        <w:pStyle w:val="Heading2"/>
      </w:pPr>
      <w:r>
        <w:lastRenderedPageBreak/>
        <w:t>Organisational Health and Capability</w:t>
      </w:r>
      <w:bookmarkEnd w:id="4"/>
      <w:bookmarkEnd w:id="5"/>
    </w:p>
    <w:p w14:paraId="1C6D1A0A" w14:textId="77777777" w:rsidR="00BE67AB" w:rsidRPr="00476FCA" w:rsidRDefault="00BE67AB" w:rsidP="00BE67AB">
      <w:r>
        <w:t xml:space="preserve">While the Department is the substantive employer of Royal Commission staff, the Royal Commission is independent.  </w:t>
      </w:r>
      <w:r w:rsidRPr="00294EA8">
        <w:t>These measures are designed to provide reassurance to the Minister that the Royal Commission is functioning well as an entity.</w:t>
      </w:r>
      <w:bookmarkStart w:id="6" w:name="_Hlk46816323"/>
    </w:p>
    <w:p w14:paraId="208CBD8A" w14:textId="77777777" w:rsidR="00BE67AB" w:rsidRDefault="00BE67AB" w:rsidP="00BE67AB">
      <w:pPr>
        <w:pStyle w:val="Heading4"/>
      </w:pPr>
      <w:bookmarkStart w:id="7" w:name="_Hlk54944784"/>
      <w:r>
        <w:t xml:space="preserve">Human resources </w:t>
      </w:r>
    </w:p>
    <w:p w14:paraId="52500AAF" w14:textId="77777777" w:rsidR="00BE67AB" w:rsidRPr="004C7CAE" w:rsidRDefault="00BE67AB" w:rsidP="00BE67AB">
      <w:r>
        <w:t xml:space="preserve">We will monitor FTEs recruited against our annual resource plan. </w:t>
      </w:r>
      <w:r w:rsidRPr="004C7CAE">
        <w:rPr>
          <w:iCs/>
        </w:rPr>
        <w:t>The R</w:t>
      </w:r>
      <w:r>
        <w:rPr>
          <w:iCs/>
        </w:rPr>
        <w:t>oyal Commission’s</w:t>
      </w:r>
      <w:r w:rsidRPr="004C7CAE">
        <w:rPr>
          <w:iCs/>
        </w:rPr>
        <w:t xml:space="preserve"> resource plan is based on each business unit having completed a comprehensive people planning and financial modelling process</w:t>
      </w:r>
      <w:r>
        <w:rPr>
          <w:iCs/>
        </w:rPr>
        <w:t>.</w:t>
      </w:r>
      <w:r w:rsidRPr="004C7CAE">
        <w:rPr>
          <w:i/>
          <w:iCs/>
        </w:rPr>
        <w:t xml:space="preserve"> </w:t>
      </w:r>
      <w:r w:rsidRPr="004C7CAE">
        <w:t xml:space="preserve">The resource plan </w:t>
      </w:r>
      <w:r>
        <w:t xml:space="preserve">for 2020/21 </w:t>
      </w:r>
      <w:r w:rsidRPr="004C7CAE">
        <w:t xml:space="preserve">shows </w:t>
      </w:r>
      <w:r>
        <w:t xml:space="preserve">the overall </w:t>
      </w:r>
      <w:r w:rsidRPr="004C7CAE">
        <w:t>FTE numbers and the resource mix that the Royal Commission is aiming</w:t>
      </w:r>
      <w:r>
        <w:t xml:space="preserve"> to have in place by 30 June 2021.</w:t>
      </w:r>
    </w:p>
    <w:tbl>
      <w:tblPr>
        <w:tblStyle w:val="TableGrid"/>
        <w:tblW w:w="8784" w:type="dxa"/>
        <w:tblLook w:val="04A0" w:firstRow="1" w:lastRow="0" w:firstColumn="1" w:lastColumn="0" w:noHBand="0" w:noVBand="1"/>
      </w:tblPr>
      <w:tblGrid>
        <w:gridCol w:w="3716"/>
        <w:gridCol w:w="2112"/>
        <w:gridCol w:w="1680"/>
        <w:gridCol w:w="1276"/>
      </w:tblGrid>
      <w:tr w:rsidR="00BE67AB" w:rsidRPr="00D45D71" w14:paraId="7AA9FB86" w14:textId="77777777" w:rsidTr="00AC00E3">
        <w:tc>
          <w:tcPr>
            <w:tcW w:w="3716" w:type="dxa"/>
            <w:shd w:val="clear" w:color="auto" w:fill="92CC63" w:themeFill="accent4" w:themeFillTint="99"/>
          </w:tcPr>
          <w:p w14:paraId="63B6B436" w14:textId="77777777" w:rsidR="00BE67AB" w:rsidRPr="00061335" w:rsidRDefault="00BE67AB" w:rsidP="00AC00E3">
            <w:pPr>
              <w:keepNext/>
              <w:spacing w:before="60" w:after="32" w:line="259" w:lineRule="auto"/>
              <w:rPr>
                <w:bCs/>
                <w:sz w:val="22"/>
                <w:szCs w:val="22"/>
              </w:rPr>
            </w:pPr>
            <w:r w:rsidRPr="00061335">
              <w:rPr>
                <w:b/>
                <w:bCs/>
                <w:sz w:val="22"/>
                <w:szCs w:val="22"/>
              </w:rPr>
              <w:t xml:space="preserve">How we will monitor our performance </w:t>
            </w:r>
            <w:r w:rsidRPr="00061335">
              <w:rPr>
                <w:b/>
                <w:bCs/>
                <w:sz w:val="22"/>
                <w:szCs w:val="22"/>
              </w:rPr>
              <w:tab/>
            </w:r>
          </w:p>
        </w:tc>
        <w:tc>
          <w:tcPr>
            <w:tcW w:w="2112" w:type="dxa"/>
            <w:shd w:val="clear" w:color="auto" w:fill="92CC63" w:themeFill="accent4" w:themeFillTint="99"/>
          </w:tcPr>
          <w:p w14:paraId="732C773F" w14:textId="77777777" w:rsidR="00BE67AB" w:rsidRDefault="00BE67AB" w:rsidP="00AC00E3">
            <w:pPr>
              <w:keepNext/>
              <w:spacing w:before="60" w:after="32" w:line="259" w:lineRule="auto"/>
              <w:rPr>
                <w:b/>
                <w:bCs/>
                <w:sz w:val="22"/>
                <w:szCs w:val="22"/>
              </w:rPr>
            </w:pPr>
            <w:r w:rsidRPr="00061335">
              <w:rPr>
                <w:b/>
                <w:bCs/>
                <w:sz w:val="22"/>
                <w:szCs w:val="22"/>
              </w:rPr>
              <w:t>Target 20/21</w:t>
            </w:r>
            <w:r>
              <w:rPr>
                <w:b/>
                <w:bCs/>
                <w:sz w:val="22"/>
                <w:szCs w:val="22"/>
              </w:rPr>
              <w:br/>
            </w:r>
          </w:p>
          <w:p w14:paraId="0BE7A0DA" w14:textId="77777777" w:rsidR="00BE67AB" w:rsidRPr="00061335" w:rsidRDefault="00BE67AB" w:rsidP="00AC00E3">
            <w:pPr>
              <w:keepNext/>
              <w:spacing w:before="60" w:after="32" w:line="259" w:lineRule="auto"/>
              <w:rPr>
                <w:bCs/>
                <w:sz w:val="22"/>
                <w:szCs w:val="22"/>
              </w:rPr>
            </w:pPr>
          </w:p>
        </w:tc>
        <w:tc>
          <w:tcPr>
            <w:tcW w:w="1680" w:type="dxa"/>
            <w:shd w:val="clear" w:color="auto" w:fill="92CC63" w:themeFill="accent4" w:themeFillTint="99"/>
          </w:tcPr>
          <w:p w14:paraId="50129380" w14:textId="77777777" w:rsidR="00BE67AB" w:rsidRDefault="00BE67AB" w:rsidP="00AC00E3">
            <w:pPr>
              <w:keepNext/>
              <w:spacing w:before="60" w:after="32" w:line="259" w:lineRule="auto"/>
              <w:rPr>
                <w:b/>
                <w:bCs/>
                <w:sz w:val="22"/>
                <w:szCs w:val="22"/>
              </w:rPr>
            </w:pPr>
            <w:r>
              <w:rPr>
                <w:b/>
                <w:bCs/>
                <w:sz w:val="22"/>
                <w:szCs w:val="22"/>
              </w:rPr>
              <w:t xml:space="preserve">FTE’s (actual) as at 30/09/20 </w:t>
            </w:r>
          </w:p>
        </w:tc>
        <w:tc>
          <w:tcPr>
            <w:tcW w:w="1276" w:type="dxa"/>
            <w:shd w:val="clear" w:color="auto" w:fill="92CC63" w:themeFill="accent4" w:themeFillTint="99"/>
          </w:tcPr>
          <w:p w14:paraId="73B17A33" w14:textId="77777777" w:rsidR="00BE67AB" w:rsidRPr="00061335" w:rsidRDefault="00BE67AB" w:rsidP="00AC00E3">
            <w:pPr>
              <w:keepNext/>
              <w:spacing w:before="60" w:after="32" w:line="259" w:lineRule="auto"/>
              <w:jc w:val="center"/>
              <w:rPr>
                <w:bCs/>
                <w:sz w:val="22"/>
                <w:szCs w:val="22"/>
              </w:rPr>
            </w:pPr>
            <w:r>
              <w:rPr>
                <w:b/>
                <w:bCs/>
                <w:sz w:val="22"/>
                <w:szCs w:val="22"/>
              </w:rPr>
              <w:t>Previous quarter</w:t>
            </w:r>
          </w:p>
        </w:tc>
      </w:tr>
      <w:tr w:rsidR="00BE67AB" w:rsidRPr="00D45D71" w14:paraId="0F845574" w14:textId="77777777" w:rsidTr="00AC00E3">
        <w:tc>
          <w:tcPr>
            <w:tcW w:w="3716" w:type="dxa"/>
          </w:tcPr>
          <w:p w14:paraId="66232D67" w14:textId="77777777" w:rsidR="00BE67AB" w:rsidRPr="001B71EA" w:rsidRDefault="00BE67AB" w:rsidP="00AC00E3">
            <w:pPr>
              <w:keepNext/>
              <w:spacing w:before="60" w:after="32" w:line="259" w:lineRule="auto"/>
              <w:rPr>
                <w:bCs/>
                <w:sz w:val="22"/>
                <w:szCs w:val="22"/>
              </w:rPr>
            </w:pPr>
            <w:r>
              <w:rPr>
                <w:bCs/>
                <w:sz w:val="22"/>
                <w:szCs w:val="22"/>
              </w:rPr>
              <w:t xml:space="preserve">2020/21 Resource Plan  </w:t>
            </w:r>
          </w:p>
        </w:tc>
        <w:tc>
          <w:tcPr>
            <w:tcW w:w="2112" w:type="dxa"/>
          </w:tcPr>
          <w:p w14:paraId="6E91ADA5" w14:textId="77777777" w:rsidR="00BE67AB" w:rsidRPr="00061335" w:rsidRDefault="00BE67AB" w:rsidP="00AC00E3">
            <w:pPr>
              <w:keepNext/>
              <w:spacing w:before="60" w:after="32" w:line="259" w:lineRule="auto"/>
              <w:rPr>
                <w:bCs/>
                <w:sz w:val="22"/>
                <w:szCs w:val="22"/>
              </w:rPr>
            </w:pPr>
            <w:r>
              <w:rPr>
                <w:bCs/>
                <w:sz w:val="22"/>
                <w:szCs w:val="22"/>
              </w:rPr>
              <w:t>244*</w:t>
            </w:r>
          </w:p>
        </w:tc>
        <w:tc>
          <w:tcPr>
            <w:tcW w:w="1680" w:type="dxa"/>
          </w:tcPr>
          <w:p w14:paraId="65BF7BFD" w14:textId="77777777" w:rsidR="00BE67AB" w:rsidRDefault="00BE67AB" w:rsidP="00AC00E3">
            <w:pPr>
              <w:keepNext/>
              <w:spacing w:before="60" w:after="32" w:line="259" w:lineRule="auto"/>
              <w:jc w:val="center"/>
              <w:rPr>
                <w:bCs/>
              </w:rPr>
            </w:pPr>
            <w:r>
              <w:rPr>
                <w:bCs/>
              </w:rPr>
              <w:t>141.3</w:t>
            </w:r>
          </w:p>
        </w:tc>
        <w:tc>
          <w:tcPr>
            <w:tcW w:w="1276" w:type="dxa"/>
          </w:tcPr>
          <w:p w14:paraId="7E048C39" w14:textId="77777777" w:rsidR="00BE67AB" w:rsidRPr="002D3AFF" w:rsidRDefault="00BE67AB" w:rsidP="00AC00E3">
            <w:pPr>
              <w:keepNext/>
              <w:spacing w:before="60" w:after="32" w:line="259" w:lineRule="auto"/>
              <w:jc w:val="center"/>
              <w:rPr>
                <w:bCs/>
                <w:sz w:val="22"/>
                <w:szCs w:val="22"/>
              </w:rPr>
            </w:pPr>
            <w:r>
              <w:rPr>
                <w:bCs/>
                <w:sz w:val="22"/>
                <w:szCs w:val="22"/>
              </w:rPr>
              <w:t>N/A</w:t>
            </w:r>
          </w:p>
        </w:tc>
      </w:tr>
      <w:tr w:rsidR="00BE67AB" w:rsidRPr="00D45D71" w14:paraId="3B89BE08" w14:textId="77777777" w:rsidTr="00AC00E3">
        <w:tc>
          <w:tcPr>
            <w:tcW w:w="8784" w:type="dxa"/>
            <w:gridSpan w:val="4"/>
            <w:tcBorders>
              <w:bottom w:val="single" w:sz="4" w:space="0" w:color="auto"/>
            </w:tcBorders>
          </w:tcPr>
          <w:p w14:paraId="62CF0899" w14:textId="77777777" w:rsidR="00BE67AB" w:rsidRDefault="00BE67AB" w:rsidP="00AC00E3">
            <w:pPr>
              <w:keepNext/>
              <w:spacing w:before="60" w:after="32" w:line="259" w:lineRule="auto"/>
              <w:rPr>
                <w:bCs/>
                <w:sz w:val="22"/>
                <w:szCs w:val="22"/>
              </w:rPr>
            </w:pPr>
            <w:r w:rsidRPr="0014162F">
              <w:rPr>
                <w:sz w:val="22"/>
                <w:szCs w:val="22"/>
              </w:rPr>
              <w:t>Comments: We are on track to achieve the overall resource plan target by June 2021, 25 people started in this quarter and we have recently completed recruitment rounds for a further 36 people who will start in October and November</w:t>
            </w:r>
            <w:r>
              <w:t xml:space="preserve">. </w:t>
            </w:r>
            <w:r w:rsidRPr="007419B6">
              <w:rPr>
                <w:sz w:val="22"/>
                <w:szCs w:val="22"/>
              </w:rPr>
              <w:t>Recruitment in the latter half of the year will be subject to budget decisions.</w:t>
            </w:r>
            <w:r>
              <w:t xml:space="preserve"> </w:t>
            </w:r>
          </w:p>
        </w:tc>
      </w:tr>
      <w:tr w:rsidR="00BE67AB" w:rsidRPr="00D45D71" w14:paraId="38A8AD5A" w14:textId="77777777" w:rsidTr="00AC00E3">
        <w:tc>
          <w:tcPr>
            <w:tcW w:w="8784" w:type="dxa"/>
            <w:gridSpan w:val="4"/>
            <w:tcBorders>
              <w:left w:val="nil"/>
              <w:bottom w:val="nil"/>
              <w:right w:val="nil"/>
            </w:tcBorders>
          </w:tcPr>
          <w:p w14:paraId="2E4C1AB0" w14:textId="77777777" w:rsidR="00BE67AB" w:rsidRDefault="00BE67AB" w:rsidP="00AC00E3">
            <w:pPr>
              <w:keepNext/>
              <w:spacing w:before="60" w:after="32" w:line="259" w:lineRule="auto"/>
              <w:rPr>
                <w:bCs/>
                <w:sz w:val="22"/>
                <w:szCs w:val="22"/>
              </w:rPr>
            </w:pPr>
            <w:r>
              <w:rPr>
                <w:sz w:val="18"/>
                <w:szCs w:val="18"/>
              </w:rPr>
              <w:t xml:space="preserve">* </w:t>
            </w:r>
            <w:r w:rsidRPr="00200A79">
              <w:rPr>
                <w:sz w:val="18"/>
                <w:szCs w:val="18"/>
              </w:rPr>
              <w:t>Expected number of FTE’s in place by 30 June 2021</w:t>
            </w:r>
          </w:p>
        </w:tc>
      </w:tr>
    </w:tbl>
    <w:p w14:paraId="3A0F2040" w14:textId="77777777" w:rsidR="00BE67AB" w:rsidRDefault="00BE67AB" w:rsidP="00BE67AB">
      <w:pPr>
        <w:pStyle w:val="Heading4"/>
      </w:pPr>
      <w:bookmarkStart w:id="8" w:name="_Hlk46816182"/>
      <w:bookmarkEnd w:id="7"/>
      <w:r w:rsidRPr="0029224C">
        <w:t>Records</w:t>
      </w:r>
      <w:r>
        <w:t xml:space="preserve">  </w:t>
      </w:r>
      <w:bookmarkEnd w:id="6"/>
      <w:bookmarkEnd w:id="8"/>
    </w:p>
    <w:p w14:paraId="715506D2" w14:textId="77777777" w:rsidR="00BE67AB" w:rsidRDefault="00BE67AB" w:rsidP="00BE67AB">
      <w:r>
        <w:t>As a</w:t>
      </w:r>
      <w:r w:rsidRPr="001C58C1">
        <w:t xml:space="preserve"> public office under the Public R</w:t>
      </w:r>
      <w:r>
        <w:t>ecords Act 2005, t</w:t>
      </w:r>
      <w:r w:rsidRPr="001C58C1">
        <w:t>he Ro</w:t>
      </w:r>
      <w:r>
        <w:t>yal</w:t>
      </w:r>
      <w:r w:rsidRPr="001C58C1">
        <w:t xml:space="preserve"> Commission </w:t>
      </w:r>
      <w:r>
        <w:t xml:space="preserve">must take reasonable steps to ensure its records are kept and transferred in an efficient and timely manner from the Royal Commission to the Department </w:t>
      </w:r>
      <w:proofErr w:type="gramStart"/>
      <w:r>
        <w:t>at the conclusion of</w:t>
      </w:r>
      <w:proofErr w:type="gramEnd"/>
      <w:r>
        <w:t xml:space="preserve"> the Inquiry. </w:t>
      </w:r>
    </w:p>
    <w:p w14:paraId="65F3A2BE" w14:textId="77777777" w:rsidR="00BE67AB" w:rsidRDefault="00BE67AB" w:rsidP="00BE67AB">
      <w:r>
        <w:t>This includes providing suitable documentation to accompany these records at transfer to ensure that the Department can comply with its obligations under the Official Information Act 1982 and the Public Records Act 2005 once the Royal Commission is closed.</w:t>
      </w:r>
    </w:p>
    <w:tbl>
      <w:tblPr>
        <w:tblStyle w:val="DIATable"/>
        <w:tblW w:w="8808"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14"/>
        <w:gridCol w:w="1418"/>
        <w:gridCol w:w="1276"/>
      </w:tblGrid>
      <w:tr w:rsidR="00BE67AB" w:rsidRPr="00C4201F" w14:paraId="7ADE2D51" w14:textId="77777777" w:rsidTr="00AC00E3">
        <w:trPr>
          <w:cnfStyle w:val="100000000000" w:firstRow="1" w:lastRow="0" w:firstColumn="0" w:lastColumn="0" w:oddVBand="0" w:evenVBand="0" w:oddHBand="0" w:evenHBand="0" w:firstRowFirstColumn="0" w:firstRowLastColumn="0" w:lastRowFirstColumn="0" w:lastRowLastColumn="0"/>
        </w:trPr>
        <w:tc>
          <w:tcPr>
            <w:tcW w:w="6114" w:type="dxa"/>
            <w:shd w:val="clear" w:color="auto" w:fill="92D050"/>
          </w:tcPr>
          <w:p w14:paraId="4EB747FC" w14:textId="77777777" w:rsidR="00BE67AB" w:rsidRPr="00C4201F" w:rsidRDefault="00BE67AB" w:rsidP="00AC00E3">
            <w:pPr>
              <w:spacing w:line="259" w:lineRule="auto"/>
              <w:rPr>
                <w:bCs/>
                <w:color w:val="auto"/>
                <w:szCs w:val="22"/>
              </w:rPr>
            </w:pPr>
            <w:r w:rsidRPr="00C4201F">
              <w:rPr>
                <w:bCs/>
                <w:color w:val="auto"/>
                <w:szCs w:val="22"/>
              </w:rPr>
              <w:t xml:space="preserve">How we will monitor our performance </w:t>
            </w:r>
          </w:p>
        </w:tc>
        <w:tc>
          <w:tcPr>
            <w:tcW w:w="1418" w:type="dxa"/>
            <w:shd w:val="clear" w:color="auto" w:fill="92D050"/>
          </w:tcPr>
          <w:p w14:paraId="68517D24" w14:textId="77777777" w:rsidR="00BE67AB" w:rsidRPr="00C4201F" w:rsidRDefault="00BE67AB" w:rsidP="00AC00E3">
            <w:pPr>
              <w:spacing w:line="259" w:lineRule="auto"/>
              <w:rPr>
                <w:bCs/>
                <w:color w:val="auto"/>
                <w:szCs w:val="22"/>
              </w:rPr>
            </w:pPr>
            <w:r w:rsidRPr="00C4201F">
              <w:rPr>
                <w:bCs/>
                <w:color w:val="auto"/>
                <w:szCs w:val="22"/>
              </w:rPr>
              <w:t>Target 20/21</w:t>
            </w:r>
          </w:p>
        </w:tc>
        <w:tc>
          <w:tcPr>
            <w:tcW w:w="1276" w:type="dxa"/>
            <w:shd w:val="clear" w:color="auto" w:fill="92D050"/>
          </w:tcPr>
          <w:p w14:paraId="193AABD1" w14:textId="77777777" w:rsidR="00BE67AB" w:rsidRPr="00C4201F" w:rsidRDefault="00BE67AB" w:rsidP="00AC00E3">
            <w:pPr>
              <w:spacing w:line="259" w:lineRule="auto"/>
              <w:rPr>
                <w:bCs/>
                <w:color w:val="auto"/>
                <w:szCs w:val="22"/>
              </w:rPr>
            </w:pPr>
            <w:r w:rsidRPr="00C4201F">
              <w:rPr>
                <w:bCs/>
                <w:color w:val="auto"/>
                <w:szCs w:val="22"/>
              </w:rPr>
              <w:t xml:space="preserve">Actual </w:t>
            </w:r>
          </w:p>
        </w:tc>
      </w:tr>
      <w:tr w:rsidR="00BE67AB" w14:paraId="4F96B66E" w14:textId="77777777" w:rsidTr="00AC00E3">
        <w:tc>
          <w:tcPr>
            <w:tcW w:w="6114" w:type="dxa"/>
          </w:tcPr>
          <w:p w14:paraId="387D65B3" w14:textId="77777777" w:rsidR="00BE67AB" w:rsidRPr="00061335" w:rsidRDefault="00BE67AB" w:rsidP="00AC00E3">
            <w:pPr>
              <w:shd w:val="clear" w:color="auto" w:fill="FFFFFF" w:themeFill="background1"/>
              <w:contextualSpacing/>
              <w:rPr>
                <w:szCs w:val="22"/>
              </w:rPr>
            </w:pPr>
            <w:r w:rsidRPr="00061335">
              <w:rPr>
                <w:szCs w:val="22"/>
              </w:rPr>
              <w:t xml:space="preserve">Royal Commission will comply with any records audit processes                         </w:t>
            </w:r>
          </w:p>
          <w:p w14:paraId="3DB365CF" w14:textId="77777777" w:rsidR="00BE67AB" w:rsidRDefault="00BE67AB" w:rsidP="00AC00E3">
            <w:r w:rsidRPr="00061335">
              <w:rPr>
                <w:szCs w:val="22"/>
              </w:rPr>
              <w:t xml:space="preserve">requested by the Department for all records held by the Royal Commission     </w:t>
            </w:r>
          </w:p>
        </w:tc>
        <w:tc>
          <w:tcPr>
            <w:tcW w:w="1418" w:type="dxa"/>
          </w:tcPr>
          <w:p w14:paraId="2655919D" w14:textId="77777777" w:rsidR="00BE67AB" w:rsidRDefault="00BE67AB" w:rsidP="00AC00E3">
            <w:r>
              <w:t>100%</w:t>
            </w:r>
          </w:p>
        </w:tc>
        <w:tc>
          <w:tcPr>
            <w:tcW w:w="1276" w:type="dxa"/>
            <w:tcBorders>
              <w:bottom w:val="single" w:sz="6" w:space="0" w:color="auto"/>
            </w:tcBorders>
          </w:tcPr>
          <w:p w14:paraId="3BBFFE97" w14:textId="77777777" w:rsidR="00BE67AB" w:rsidRDefault="00BE67AB" w:rsidP="00AC00E3">
            <w:r>
              <w:t>N/A</w:t>
            </w:r>
          </w:p>
        </w:tc>
      </w:tr>
      <w:tr w:rsidR="00BE67AB" w14:paraId="1189234D" w14:textId="77777777" w:rsidTr="00AC00E3">
        <w:tc>
          <w:tcPr>
            <w:tcW w:w="7532" w:type="dxa"/>
            <w:gridSpan w:val="2"/>
          </w:tcPr>
          <w:p w14:paraId="63E1700D" w14:textId="77777777" w:rsidR="00BE67AB" w:rsidRDefault="00BE67AB" w:rsidP="00AC00E3">
            <w:r>
              <w:t xml:space="preserve">Comments: The Commission completed the Archives New Zealand Survey of Public Sector Information Management 2019/20. </w:t>
            </w:r>
          </w:p>
        </w:tc>
        <w:tc>
          <w:tcPr>
            <w:tcW w:w="1276" w:type="dxa"/>
            <w:tcBorders>
              <w:top w:val="single" w:sz="6" w:space="0" w:color="auto"/>
              <w:bottom w:val="nil"/>
              <w:right w:val="nil"/>
            </w:tcBorders>
          </w:tcPr>
          <w:p w14:paraId="5A94979C" w14:textId="77777777" w:rsidR="00BE67AB" w:rsidRDefault="00BE67AB" w:rsidP="00AC00E3"/>
        </w:tc>
      </w:tr>
    </w:tbl>
    <w:p w14:paraId="551BFC77" w14:textId="77777777" w:rsidR="00BE67AB" w:rsidRDefault="00BE67AB" w:rsidP="00BE67AB">
      <w:pPr>
        <w:pStyle w:val="Heading4"/>
      </w:pPr>
      <w:r>
        <w:lastRenderedPageBreak/>
        <w:t xml:space="preserve">Royal Commission policies and procedures </w:t>
      </w:r>
    </w:p>
    <w:p w14:paraId="2DB1439D" w14:textId="77777777" w:rsidR="00BE67AB" w:rsidRPr="005122CD" w:rsidRDefault="00BE67AB" w:rsidP="00BE67AB">
      <w:pPr>
        <w:pStyle w:val="NormalWeb"/>
        <w:rPr>
          <w:rFonts w:ascii="Calibri" w:eastAsia="Times New Roman" w:hAnsi="Calibri" w:cs="Calibri"/>
          <w:lang w:eastAsia="en-NZ"/>
        </w:rPr>
      </w:pPr>
      <w:r w:rsidRPr="00386FB6">
        <w:rPr>
          <w:rFonts w:ascii="Calibri" w:hAnsi="Calibri" w:cs="Calibri"/>
        </w:rPr>
        <w:t xml:space="preserve">Under its Terms of Reference, the Royal Commission is required to implement clear policies and methods of work. </w:t>
      </w:r>
      <w:r w:rsidRPr="00386FB6">
        <w:rPr>
          <w:rFonts w:ascii="Calibri" w:eastAsia="Times New Roman" w:hAnsi="Calibri" w:cs="Calibri"/>
          <w:lang w:eastAsia="en-NZ"/>
        </w:rPr>
        <w:t xml:space="preserve">While public service and departmental standards and policies apply by default, the Royal Commission </w:t>
      </w:r>
      <w:proofErr w:type="gramStart"/>
      <w:r w:rsidRPr="00386FB6">
        <w:rPr>
          <w:rFonts w:ascii="Calibri" w:eastAsia="Times New Roman" w:hAnsi="Calibri" w:cs="Calibri"/>
          <w:lang w:eastAsia="en-NZ"/>
        </w:rPr>
        <w:t>has the</w:t>
      </w:r>
      <w:r>
        <w:rPr>
          <w:rFonts w:ascii="Calibri" w:eastAsia="Times New Roman" w:hAnsi="Calibri" w:cs="Calibri"/>
          <w:lang w:eastAsia="en-NZ"/>
        </w:rPr>
        <w:t xml:space="preserve"> </w:t>
      </w:r>
      <w:r w:rsidRPr="00386FB6">
        <w:rPr>
          <w:rFonts w:ascii="Calibri" w:eastAsia="Times New Roman" w:hAnsi="Calibri" w:cs="Calibri"/>
          <w:lang w:eastAsia="en-NZ"/>
        </w:rPr>
        <w:t>ability to</w:t>
      </w:r>
      <w:proofErr w:type="gramEnd"/>
      <w:r w:rsidRPr="00386FB6">
        <w:rPr>
          <w:rFonts w:ascii="Calibri" w:eastAsia="Times New Roman" w:hAnsi="Calibri" w:cs="Calibri"/>
          <w:lang w:eastAsia="en-NZ"/>
        </w:rPr>
        <w:t xml:space="preserve"> develop bespoke policies and procedures to fit their unique circumstances.</w:t>
      </w:r>
      <w:r>
        <w:rPr>
          <w:rFonts w:ascii="Calibri" w:eastAsia="Times New Roman" w:hAnsi="Calibri" w:cs="Calibri"/>
          <w:lang w:eastAsia="en-NZ"/>
        </w:rPr>
        <w:t xml:space="preserve"> There may be instances where the Royal Commission departs from public service and departmental policies after due consideration and advice from the Department. These instances and the associated risk will be recorded.</w:t>
      </w:r>
    </w:p>
    <w:tbl>
      <w:tblPr>
        <w:tblStyle w:val="TableGrid"/>
        <w:tblW w:w="8784" w:type="dxa"/>
        <w:tblLook w:val="04A0" w:firstRow="1" w:lastRow="0" w:firstColumn="1" w:lastColumn="0" w:noHBand="0" w:noVBand="1"/>
      </w:tblPr>
      <w:tblGrid>
        <w:gridCol w:w="4531"/>
        <w:gridCol w:w="1560"/>
        <w:gridCol w:w="1421"/>
        <w:gridCol w:w="1272"/>
      </w:tblGrid>
      <w:tr w:rsidR="00BE67AB" w:rsidRPr="00D45D71" w14:paraId="4796A801" w14:textId="77777777" w:rsidTr="00D45FC3">
        <w:tc>
          <w:tcPr>
            <w:tcW w:w="4531" w:type="dxa"/>
            <w:shd w:val="clear" w:color="auto" w:fill="92CC63" w:themeFill="accent4" w:themeFillTint="99"/>
          </w:tcPr>
          <w:p w14:paraId="047BA479" w14:textId="77777777" w:rsidR="00BE67AB" w:rsidRPr="00061335" w:rsidRDefault="00BE67AB" w:rsidP="00AC00E3">
            <w:pPr>
              <w:keepNext/>
              <w:spacing w:before="60" w:after="32" w:line="259" w:lineRule="auto"/>
              <w:rPr>
                <w:bCs/>
                <w:sz w:val="22"/>
                <w:szCs w:val="22"/>
              </w:rPr>
            </w:pPr>
            <w:r w:rsidRPr="00061335">
              <w:rPr>
                <w:b/>
                <w:bCs/>
                <w:sz w:val="22"/>
                <w:szCs w:val="22"/>
              </w:rPr>
              <w:t xml:space="preserve">How we will monitor our performance </w:t>
            </w:r>
            <w:r w:rsidRPr="00061335">
              <w:rPr>
                <w:b/>
                <w:bCs/>
                <w:sz w:val="22"/>
                <w:szCs w:val="22"/>
              </w:rPr>
              <w:tab/>
            </w:r>
          </w:p>
        </w:tc>
        <w:tc>
          <w:tcPr>
            <w:tcW w:w="1560" w:type="dxa"/>
            <w:shd w:val="clear" w:color="auto" w:fill="92CC63" w:themeFill="accent4" w:themeFillTint="99"/>
          </w:tcPr>
          <w:p w14:paraId="16615F8C" w14:textId="77777777" w:rsidR="00BE67AB" w:rsidRPr="00061335" w:rsidRDefault="00BE67AB" w:rsidP="00AC00E3">
            <w:pPr>
              <w:keepNext/>
              <w:spacing w:before="60" w:after="32" w:line="259" w:lineRule="auto"/>
              <w:rPr>
                <w:bCs/>
                <w:sz w:val="22"/>
                <w:szCs w:val="22"/>
              </w:rPr>
            </w:pPr>
            <w:r w:rsidRPr="00061335">
              <w:rPr>
                <w:b/>
                <w:bCs/>
                <w:sz w:val="22"/>
                <w:szCs w:val="22"/>
              </w:rPr>
              <w:t>Target 20/21</w:t>
            </w:r>
          </w:p>
        </w:tc>
        <w:tc>
          <w:tcPr>
            <w:tcW w:w="1421" w:type="dxa"/>
            <w:shd w:val="clear" w:color="auto" w:fill="92CC63" w:themeFill="accent4" w:themeFillTint="99"/>
          </w:tcPr>
          <w:p w14:paraId="309B2A11" w14:textId="77777777" w:rsidR="00BE67AB" w:rsidRPr="00061335" w:rsidRDefault="00BE67AB" w:rsidP="00AC00E3">
            <w:pPr>
              <w:keepNext/>
              <w:spacing w:before="60" w:after="32" w:line="259" w:lineRule="auto"/>
              <w:jc w:val="both"/>
              <w:rPr>
                <w:bCs/>
                <w:sz w:val="22"/>
                <w:szCs w:val="22"/>
              </w:rPr>
            </w:pPr>
            <w:r>
              <w:rPr>
                <w:b/>
                <w:bCs/>
                <w:sz w:val="22"/>
                <w:szCs w:val="22"/>
              </w:rPr>
              <w:t>Quarter ended 30/09/2020</w:t>
            </w:r>
          </w:p>
        </w:tc>
        <w:tc>
          <w:tcPr>
            <w:tcW w:w="1272" w:type="dxa"/>
            <w:tcBorders>
              <w:bottom w:val="single" w:sz="4" w:space="0" w:color="auto"/>
            </w:tcBorders>
            <w:shd w:val="clear" w:color="auto" w:fill="92CC63" w:themeFill="accent4" w:themeFillTint="99"/>
          </w:tcPr>
          <w:p w14:paraId="4BA9AE75" w14:textId="77777777" w:rsidR="00BE67AB" w:rsidRPr="00061335" w:rsidRDefault="00BE67AB" w:rsidP="00AC00E3">
            <w:pPr>
              <w:keepNext/>
              <w:spacing w:before="60" w:after="32" w:line="259" w:lineRule="auto"/>
              <w:jc w:val="center"/>
              <w:rPr>
                <w:bCs/>
                <w:sz w:val="22"/>
                <w:szCs w:val="22"/>
              </w:rPr>
            </w:pPr>
            <w:r>
              <w:rPr>
                <w:b/>
                <w:bCs/>
                <w:sz w:val="22"/>
                <w:szCs w:val="22"/>
              </w:rPr>
              <w:t>Previous quarter</w:t>
            </w:r>
          </w:p>
        </w:tc>
      </w:tr>
      <w:tr w:rsidR="00BE67AB" w:rsidRPr="00D45D71" w14:paraId="178111B4" w14:textId="77777777" w:rsidTr="00D45FC3">
        <w:tc>
          <w:tcPr>
            <w:tcW w:w="4531" w:type="dxa"/>
          </w:tcPr>
          <w:p w14:paraId="79B7FE9C" w14:textId="77777777" w:rsidR="00BE67AB" w:rsidRPr="00C4201F" w:rsidRDefault="00BE67AB" w:rsidP="00AC00E3">
            <w:pPr>
              <w:keepNext/>
              <w:spacing w:before="60" w:after="32" w:line="259" w:lineRule="auto"/>
              <w:rPr>
                <w:bCs/>
                <w:sz w:val="22"/>
                <w:szCs w:val="22"/>
              </w:rPr>
            </w:pPr>
            <w:r w:rsidRPr="00C4201F">
              <w:rPr>
                <w:rFonts w:eastAsia="Times New Roman" w:cs="Calibri"/>
                <w:sz w:val="22"/>
                <w:szCs w:val="22"/>
                <w:lang w:eastAsia="en-NZ"/>
              </w:rPr>
              <w:t>Number of instances of departure from public service and departmental policies</w:t>
            </w:r>
          </w:p>
        </w:tc>
        <w:tc>
          <w:tcPr>
            <w:tcW w:w="1560" w:type="dxa"/>
          </w:tcPr>
          <w:p w14:paraId="22AF951E" w14:textId="77777777" w:rsidR="00BE67AB" w:rsidRPr="00061335" w:rsidRDefault="00BE67AB" w:rsidP="00AC00E3">
            <w:pPr>
              <w:keepNext/>
              <w:spacing w:before="60" w:after="32" w:line="259" w:lineRule="auto"/>
              <w:rPr>
                <w:bCs/>
                <w:sz w:val="22"/>
                <w:szCs w:val="22"/>
              </w:rPr>
            </w:pPr>
            <w:r w:rsidRPr="005122CD">
              <w:rPr>
                <w:bCs/>
                <w:sz w:val="22"/>
                <w:szCs w:val="22"/>
              </w:rPr>
              <w:t>Not applicable</w:t>
            </w:r>
          </w:p>
        </w:tc>
        <w:tc>
          <w:tcPr>
            <w:tcW w:w="1421" w:type="dxa"/>
          </w:tcPr>
          <w:p w14:paraId="44F86FD9" w14:textId="77777777" w:rsidR="00BE67AB" w:rsidRPr="002D7B49" w:rsidRDefault="00BE67AB" w:rsidP="00AC00E3">
            <w:pPr>
              <w:keepNext/>
              <w:spacing w:before="60" w:after="32" w:line="259" w:lineRule="auto"/>
              <w:jc w:val="center"/>
              <w:rPr>
                <w:bCs/>
              </w:rPr>
            </w:pPr>
            <w:r>
              <w:rPr>
                <w:bCs/>
              </w:rPr>
              <w:t>1</w:t>
            </w:r>
          </w:p>
        </w:tc>
        <w:tc>
          <w:tcPr>
            <w:tcW w:w="1272" w:type="dxa"/>
            <w:tcBorders>
              <w:bottom w:val="single" w:sz="4" w:space="0" w:color="auto"/>
            </w:tcBorders>
          </w:tcPr>
          <w:p w14:paraId="09E7AA68" w14:textId="77777777" w:rsidR="00BE67AB" w:rsidRPr="002D3AFF" w:rsidRDefault="00BE67AB" w:rsidP="00AC00E3">
            <w:pPr>
              <w:keepNext/>
              <w:spacing w:before="60" w:after="32" w:line="259" w:lineRule="auto"/>
              <w:jc w:val="center"/>
              <w:rPr>
                <w:bCs/>
                <w:sz w:val="22"/>
                <w:szCs w:val="22"/>
              </w:rPr>
            </w:pPr>
            <w:r>
              <w:rPr>
                <w:bCs/>
                <w:sz w:val="22"/>
                <w:szCs w:val="22"/>
              </w:rPr>
              <w:t>N/A</w:t>
            </w:r>
          </w:p>
        </w:tc>
      </w:tr>
      <w:tr w:rsidR="00BE67AB" w:rsidRPr="00D45D71" w14:paraId="1786F554" w14:textId="77777777" w:rsidTr="00D45FC3">
        <w:tc>
          <w:tcPr>
            <w:tcW w:w="7512" w:type="dxa"/>
            <w:gridSpan w:val="3"/>
          </w:tcPr>
          <w:p w14:paraId="4D90E987" w14:textId="77777777" w:rsidR="00BE67AB" w:rsidRDefault="00BE67AB" w:rsidP="00AC00E3">
            <w:pPr>
              <w:spacing w:before="56" w:after="32" w:line="240" w:lineRule="auto"/>
              <w:rPr>
                <w:bCs/>
              </w:rPr>
            </w:pPr>
            <w:r>
              <w:rPr>
                <w:sz w:val="22"/>
                <w:szCs w:val="22"/>
              </w:rPr>
              <w:t xml:space="preserve">Comments: This direct source engagement of a consultant was a departure from procurement policies. In addition, the contract for was finalised retrospectively which is also contrary to procurement policies.  Consideration was given to approaching the All of Government Panel, but the consultant was identified as having specialised knowledge and relevant experience of the Inquiry that would not be able to be sourced through a secondary selection process through a panel. </w:t>
            </w:r>
          </w:p>
        </w:tc>
        <w:tc>
          <w:tcPr>
            <w:tcW w:w="1272" w:type="dxa"/>
            <w:tcBorders>
              <w:bottom w:val="nil"/>
              <w:right w:val="nil"/>
            </w:tcBorders>
          </w:tcPr>
          <w:p w14:paraId="4B5BB04A" w14:textId="77777777" w:rsidR="00BE67AB" w:rsidRDefault="00BE67AB" w:rsidP="00AC00E3">
            <w:pPr>
              <w:keepNext/>
              <w:spacing w:before="60" w:after="32" w:line="259" w:lineRule="auto"/>
              <w:jc w:val="center"/>
              <w:rPr>
                <w:bCs/>
                <w:sz w:val="22"/>
                <w:szCs w:val="22"/>
              </w:rPr>
            </w:pPr>
          </w:p>
        </w:tc>
      </w:tr>
    </w:tbl>
    <w:p w14:paraId="2F7E6751" w14:textId="77777777" w:rsidR="00BE67AB" w:rsidRDefault="00BE67AB" w:rsidP="00BE67AB">
      <w:pPr>
        <w:pStyle w:val="Heading4"/>
      </w:pPr>
      <w:r>
        <w:t xml:space="preserve">An organisation fostering a culture of respect and inclusion </w:t>
      </w:r>
    </w:p>
    <w:p w14:paraId="1F4E5310" w14:textId="77777777" w:rsidR="00BE67AB" w:rsidRDefault="00BE67AB" w:rsidP="00BE67AB">
      <w:r w:rsidRPr="000A3C7F">
        <w:t>We aim to be an organisation that fosters a culture of respect and inclusion and reflects and understands our communities and their needs. We aim to be an organisation where everyone feels respected and included regardless of gender, ethnicity, age, sexual orientation</w:t>
      </w:r>
      <w:r>
        <w:t>, the extent of disability</w:t>
      </w:r>
      <w:r w:rsidRPr="000A3C7F">
        <w:t xml:space="preserve"> and religious beliefs.</w:t>
      </w:r>
    </w:p>
    <w:tbl>
      <w:tblPr>
        <w:tblStyle w:val="DIATable"/>
        <w:tblW w:w="87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37"/>
        <w:gridCol w:w="1541"/>
        <w:gridCol w:w="7"/>
        <w:gridCol w:w="1004"/>
      </w:tblGrid>
      <w:tr w:rsidR="00BE67AB" w14:paraId="71FCB4C9" w14:textId="77777777" w:rsidTr="00D45FC3">
        <w:trPr>
          <w:cnfStyle w:val="100000000000" w:firstRow="1" w:lastRow="0" w:firstColumn="0" w:lastColumn="0" w:oddVBand="0" w:evenVBand="0" w:oddHBand="0" w:evenHBand="0" w:firstRowFirstColumn="0" w:firstRowLastColumn="0" w:lastRowFirstColumn="0" w:lastRowLastColumn="0"/>
        </w:trPr>
        <w:tc>
          <w:tcPr>
            <w:tcW w:w="62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1AD54EFA" w14:textId="77777777" w:rsidR="00BE67AB" w:rsidRPr="00C4201F" w:rsidRDefault="00BE67AB" w:rsidP="00AC00E3">
            <w:pPr>
              <w:spacing w:line="259" w:lineRule="auto"/>
              <w:rPr>
                <w:bCs/>
                <w:color w:val="auto"/>
                <w:szCs w:val="22"/>
              </w:rPr>
            </w:pPr>
            <w:r w:rsidRPr="00C4201F">
              <w:rPr>
                <w:bCs/>
                <w:color w:val="auto"/>
                <w:szCs w:val="22"/>
              </w:rPr>
              <w:t xml:space="preserve">How we will monitor our performance </w:t>
            </w:r>
          </w:p>
        </w:tc>
        <w:tc>
          <w:tcPr>
            <w:tcW w:w="154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04438F36" w14:textId="77777777" w:rsidR="00BE67AB" w:rsidRPr="00C4201F" w:rsidRDefault="00BE67AB" w:rsidP="00AC00E3">
            <w:pPr>
              <w:spacing w:line="259" w:lineRule="auto"/>
              <w:rPr>
                <w:bCs/>
                <w:color w:val="auto"/>
                <w:szCs w:val="22"/>
              </w:rPr>
            </w:pPr>
            <w:r w:rsidRPr="00C4201F">
              <w:rPr>
                <w:bCs/>
                <w:color w:val="auto"/>
                <w:szCs w:val="22"/>
              </w:rPr>
              <w:t>Target 20/21</w:t>
            </w:r>
          </w:p>
        </w:tc>
        <w:tc>
          <w:tcPr>
            <w:tcW w:w="1011"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2ED9BB8C" w14:textId="77777777" w:rsidR="00BE67AB" w:rsidRPr="00C4201F" w:rsidRDefault="00BE67AB" w:rsidP="00AC00E3">
            <w:pPr>
              <w:spacing w:line="259" w:lineRule="auto"/>
              <w:rPr>
                <w:bCs/>
                <w:color w:val="auto"/>
                <w:szCs w:val="22"/>
              </w:rPr>
            </w:pPr>
            <w:r w:rsidRPr="00C4201F">
              <w:rPr>
                <w:bCs/>
                <w:color w:val="auto"/>
                <w:szCs w:val="22"/>
              </w:rPr>
              <w:t xml:space="preserve">Actual </w:t>
            </w:r>
          </w:p>
        </w:tc>
      </w:tr>
      <w:tr w:rsidR="00BE67AB" w14:paraId="368CE38B" w14:textId="77777777" w:rsidTr="00D45FC3">
        <w:tc>
          <w:tcPr>
            <w:tcW w:w="6237" w:type="dxa"/>
          </w:tcPr>
          <w:p w14:paraId="06B07570" w14:textId="77777777" w:rsidR="00BE67AB" w:rsidRPr="00061335" w:rsidRDefault="00BE67AB" w:rsidP="00AC00E3">
            <w:pPr>
              <w:shd w:val="clear" w:color="auto" w:fill="FFFFFF" w:themeFill="background1"/>
              <w:contextualSpacing/>
              <w:rPr>
                <w:szCs w:val="22"/>
              </w:rPr>
            </w:pPr>
            <w:r w:rsidRPr="00061335">
              <w:rPr>
                <w:szCs w:val="22"/>
              </w:rPr>
              <w:t>Staff report satisfaction with Royal Commission flexible</w:t>
            </w:r>
            <w:r>
              <w:rPr>
                <w:szCs w:val="22"/>
              </w:rPr>
              <w:t xml:space="preserve"> working                                  </w:t>
            </w:r>
          </w:p>
          <w:p w14:paraId="3A960B40" w14:textId="77777777" w:rsidR="00BE67AB" w:rsidRDefault="00BE67AB" w:rsidP="00AC00E3">
            <w:r w:rsidRPr="00061335">
              <w:rPr>
                <w:szCs w:val="22"/>
              </w:rPr>
              <w:t xml:space="preserve">processes and guidelines, survey bi-annually                                   </w:t>
            </w:r>
            <w:r>
              <w:rPr>
                <w:szCs w:val="22"/>
              </w:rPr>
              <w:t xml:space="preserve">       </w:t>
            </w:r>
          </w:p>
        </w:tc>
        <w:tc>
          <w:tcPr>
            <w:tcW w:w="1541" w:type="dxa"/>
          </w:tcPr>
          <w:p w14:paraId="293A6D9E" w14:textId="77777777" w:rsidR="00BE67AB" w:rsidRDefault="00BE67AB" w:rsidP="00AC00E3">
            <w:r>
              <w:t>90%</w:t>
            </w:r>
          </w:p>
        </w:tc>
        <w:tc>
          <w:tcPr>
            <w:tcW w:w="1011" w:type="dxa"/>
            <w:gridSpan w:val="2"/>
            <w:tcBorders>
              <w:bottom w:val="single" w:sz="6" w:space="0" w:color="auto"/>
            </w:tcBorders>
          </w:tcPr>
          <w:p w14:paraId="418C184C" w14:textId="77777777" w:rsidR="00BE67AB" w:rsidRDefault="00BE67AB" w:rsidP="00AC00E3">
            <w:r>
              <w:t>N/A</w:t>
            </w:r>
          </w:p>
        </w:tc>
      </w:tr>
      <w:tr w:rsidR="00BE67AB" w14:paraId="2439FE63" w14:textId="77777777" w:rsidTr="00D45FC3">
        <w:tc>
          <w:tcPr>
            <w:tcW w:w="7785" w:type="dxa"/>
            <w:gridSpan w:val="3"/>
          </w:tcPr>
          <w:p w14:paraId="56020D5B" w14:textId="77777777" w:rsidR="00BE67AB" w:rsidRDefault="00BE67AB" w:rsidP="00AC00E3">
            <w:r>
              <w:t>Comments: Flexible Working has been in place since May 2020.  Surveys to track staff satisfaction will be done every 6 months with the first ‘check in’ survey in November 2020.</w:t>
            </w:r>
          </w:p>
        </w:tc>
        <w:tc>
          <w:tcPr>
            <w:tcW w:w="1004" w:type="dxa"/>
            <w:tcBorders>
              <w:top w:val="single" w:sz="6" w:space="0" w:color="auto"/>
              <w:bottom w:val="nil"/>
              <w:right w:val="nil"/>
            </w:tcBorders>
          </w:tcPr>
          <w:p w14:paraId="27C74F4D" w14:textId="77777777" w:rsidR="00BE67AB" w:rsidRDefault="00BE67AB" w:rsidP="00AC00E3"/>
        </w:tc>
      </w:tr>
    </w:tbl>
    <w:p w14:paraId="5FE0E565" w14:textId="77777777" w:rsidR="00BE67AB" w:rsidRDefault="00BE67AB" w:rsidP="00BE67AB"/>
    <w:p w14:paraId="51CD2DD4" w14:textId="77777777" w:rsidR="00BE67AB" w:rsidRDefault="00BE67AB" w:rsidP="00BE67AB">
      <w:pPr>
        <w:pStyle w:val="Heading2"/>
      </w:pPr>
      <w:bookmarkStart w:id="9" w:name="_Toc47682413"/>
    </w:p>
    <w:p w14:paraId="47640B90" w14:textId="77777777" w:rsidR="00BE67AB" w:rsidRDefault="00BE67AB" w:rsidP="00BE67AB">
      <w:pPr>
        <w:keepLines w:val="0"/>
        <w:rPr>
          <w:rFonts w:cs="Arial"/>
          <w:b/>
          <w:bCs/>
          <w:iCs/>
          <w:color w:val="1F546B"/>
          <w:sz w:val="36"/>
          <w:szCs w:val="28"/>
        </w:rPr>
      </w:pPr>
      <w:r>
        <w:rPr>
          <w:rFonts w:cs="Arial"/>
          <w:b/>
          <w:bCs/>
          <w:iCs/>
          <w:color w:val="1F546B"/>
          <w:sz w:val="36"/>
          <w:szCs w:val="28"/>
        </w:rPr>
        <w:br w:type="page"/>
      </w:r>
    </w:p>
    <w:p w14:paraId="641C5C37" w14:textId="77777777" w:rsidR="00BE67AB" w:rsidRPr="00392D0F" w:rsidRDefault="00BE67AB" w:rsidP="006823E4">
      <w:pPr>
        <w:pStyle w:val="Heading1"/>
      </w:pPr>
      <w:bookmarkStart w:id="10" w:name="_Toc44662316"/>
      <w:bookmarkStart w:id="11" w:name="_Toc54193237"/>
      <w:bookmarkStart w:id="12" w:name="_Hlk48122613"/>
      <w:bookmarkEnd w:id="9"/>
      <w:r w:rsidRPr="00392D0F">
        <w:lastRenderedPageBreak/>
        <w:t>Financial statements</w:t>
      </w:r>
      <w:bookmarkEnd w:id="10"/>
      <w:bookmarkEnd w:id="11"/>
      <w:r w:rsidRPr="00392D0F">
        <w:t xml:space="preserve"> </w:t>
      </w:r>
    </w:p>
    <w:p w14:paraId="2F0AA012" w14:textId="77777777" w:rsidR="00BE67AB" w:rsidRPr="00522E85" w:rsidRDefault="00BE67AB" w:rsidP="00BE67AB">
      <w:pPr>
        <w:keepNext/>
        <w:spacing w:before="360" w:after="120"/>
        <w:contextualSpacing/>
        <w:outlineLvl w:val="3"/>
        <w:rPr>
          <w:b/>
          <w:bCs/>
          <w:i/>
          <w:color w:val="1F546B" w:themeColor="text2"/>
          <w:szCs w:val="28"/>
        </w:rPr>
      </w:pPr>
      <w:r w:rsidRPr="00522E85">
        <w:rPr>
          <w:b/>
          <w:bCs/>
          <w:i/>
          <w:color w:val="1F546B" w:themeColor="text2"/>
          <w:szCs w:val="28"/>
        </w:rPr>
        <w:t>Financial reporting requirements</w:t>
      </w:r>
    </w:p>
    <w:p w14:paraId="45AB9034" w14:textId="77777777" w:rsidR="00BE67AB" w:rsidRDefault="00BE67AB" w:rsidP="00BE67AB">
      <w:pPr>
        <w:keepNext/>
        <w:spacing w:before="360" w:after="120"/>
        <w:contextualSpacing/>
        <w:outlineLvl w:val="3"/>
        <w:rPr>
          <w:bCs/>
          <w:color w:val="1F546B" w:themeColor="text2"/>
          <w:szCs w:val="28"/>
        </w:rPr>
      </w:pPr>
      <w:r w:rsidRPr="00522E85">
        <w:rPr>
          <w:bCs/>
          <w:color w:val="1F546B" w:themeColor="text2"/>
          <w:szCs w:val="28"/>
        </w:rPr>
        <w:t xml:space="preserve">The Royal Commission will submit a financial report to the Department quarterly, until the Royal Commission ends.  </w:t>
      </w:r>
    </w:p>
    <w:p w14:paraId="61C80789" w14:textId="77777777" w:rsidR="00BE67AB" w:rsidRPr="00522E85" w:rsidRDefault="00BE67AB" w:rsidP="00BE67AB">
      <w:pPr>
        <w:keepNext/>
        <w:spacing w:before="360" w:after="120"/>
        <w:contextualSpacing/>
        <w:outlineLvl w:val="3"/>
        <w:rPr>
          <w:bCs/>
          <w:color w:val="1F546B" w:themeColor="text2"/>
          <w:szCs w:val="28"/>
        </w:rPr>
      </w:pPr>
    </w:p>
    <w:p w14:paraId="51D5FB25" w14:textId="77777777" w:rsidR="00BE67AB" w:rsidRDefault="00BE67AB" w:rsidP="00BE67AB">
      <w:pPr>
        <w:spacing w:after="120"/>
      </w:pPr>
      <w:r>
        <w:t xml:space="preserve">The quarterly financial reports will be made publicly available by publication on </w:t>
      </w:r>
      <w:r w:rsidR="00EF1711">
        <w:t xml:space="preserve">the Royal Commission’s website </w:t>
      </w:r>
      <w:r>
        <w:t xml:space="preserve">and will be published no later than two calendar months after the end date of the report.  </w:t>
      </w:r>
      <w:r w:rsidRPr="00B930B5">
        <w:t>In addition to website publication, the Department will report on the Royal Commission’s expenditure in its Annual Report.</w:t>
      </w:r>
    </w:p>
    <w:p w14:paraId="19109542" w14:textId="77777777" w:rsidR="006823E4" w:rsidRDefault="006823E4" w:rsidP="006823E4">
      <w:pPr>
        <w:pStyle w:val="Heading2"/>
      </w:pPr>
      <w:bookmarkStart w:id="13" w:name="_Toc54193239"/>
      <w:r w:rsidRPr="00BE67AB">
        <w:t>Financial Summary for September 2020</w:t>
      </w:r>
    </w:p>
    <w:tbl>
      <w:tblPr>
        <w:tblW w:w="0" w:type="auto"/>
        <w:tblInd w:w="-30" w:type="dxa"/>
        <w:tblLayout w:type="fixed"/>
        <w:tblLook w:val="0000" w:firstRow="0" w:lastRow="0" w:firstColumn="0" w:lastColumn="0" w:noHBand="0" w:noVBand="0"/>
      </w:tblPr>
      <w:tblGrid>
        <w:gridCol w:w="5599"/>
        <w:gridCol w:w="903"/>
        <w:gridCol w:w="902"/>
        <w:gridCol w:w="990"/>
      </w:tblGrid>
      <w:tr w:rsidR="00BE67AB" w14:paraId="7CBB8171" w14:textId="77777777" w:rsidTr="00AC00E3">
        <w:trPr>
          <w:trHeight w:val="290"/>
        </w:trPr>
        <w:tc>
          <w:tcPr>
            <w:tcW w:w="5599" w:type="dxa"/>
            <w:tcBorders>
              <w:top w:val="nil"/>
              <w:left w:val="nil"/>
              <w:bottom w:val="nil"/>
              <w:right w:val="nil"/>
            </w:tcBorders>
            <w:shd w:val="solid" w:color="FFFFFF" w:fill="auto"/>
          </w:tcPr>
          <w:bookmarkEnd w:id="13"/>
          <w:p w14:paraId="2C3ABE26" w14:textId="77777777" w:rsidR="00BE67AB" w:rsidRDefault="00BE67AB" w:rsidP="00AC00E3">
            <w:pPr>
              <w:keepLines w:val="0"/>
              <w:autoSpaceDE w:val="0"/>
              <w:autoSpaceDN w:val="0"/>
              <w:adjustRightInd w:val="0"/>
              <w:spacing w:before="0" w:after="0"/>
              <w:rPr>
                <w:rFonts w:cs="Calibri"/>
                <w:b/>
                <w:bCs/>
                <w:color w:val="000000"/>
                <w:sz w:val="22"/>
                <w:szCs w:val="22"/>
                <w:lang w:eastAsia="en-NZ"/>
              </w:rPr>
            </w:pPr>
            <w:r>
              <w:rPr>
                <w:rFonts w:cs="Calibri"/>
                <w:b/>
                <w:bCs/>
                <w:color w:val="000000"/>
                <w:sz w:val="22"/>
                <w:szCs w:val="22"/>
                <w:lang w:eastAsia="en-NZ"/>
              </w:rPr>
              <w:t>Q1 Financials to YTD September 2020 ($k)</w:t>
            </w:r>
            <w:r>
              <w:rPr>
                <w:rFonts w:cs="Calibri"/>
                <w:b/>
                <w:bCs/>
                <w:color w:val="000000"/>
                <w:sz w:val="22"/>
                <w:szCs w:val="22"/>
                <w:lang w:eastAsia="en-NZ"/>
              </w:rPr>
              <w:br/>
            </w:r>
          </w:p>
        </w:tc>
        <w:tc>
          <w:tcPr>
            <w:tcW w:w="903" w:type="dxa"/>
            <w:tcBorders>
              <w:top w:val="nil"/>
              <w:left w:val="nil"/>
              <w:bottom w:val="nil"/>
              <w:right w:val="nil"/>
            </w:tcBorders>
            <w:shd w:val="solid" w:color="FFFFFF" w:fill="auto"/>
          </w:tcPr>
          <w:p w14:paraId="649D81FB" w14:textId="77777777" w:rsidR="00BE67AB" w:rsidRDefault="00BE67AB" w:rsidP="00AC00E3">
            <w:pPr>
              <w:keepLines w:val="0"/>
              <w:autoSpaceDE w:val="0"/>
              <w:autoSpaceDN w:val="0"/>
              <w:adjustRightInd w:val="0"/>
              <w:spacing w:before="0" w:after="0"/>
              <w:jc w:val="right"/>
              <w:rPr>
                <w:rFonts w:cs="Calibri"/>
                <w:color w:val="000000"/>
                <w:sz w:val="22"/>
                <w:szCs w:val="22"/>
                <w:lang w:eastAsia="en-NZ"/>
              </w:rPr>
            </w:pPr>
          </w:p>
        </w:tc>
        <w:tc>
          <w:tcPr>
            <w:tcW w:w="902" w:type="dxa"/>
            <w:tcBorders>
              <w:top w:val="nil"/>
              <w:left w:val="nil"/>
              <w:bottom w:val="nil"/>
              <w:right w:val="nil"/>
            </w:tcBorders>
            <w:shd w:val="solid" w:color="FFFFFF" w:fill="auto"/>
          </w:tcPr>
          <w:p w14:paraId="099073A5" w14:textId="77777777" w:rsidR="00BE67AB" w:rsidRDefault="00BE67AB" w:rsidP="00AC00E3">
            <w:pPr>
              <w:keepLines w:val="0"/>
              <w:autoSpaceDE w:val="0"/>
              <w:autoSpaceDN w:val="0"/>
              <w:adjustRightInd w:val="0"/>
              <w:spacing w:before="0" w:after="0"/>
              <w:jc w:val="right"/>
              <w:rPr>
                <w:rFonts w:cs="Calibri"/>
                <w:color w:val="000000"/>
                <w:sz w:val="22"/>
                <w:szCs w:val="22"/>
                <w:lang w:eastAsia="en-NZ"/>
              </w:rPr>
            </w:pPr>
          </w:p>
        </w:tc>
        <w:tc>
          <w:tcPr>
            <w:tcW w:w="990" w:type="dxa"/>
            <w:tcBorders>
              <w:top w:val="nil"/>
              <w:left w:val="nil"/>
              <w:bottom w:val="nil"/>
              <w:right w:val="nil"/>
            </w:tcBorders>
            <w:shd w:val="solid" w:color="FFFFFF" w:fill="auto"/>
          </w:tcPr>
          <w:p w14:paraId="05B14548" w14:textId="77777777" w:rsidR="00BE67AB" w:rsidRDefault="00BE67AB" w:rsidP="00AC00E3">
            <w:pPr>
              <w:keepLines w:val="0"/>
              <w:autoSpaceDE w:val="0"/>
              <w:autoSpaceDN w:val="0"/>
              <w:adjustRightInd w:val="0"/>
              <w:spacing w:before="0" w:after="0"/>
              <w:jc w:val="right"/>
              <w:rPr>
                <w:rFonts w:cs="Calibri"/>
                <w:color w:val="000000"/>
                <w:sz w:val="22"/>
                <w:szCs w:val="22"/>
                <w:lang w:eastAsia="en-NZ"/>
              </w:rPr>
            </w:pPr>
          </w:p>
        </w:tc>
      </w:tr>
      <w:tr w:rsidR="00BE67AB" w14:paraId="6824B0DB" w14:textId="77777777" w:rsidTr="00AC00E3">
        <w:trPr>
          <w:trHeight w:val="290"/>
        </w:trPr>
        <w:tc>
          <w:tcPr>
            <w:tcW w:w="5599" w:type="dxa"/>
            <w:tcBorders>
              <w:top w:val="single" w:sz="6" w:space="0" w:color="auto"/>
              <w:left w:val="single" w:sz="6" w:space="0" w:color="auto"/>
              <w:bottom w:val="single" w:sz="6" w:space="0" w:color="auto"/>
              <w:right w:val="single" w:sz="6" w:space="0" w:color="auto"/>
            </w:tcBorders>
            <w:shd w:val="solid" w:color="99CC00" w:fill="auto"/>
          </w:tcPr>
          <w:p w14:paraId="4061C549" w14:textId="77777777" w:rsidR="00BE67AB" w:rsidRPr="003C1A99" w:rsidRDefault="00BE67AB" w:rsidP="00AC00E3">
            <w:pPr>
              <w:keepLines w:val="0"/>
              <w:autoSpaceDE w:val="0"/>
              <w:autoSpaceDN w:val="0"/>
              <w:adjustRightInd w:val="0"/>
              <w:spacing w:before="0" w:after="0"/>
              <w:rPr>
                <w:rFonts w:cs="Calibri"/>
                <w:b/>
                <w:bCs/>
                <w:color w:val="000000"/>
                <w:sz w:val="20"/>
                <w:szCs w:val="20"/>
                <w:lang w:eastAsia="en-NZ"/>
              </w:rPr>
            </w:pPr>
            <w:r w:rsidRPr="003C1A99">
              <w:rPr>
                <w:rFonts w:cs="Calibri"/>
                <w:b/>
                <w:bCs/>
                <w:color w:val="000000"/>
                <w:sz w:val="20"/>
                <w:szCs w:val="20"/>
                <w:lang w:eastAsia="en-NZ"/>
              </w:rPr>
              <w:t>Appropriation</w:t>
            </w:r>
          </w:p>
        </w:tc>
        <w:tc>
          <w:tcPr>
            <w:tcW w:w="903" w:type="dxa"/>
            <w:tcBorders>
              <w:top w:val="single" w:sz="6" w:space="0" w:color="auto"/>
              <w:left w:val="single" w:sz="6" w:space="0" w:color="auto"/>
              <w:bottom w:val="single" w:sz="6" w:space="0" w:color="auto"/>
              <w:right w:val="single" w:sz="6" w:space="0" w:color="auto"/>
            </w:tcBorders>
            <w:shd w:val="solid" w:color="99CC00" w:fill="auto"/>
          </w:tcPr>
          <w:p w14:paraId="01DA5777" w14:textId="77777777" w:rsidR="00BE67AB" w:rsidRPr="003C1A99" w:rsidRDefault="00BE67AB" w:rsidP="00AC00E3">
            <w:pPr>
              <w:keepLines w:val="0"/>
              <w:autoSpaceDE w:val="0"/>
              <w:autoSpaceDN w:val="0"/>
              <w:adjustRightInd w:val="0"/>
              <w:spacing w:before="0" w:after="0"/>
              <w:jc w:val="center"/>
              <w:rPr>
                <w:rFonts w:cs="Calibri"/>
                <w:b/>
                <w:bCs/>
                <w:color w:val="000000"/>
                <w:sz w:val="20"/>
                <w:szCs w:val="20"/>
                <w:lang w:eastAsia="en-NZ"/>
              </w:rPr>
            </w:pPr>
            <w:r w:rsidRPr="003C1A99">
              <w:rPr>
                <w:rFonts w:cs="Calibri"/>
                <w:b/>
                <w:bCs/>
                <w:color w:val="000000"/>
                <w:sz w:val="20"/>
                <w:szCs w:val="20"/>
                <w:lang w:eastAsia="en-NZ"/>
              </w:rPr>
              <w:t>Actual</w:t>
            </w:r>
          </w:p>
        </w:tc>
        <w:tc>
          <w:tcPr>
            <w:tcW w:w="902" w:type="dxa"/>
            <w:tcBorders>
              <w:top w:val="single" w:sz="6" w:space="0" w:color="auto"/>
              <w:left w:val="single" w:sz="6" w:space="0" w:color="auto"/>
              <w:bottom w:val="single" w:sz="6" w:space="0" w:color="auto"/>
              <w:right w:val="single" w:sz="6" w:space="0" w:color="auto"/>
            </w:tcBorders>
            <w:shd w:val="solid" w:color="99CC00" w:fill="auto"/>
          </w:tcPr>
          <w:p w14:paraId="305A30D2" w14:textId="77777777" w:rsidR="00BE67AB" w:rsidRPr="003C1A99" w:rsidRDefault="00BE67AB" w:rsidP="00AC00E3">
            <w:pPr>
              <w:keepLines w:val="0"/>
              <w:autoSpaceDE w:val="0"/>
              <w:autoSpaceDN w:val="0"/>
              <w:adjustRightInd w:val="0"/>
              <w:spacing w:before="0" w:after="0"/>
              <w:jc w:val="center"/>
              <w:rPr>
                <w:rFonts w:cs="Calibri"/>
                <w:b/>
                <w:bCs/>
                <w:color w:val="000000"/>
                <w:sz w:val="20"/>
                <w:szCs w:val="20"/>
                <w:lang w:eastAsia="en-NZ"/>
              </w:rPr>
            </w:pPr>
            <w:r w:rsidRPr="003C1A99">
              <w:rPr>
                <w:rFonts w:cs="Calibri"/>
                <w:b/>
                <w:bCs/>
                <w:color w:val="000000"/>
                <w:sz w:val="20"/>
                <w:szCs w:val="20"/>
                <w:lang w:eastAsia="en-NZ"/>
              </w:rPr>
              <w:t>Budget</w:t>
            </w:r>
          </w:p>
        </w:tc>
        <w:tc>
          <w:tcPr>
            <w:tcW w:w="990" w:type="dxa"/>
            <w:tcBorders>
              <w:top w:val="single" w:sz="6" w:space="0" w:color="auto"/>
              <w:left w:val="single" w:sz="6" w:space="0" w:color="auto"/>
              <w:bottom w:val="single" w:sz="6" w:space="0" w:color="auto"/>
              <w:right w:val="single" w:sz="6" w:space="0" w:color="auto"/>
            </w:tcBorders>
            <w:shd w:val="solid" w:color="99CC00" w:fill="auto"/>
          </w:tcPr>
          <w:p w14:paraId="0F0FB1CD" w14:textId="77777777" w:rsidR="00BE67AB" w:rsidRPr="003C1A99" w:rsidRDefault="00BE67AB" w:rsidP="00AC00E3">
            <w:pPr>
              <w:keepLines w:val="0"/>
              <w:autoSpaceDE w:val="0"/>
              <w:autoSpaceDN w:val="0"/>
              <w:adjustRightInd w:val="0"/>
              <w:spacing w:before="0" w:after="0"/>
              <w:jc w:val="center"/>
              <w:rPr>
                <w:rFonts w:cs="Calibri"/>
                <w:b/>
                <w:bCs/>
                <w:color w:val="000000"/>
                <w:sz w:val="20"/>
                <w:szCs w:val="20"/>
                <w:lang w:eastAsia="en-NZ"/>
              </w:rPr>
            </w:pPr>
            <w:r w:rsidRPr="003C1A99">
              <w:rPr>
                <w:rFonts w:cs="Calibri"/>
                <w:b/>
                <w:bCs/>
                <w:color w:val="000000"/>
                <w:sz w:val="20"/>
                <w:szCs w:val="20"/>
                <w:lang w:eastAsia="en-NZ"/>
              </w:rPr>
              <w:t>Variance</w:t>
            </w:r>
          </w:p>
        </w:tc>
      </w:tr>
      <w:tr w:rsidR="00BE67AB" w14:paraId="1C336827" w14:textId="77777777" w:rsidTr="00AC00E3">
        <w:trPr>
          <w:trHeight w:val="290"/>
        </w:trPr>
        <w:tc>
          <w:tcPr>
            <w:tcW w:w="5599" w:type="dxa"/>
            <w:tcBorders>
              <w:top w:val="single" w:sz="6" w:space="0" w:color="auto"/>
              <w:left w:val="single" w:sz="6" w:space="0" w:color="auto"/>
              <w:bottom w:val="single" w:sz="6" w:space="0" w:color="auto"/>
              <w:right w:val="single" w:sz="6" w:space="0" w:color="auto"/>
            </w:tcBorders>
          </w:tcPr>
          <w:p w14:paraId="62A1A1EA" w14:textId="77777777" w:rsidR="00BE67AB" w:rsidRPr="003C1A99" w:rsidRDefault="00BE67AB" w:rsidP="00AC00E3">
            <w:pPr>
              <w:keepLines w:val="0"/>
              <w:autoSpaceDE w:val="0"/>
              <w:autoSpaceDN w:val="0"/>
              <w:adjustRightInd w:val="0"/>
              <w:spacing w:before="0" w:after="0"/>
              <w:rPr>
                <w:rFonts w:cs="Calibri"/>
                <w:color w:val="000000"/>
                <w:sz w:val="20"/>
                <w:szCs w:val="20"/>
                <w:lang w:eastAsia="en-NZ"/>
              </w:rPr>
            </w:pPr>
            <w:r w:rsidRPr="003C1A99">
              <w:rPr>
                <w:rFonts w:cs="Calibri"/>
                <w:color w:val="000000"/>
                <w:sz w:val="20"/>
                <w:szCs w:val="20"/>
                <w:lang w:eastAsia="en-NZ"/>
              </w:rPr>
              <w:t>Departmental MYA</w:t>
            </w:r>
          </w:p>
        </w:tc>
        <w:tc>
          <w:tcPr>
            <w:tcW w:w="903" w:type="dxa"/>
            <w:tcBorders>
              <w:top w:val="single" w:sz="6" w:space="0" w:color="auto"/>
              <w:left w:val="single" w:sz="6" w:space="0" w:color="auto"/>
              <w:bottom w:val="single" w:sz="6" w:space="0" w:color="auto"/>
              <w:right w:val="single" w:sz="6" w:space="0" w:color="auto"/>
            </w:tcBorders>
          </w:tcPr>
          <w:p w14:paraId="6DCD7E79"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8,389</w:t>
            </w:r>
          </w:p>
        </w:tc>
        <w:tc>
          <w:tcPr>
            <w:tcW w:w="902" w:type="dxa"/>
            <w:tcBorders>
              <w:top w:val="single" w:sz="6" w:space="0" w:color="auto"/>
              <w:left w:val="single" w:sz="6" w:space="0" w:color="auto"/>
              <w:bottom w:val="single" w:sz="6" w:space="0" w:color="auto"/>
              <w:right w:val="single" w:sz="6" w:space="0" w:color="auto"/>
            </w:tcBorders>
          </w:tcPr>
          <w:p w14:paraId="7F79DA72"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9,256</w:t>
            </w:r>
          </w:p>
        </w:tc>
        <w:tc>
          <w:tcPr>
            <w:tcW w:w="990" w:type="dxa"/>
            <w:tcBorders>
              <w:top w:val="single" w:sz="6" w:space="0" w:color="auto"/>
              <w:left w:val="single" w:sz="6" w:space="0" w:color="auto"/>
              <w:bottom w:val="single" w:sz="6" w:space="0" w:color="auto"/>
              <w:right w:val="single" w:sz="6" w:space="0" w:color="auto"/>
            </w:tcBorders>
          </w:tcPr>
          <w:p w14:paraId="00BE363D"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867</w:t>
            </w:r>
          </w:p>
        </w:tc>
      </w:tr>
      <w:tr w:rsidR="00BE67AB" w14:paraId="12F23BB6" w14:textId="77777777" w:rsidTr="00AC00E3">
        <w:trPr>
          <w:trHeight w:val="290"/>
        </w:trPr>
        <w:tc>
          <w:tcPr>
            <w:tcW w:w="5599"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7B2F572A" w14:textId="77777777" w:rsidR="00BE67AB" w:rsidRPr="003C1A99" w:rsidRDefault="00BE67AB" w:rsidP="00AC00E3">
            <w:pPr>
              <w:keepLines w:val="0"/>
              <w:autoSpaceDE w:val="0"/>
              <w:autoSpaceDN w:val="0"/>
              <w:adjustRightInd w:val="0"/>
              <w:spacing w:before="0" w:after="0"/>
              <w:rPr>
                <w:rFonts w:cs="Calibri"/>
                <w:color w:val="000000"/>
                <w:sz w:val="20"/>
                <w:szCs w:val="20"/>
                <w:lang w:eastAsia="en-NZ"/>
              </w:rPr>
            </w:pPr>
            <w:r w:rsidRPr="003C1A99">
              <w:rPr>
                <w:rFonts w:cs="Calibri"/>
                <w:color w:val="000000"/>
                <w:sz w:val="20"/>
                <w:szCs w:val="20"/>
                <w:lang w:eastAsia="en-NZ"/>
              </w:rPr>
              <w:t>Capital</w:t>
            </w:r>
          </w:p>
        </w:tc>
        <w:tc>
          <w:tcPr>
            <w:tcW w:w="903"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622FD809"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902</w:t>
            </w:r>
          </w:p>
        </w:tc>
        <w:tc>
          <w:tcPr>
            <w:tcW w:w="902"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607FB78C"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957</w:t>
            </w:r>
          </w:p>
        </w:tc>
        <w:tc>
          <w:tcPr>
            <w:tcW w:w="990"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1EB14D61"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55</w:t>
            </w:r>
          </w:p>
        </w:tc>
      </w:tr>
      <w:tr w:rsidR="00BE67AB" w14:paraId="4EA765D4" w14:textId="77777777" w:rsidTr="00AC00E3">
        <w:trPr>
          <w:trHeight w:val="290"/>
        </w:trPr>
        <w:tc>
          <w:tcPr>
            <w:tcW w:w="5599" w:type="dxa"/>
            <w:tcBorders>
              <w:top w:val="single" w:sz="6" w:space="0" w:color="auto"/>
              <w:left w:val="single" w:sz="6" w:space="0" w:color="auto"/>
              <w:bottom w:val="single" w:sz="6" w:space="0" w:color="auto"/>
              <w:right w:val="single" w:sz="6" w:space="0" w:color="auto"/>
            </w:tcBorders>
          </w:tcPr>
          <w:p w14:paraId="71E974CE" w14:textId="77777777" w:rsidR="00BE67AB" w:rsidRPr="003C1A99" w:rsidRDefault="00BE67AB" w:rsidP="00AC00E3">
            <w:pPr>
              <w:keepLines w:val="0"/>
              <w:autoSpaceDE w:val="0"/>
              <w:autoSpaceDN w:val="0"/>
              <w:adjustRightInd w:val="0"/>
              <w:spacing w:before="0" w:after="0"/>
              <w:rPr>
                <w:rFonts w:cs="Calibri"/>
                <w:color w:val="000000"/>
                <w:sz w:val="20"/>
                <w:szCs w:val="20"/>
                <w:lang w:eastAsia="en-NZ"/>
              </w:rPr>
            </w:pPr>
            <w:r w:rsidRPr="003C1A99">
              <w:rPr>
                <w:rFonts w:cs="Calibri"/>
                <w:color w:val="000000"/>
                <w:sz w:val="20"/>
                <w:szCs w:val="20"/>
                <w:lang w:eastAsia="en-NZ"/>
              </w:rPr>
              <w:t>Commissioner fees</w:t>
            </w:r>
          </w:p>
        </w:tc>
        <w:tc>
          <w:tcPr>
            <w:tcW w:w="903" w:type="dxa"/>
            <w:tcBorders>
              <w:top w:val="single" w:sz="6" w:space="0" w:color="auto"/>
              <w:left w:val="single" w:sz="6" w:space="0" w:color="auto"/>
              <w:bottom w:val="single" w:sz="6" w:space="0" w:color="auto"/>
              <w:right w:val="single" w:sz="6" w:space="0" w:color="auto"/>
            </w:tcBorders>
          </w:tcPr>
          <w:p w14:paraId="2432EBD0"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320</w:t>
            </w:r>
          </w:p>
        </w:tc>
        <w:tc>
          <w:tcPr>
            <w:tcW w:w="902" w:type="dxa"/>
            <w:tcBorders>
              <w:top w:val="single" w:sz="6" w:space="0" w:color="auto"/>
              <w:left w:val="single" w:sz="6" w:space="0" w:color="auto"/>
              <w:bottom w:val="single" w:sz="6" w:space="0" w:color="auto"/>
              <w:right w:val="single" w:sz="6" w:space="0" w:color="auto"/>
            </w:tcBorders>
          </w:tcPr>
          <w:p w14:paraId="508D5078"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365</w:t>
            </w:r>
          </w:p>
        </w:tc>
        <w:tc>
          <w:tcPr>
            <w:tcW w:w="990" w:type="dxa"/>
            <w:tcBorders>
              <w:top w:val="single" w:sz="6" w:space="0" w:color="auto"/>
              <w:left w:val="single" w:sz="6" w:space="0" w:color="auto"/>
              <w:bottom w:val="single" w:sz="6" w:space="0" w:color="auto"/>
              <w:right w:val="single" w:sz="6" w:space="0" w:color="auto"/>
            </w:tcBorders>
          </w:tcPr>
          <w:p w14:paraId="5854F77D"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45</w:t>
            </w:r>
          </w:p>
        </w:tc>
      </w:tr>
      <w:tr w:rsidR="00BE67AB" w14:paraId="4BBB8562" w14:textId="77777777" w:rsidTr="00AC00E3">
        <w:trPr>
          <w:trHeight w:val="290"/>
        </w:trPr>
        <w:tc>
          <w:tcPr>
            <w:tcW w:w="5599"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06FA53AE" w14:textId="77777777" w:rsidR="00BE67AB" w:rsidRPr="003C1A99" w:rsidRDefault="00BE67AB" w:rsidP="00AC00E3">
            <w:pPr>
              <w:keepLines w:val="0"/>
              <w:autoSpaceDE w:val="0"/>
              <w:autoSpaceDN w:val="0"/>
              <w:adjustRightInd w:val="0"/>
              <w:spacing w:before="0" w:after="0"/>
              <w:rPr>
                <w:rFonts w:cs="Calibri"/>
                <w:color w:val="000000"/>
                <w:sz w:val="20"/>
                <w:szCs w:val="20"/>
                <w:lang w:eastAsia="en-NZ"/>
              </w:rPr>
            </w:pPr>
            <w:r w:rsidRPr="003C1A99">
              <w:rPr>
                <w:rFonts w:cs="Calibri"/>
                <w:color w:val="000000"/>
                <w:sz w:val="20"/>
                <w:szCs w:val="20"/>
                <w:lang w:eastAsia="en-NZ"/>
              </w:rPr>
              <w:t>Legal Assistance</w:t>
            </w:r>
          </w:p>
        </w:tc>
        <w:tc>
          <w:tcPr>
            <w:tcW w:w="903"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4C68EFA2"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146</w:t>
            </w:r>
          </w:p>
        </w:tc>
        <w:tc>
          <w:tcPr>
            <w:tcW w:w="902"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70BE073F"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690</w:t>
            </w:r>
          </w:p>
        </w:tc>
        <w:tc>
          <w:tcPr>
            <w:tcW w:w="990"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4528DD38"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544</w:t>
            </w:r>
          </w:p>
        </w:tc>
      </w:tr>
      <w:tr w:rsidR="00BE67AB" w14:paraId="26E0C3A7" w14:textId="77777777" w:rsidTr="00AC00E3">
        <w:trPr>
          <w:trHeight w:val="290"/>
        </w:trPr>
        <w:tc>
          <w:tcPr>
            <w:tcW w:w="5599" w:type="dxa"/>
            <w:tcBorders>
              <w:top w:val="single" w:sz="6" w:space="0" w:color="auto"/>
              <w:left w:val="single" w:sz="6" w:space="0" w:color="auto"/>
              <w:bottom w:val="single" w:sz="6" w:space="0" w:color="auto"/>
              <w:right w:val="single" w:sz="6" w:space="0" w:color="auto"/>
            </w:tcBorders>
          </w:tcPr>
          <w:p w14:paraId="73F8EAD9" w14:textId="77777777" w:rsidR="00BE67AB" w:rsidRPr="003C1A99" w:rsidRDefault="00BE67AB" w:rsidP="00AC00E3">
            <w:pPr>
              <w:keepLines w:val="0"/>
              <w:autoSpaceDE w:val="0"/>
              <w:autoSpaceDN w:val="0"/>
              <w:adjustRightInd w:val="0"/>
              <w:spacing w:before="0" w:after="0"/>
              <w:rPr>
                <w:rFonts w:cs="Calibri"/>
                <w:color w:val="000000"/>
                <w:sz w:val="20"/>
                <w:szCs w:val="20"/>
                <w:lang w:eastAsia="en-NZ"/>
              </w:rPr>
            </w:pPr>
            <w:r w:rsidRPr="003C1A99">
              <w:rPr>
                <w:rFonts w:cs="Calibri"/>
                <w:color w:val="000000"/>
                <w:sz w:val="20"/>
                <w:szCs w:val="20"/>
                <w:lang w:eastAsia="en-NZ"/>
              </w:rPr>
              <w:t>Counselling Assistance</w:t>
            </w:r>
          </w:p>
        </w:tc>
        <w:tc>
          <w:tcPr>
            <w:tcW w:w="903" w:type="dxa"/>
            <w:tcBorders>
              <w:top w:val="single" w:sz="6" w:space="0" w:color="auto"/>
              <w:left w:val="single" w:sz="6" w:space="0" w:color="auto"/>
              <w:bottom w:val="single" w:sz="6" w:space="0" w:color="auto"/>
              <w:right w:val="single" w:sz="6" w:space="0" w:color="auto"/>
            </w:tcBorders>
          </w:tcPr>
          <w:p w14:paraId="2F567667"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277</w:t>
            </w:r>
          </w:p>
        </w:tc>
        <w:tc>
          <w:tcPr>
            <w:tcW w:w="902" w:type="dxa"/>
            <w:tcBorders>
              <w:top w:val="single" w:sz="6" w:space="0" w:color="auto"/>
              <w:left w:val="single" w:sz="6" w:space="0" w:color="auto"/>
              <w:bottom w:val="single" w:sz="6" w:space="0" w:color="auto"/>
              <w:right w:val="single" w:sz="6" w:space="0" w:color="auto"/>
            </w:tcBorders>
          </w:tcPr>
          <w:p w14:paraId="230912BB"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370</w:t>
            </w:r>
          </w:p>
        </w:tc>
        <w:tc>
          <w:tcPr>
            <w:tcW w:w="990" w:type="dxa"/>
            <w:tcBorders>
              <w:top w:val="single" w:sz="6" w:space="0" w:color="auto"/>
              <w:left w:val="single" w:sz="6" w:space="0" w:color="auto"/>
              <w:bottom w:val="single" w:sz="6" w:space="0" w:color="auto"/>
              <w:right w:val="single" w:sz="6" w:space="0" w:color="auto"/>
            </w:tcBorders>
          </w:tcPr>
          <w:p w14:paraId="2E204416" w14:textId="77777777" w:rsidR="00BE67AB" w:rsidRPr="003C1A99" w:rsidRDefault="00BE67AB" w:rsidP="00AC00E3">
            <w:pPr>
              <w:keepLines w:val="0"/>
              <w:autoSpaceDE w:val="0"/>
              <w:autoSpaceDN w:val="0"/>
              <w:adjustRightInd w:val="0"/>
              <w:spacing w:before="0" w:after="0"/>
              <w:jc w:val="right"/>
              <w:rPr>
                <w:rFonts w:cs="Calibri"/>
                <w:color w:val="000000"/>
                <w:sz w:val="20"/>
                <w:szCs w:val="20"/>
                <w:lang w:eastAsia="en-NZ"/>
              </w:rPr>
            </w:pPr>
            <w:r w:rsidRPr="003C1A99">
              <w:rPr>
                <w:rFonts w:cs="Calibri"/>
                <w:color w:val="000000"/>
                <w:sz w:val="20"/>
                <w:szCs w:val="20"/>
                <w:lang w:eastAsia="en-NZ"/>
              </w:rPr>
              <w:t>92</w:t>
            </w:r>
          </w:p>
        </w:tc>
      </w:tr>
      <w:tr w:rsidR="00BE67AB" w14:paraId="6906AEF6" w14:textId="77777777" w:rsidTr="00AC00E3">
        <w:trPr>
          <w:trHeight w:val="290"/>
        </w:trPr>
        <w:tc>
          <w:tcPr>
            <w:tcW w:w="5599" w:type="dxa"/>
            <w:tcBorders>
              <w:top w:val="single" w:sz="6" w:space="0" w:color="auto"/>
              <w:left w:val="single" w:sz="6" w:space="0" w:color="auto"/>
              <w:bottom w:val="single" w:sz="6" w:space="0" w:color="auto"/>
              <w:right w:val="single" w:sz="6" w:space="0" w:color="auto"/>
            </w:tcBorders>
            <w:shd w:val="solid" w:color="99CC00" w:fill="auto"/>
          </w:tcPr>
          <w:p w14:paraId="17BEB856" w14:textId="77777777" w:rsidR="00BE67AB" w:rsidRPr="003C1A99" w:rsidRDefault="00BE67AB" w:rsidP="00AC00E3">
            <w:pPr>
              <w:keepLines w:val="0"/>
              <w:autoSpaceDE w:val="0"/>
              <w:autoSpaceDN w:val="0"/>
              <w:adjustRightInd w:val="0"/>
              <w:spacing w:before="0" w:after="0"/>
              <w:rPr>
                <w:rFonts w:cs="Calibri"/>
                <w:b/>
                <w:bCs/>
                <w:color w:val="000000"/>
                <w:sz w:val="20"/>
                <w:szCs w:val="20"/>
                <w:lang w:eastAsia="en-NZ"/>
              </w:rPr>
            </w:pPr>
            <w:r w:rsidRPr="003C1A99">
              <w:rPr>
                <w:rFonts w:cs="Calibri"/>
                <w:b/>
                <w:bCs/>
                <w:color w:val="000000"/>
                <w:sz w:val="20"/>
                <w:szCs w:val="20"/>
                <w:lang w:eastAsia="en-NZ"/>
              </w:rPr>
              <w:t>Total</w:t>
            </w:r>
          </w:p>
        </w:tc>
        <w:tc>
          <w:tcPr>
            <w:tcW w:w="903" w:type="dxa"/>
            <w:tcBorders>
              <w:top w:val="single" w:sz="6" w:space="0" w:color="auto"/>
              <w:left w:val="single" w:sz="6" w:space="0" w:color="auto"/>
              <w:bottom w:val="single" w:sz="6" w:space="0" w:color="auto"/>
              <w:right w:val="single" w:sz="6" w:space="0" w:color="auto"/>
            </w:tcBorders>
            <w:shd w:val="solid" w:color="99CC00" w:fill="auto"/>
          </w:tcPr>
          <w:p w14:paraId="0AB2667B" w14:textId="77777777" w:rsidR="00BE67AB" w:rsidRPr="003C1A99" w:rsidRDefault="00BE67AB" w:rsidP="00AC00E3">
            <w:pPr>
              <w:keepLines w:val="0"/>
              <w:autoSpaceDE w:val="0"/>
              <w:autoSpaceDN w:val="0"/>
              <w:adjustRightInd w:val="0"/>
              <w:spacing w:before="0" w:after="0"/>
              <w:jc w:val="right"/>
              <w:rPr>
                <w:rFonts w:cs="Calibri"/>
                <w:b/>
                <w:bCs/>
                <w:color w:val="000000"/>
                <w:sz w:val="20"/>
                <w:szCs w:val="20"/>
                <w:lang w:eastAsia="en-NZ"/>
              </w:rPr>
            </w:pPr>
            <w:r w:rsidRPr="003C1A99">
              <w:rPr>
                <w:rFonts w:cs="Calibri"/>
                <w:b/>
                <w:bCs/>
                <w:color w:val="000000"/>
                <w:sz w:val="20"/>
                <w:szCs w:val="20"/>
                <w:lang w:eastAsia="en-NZ"/>
              </w:rPr>
              <w:t>10,034</w:t>
            </w:r>
          </w:p>
        </w:tc>
        <w:tc>
          <w:tcPr>
            <w:tcW w:w="902" w:type="dxa"/>
            <w:tcBorders>
              <w:top w:val="single" w:sz="6" w:space="0" w:color="auto"/>
              <w:left w:val="single" w:sz="6" w:space="0" w:color="auto"/>
              <w:bottom w:val="single" w:sz="6" w:space="0" w:color="auto"/>
              <w:right w:val="single" w:sz="6" w:space="0" w:color="auto"/>
            </w:tcBorders>
            <w:shd w:val="solid" w:color="99CC00" w:fill="auto"/>
          </w:tcPr>
          <w:p w14:paraId="791228BD" w14:textId="77777777" w:rsidR="00BE67AB" w:rsidRPr="003C1A99" w:rsidRDefault="00BE67AB" w:rsidP="00AC00E3">
            <w:pPr>
              <w:keepLines w:val="0"/>
              <w:autoSpaceDE w:val="0"/>
              <w:autoSpaceDN w:val="0"/>
              <w:adjustRightInd w:val="0"/>
              <w:spacing w:before="0" w:after="0"/>
              <w:jc w:val="right"/>
              <w:rPr>
                <w:rFonts w:cs="Calibri"/>
                <w:b/>
                <w:bCs/>
                <w:color w:val="000000"/>
                <w:sz w:val="20"/>
                <w:szCs w:val="20"/>
                <w:lang w:eastAsia="en-NZ"/>
              </w:rPr>
            </w:pPr>
            <w:r w:rsidRPr="003C1A99">
              <w:rPr>
                <w:rFonts w:cs="Calibri"/>
                <w:b/>
                <w:bCs/>
                <w:color w:val="000000"/>
                <w:sz w:val="20"/>
                <w:szCs w:val="20"/>
                <w:lang w:eastAsia="en-NZ"/>
              </w:rPr>
              <w:t>11,638</w:t>
            </w:r>
          </w:p>
        </w:tc>
        <w:tc>
          <w:tcPr>
            <w:tcW w:w="990" w:type="dxa"/>
            <w:tcBorders>
              <w:top w:val="single" w:sz="6" w:space="0" w:color="auto"/>
              <w:left w:val="single" w:sz="6" w:space="0" w:color="auto"/>
              <w:bottom w:val="single" w:sz="6" w:space="0" w:color="auto"/>
              <w:right w:val="single" w:sz="6" w:space="0" w:color="auto"/>
            </w:tcBorders>
            <w:shd w:val="solid" w:color="99CC00" w:fill="auto"/>
          </w:tcPr>
          <w:p w14:paraId="48B1D35F" w14:textId="77777777" w:rsidR="00BE67AB" w:rsidRPr="003C1A99" w:rsidRDefault="00BE67AB" w:rsidP="00AC00E3">
            <w:pPr>
              <w:keepLines w:val="0"/>
              <w:autoSpaceDE w:val="0"/>
              <w:autoSpaceDN w:val="0"/>
              <w:adjustRightInd w:val="0"/>
              <w:spacing w:before="0" w:after="0"/>
              <w:jc w:val="right"/>
              <w:rPr>
                <w:rFonts w:cs="Calibri"/>
                <w:b/>
                <w:bCs/>
                <w:color w:val="000000"/>
                <w:sz w:val="20"/>
                <w:szCs w:val="20"/>
                <w:lang w:eastAsia="en-NZ"/>
              </w:rPr>
            </w:pPr>
            <w:r w:rsidRPr="003C1A99">
              <w:rPr>
                <w:rFonts w:cs="Calibri"/>
                <w:b/>
                <w:bCs/>
                <w:color w:val="000000"/>
                <w:sz w:val="20"/>
                <w:szCs w:val="20"/>
                <w:lang w:eastAsia="en-NZ"/>
              </w:rPr>
              <w:t>1,603</w:t>
            </w:r>
          </w:p>
        </w:tc>
      </w:tr>
    </w:tbl>
    <w:p w14:paraId="40731033" w14:textId="77777777" w:rsidR="00BE67AB" w:rsidRPr="003C1A99" w:rsidRDefault="00BE67AB" w:rsidP="00BE67AB">
      <w:pPr>
        <w:spacing w:after="120"/>
        <w:rPr>
          <w:b/>
        </w:rPr>
      </w:pPr>
      <w:r w:rsidRPr="003C1A99">
        <w:rPr>
          <w:b/>
        </w:rPr>
        <w:t>Commentary</w:t>
      </w:r>
    </w:p>
    <w:p w14:paraId="19413F89" w14:textId="77777777" w:rsidR="00BE67AB" w:rsidRDefault="00BE67AB" w:rsidP="00BE67AB">
      <w:pPr>
        <w:pStyle w:val="ListParagraph"/>
        <w:numPr>
          <w:ilvl w:val="0"/>
          <w:numId w:val="30"/>
        </w:numPr>
        <w:spacing w:after="120"/>
      </w:pPr>
      <w:r>
        <w:t>The Commission underspent to budget across all appropriations by a combined $1.6m</w:t>
      </w:r>
    </w:p>
    <w:p w14:paraId="772F176C" w14:textId="77777777" w:rsidR="00BE67AB" w:rsidRDefault="00BE67AB" w:rsidP="00BE67AB">
      <w:pPr>
        <w:pStyle w:val="ListParagraph"/>
        <w:numPr>
          <w:ilvl w:val="0"/>
          <w:numId w:val="30"/>
        </w:numPr>
        <w:spacing w:after="120"/>
      </w:pPr>
      <w:r>
        <w:t>An operational underspend of $867k (Departmental MYA) was materially driven by underspends in Travel, driven by the impacts of COVID</w:t>
      </w:r>
    </w:p>
    <w:p w14:paraId="64A29453" w14:textId="77777777" w:rsidR="00BE67AB" w:rsidRDefault="00BE67AB" w:rsidP="00BE67AB">
      <w:pPr>
        <w:pStyle w:val="ListParagraph"/>
        <w:numPr>
          <w:ilvl w:val="0"/>
          <w:numId w:val="30"/>
        </w:numPr>
        <w:spacing w:after="120"/>
      </w:pPr>
      <w:r>
        <w:t xml:space="preserve">A Legal Assistance underspend of $544k is expected to be a timing issue, as planned public hearings ramp up during the financial year </w:t>
      </w:r>
      <w:bookmarkEnd w:id="12"/>
    </w:p>
    <w:p w14:paraId="4C212B5D" w14:textId="77777777" w:rsidR="00BE67AB" w:rsidRDefault="00BE67AB">
      <w:pPr>
        <w:keepLines w:val="0"/>
        <w:rPr>
          <w:rFonts w:cs="Arial"/>
          <w:b/>
          <w:bCs/>
          <w:iCs/>
          <w:color w:val="1F546B"/>
          <w:sz w:val="36"/>
          <w:szCs w:val="28"/>
        </w:rPr>
      </w:pPr>
      <w:bookmarkStart w:id="14" w:name="_Toc44662317"/>
      <w:bookmarkStart w:id="15" w:name="_Toc54193238"/>
      <w:r>
        <w:br w:type="page"/>
      </w:r>
    </w:p>
    <w:p w14:paraId="2F896840" w14:textId="6F5DB752" w:rsidR="00BE67AB" w:rsidRPr="00FC295C" w:rsidRDefault="00BE67AB" w:rsidP="00BE67AB">
      <w:pPr>
        <w:pStyle w:val="Heading2"/>
      </w:pPr>
      <w:r w:rsidRPr="004E3D71">
        <w:lastRenderedPageBreak/>
        <w:t>Budget 2020/21</w:t>
      </w:r>
      <w:bookmarkEnd w:id="14"/>
      <w:bookmarkEnd w:id="15"/>
    </w:p>
    <w:p w14:paraId="45713472" w14:textId="6A0E62C0" w:rsidR="00BE67AB" w:rsidRPr="000173A6" w:rsidRDefault="00BE67AB" w:rsidP="00BE67AB">
      <w:pPr>
        <w:keepLines w:val="0"/>
        <w:rPr>
          <w:rFonts w:cs="Arial"/>
          <w:b/>
          <w:bCs/>
          <w:iCs/>
          <w:color w:val="1F546B"/>
          <w:sz w:val="36"/>
          <w:szCs w:val="28"/>
          <w:lang w:val="en-US"/>
        </w:rPr>
      </w:pPr>
      <w:r w:rsidRPr="001760AB">
        <w:t>The table below summarises the Royal Commission</w:t>
      </w:r>
      <w:r>
        <w:t>’</w:t>
      </w:r>
      <w:r w:rsidRPr="001760AB">
        <w:t>s</w:t>
      </w:r>
      <w:r>
        <w:t xml:space="preserve"> 2020/21 Budget by</w:t>
      </w:r>
      <w:r w:rsidRPr="001760AB">
        <w:t xml:space="preserve"> </w:t>
      </w:r>
      <w:r>
        <w:t xml:space="preserve">appropriation. </w:t>
      </w:r>
    </w:p>
    <w:p w14:paraId="22F5C10C" w14:textId="0C90EB85" w:rsidR="00BE67AB" w:rsidRPr="00D440F0" w:rsidRDefault="00BE67AB" w:rsidP="00BE67AB">
      <w:pPr>
        <w:spacing w:after="120"/>
        <w:ind w:left="360" w:hanging="360"/>
      </w:pPr>
      <w:r w:rsidRPr="00663B6A">
        <w:rPr>
          <w:noProof/>
        </w:rPr>
        <w:drawing>
          <wp:inline distT="0" distB="0" distL="0" distR="0" wp14:anchorId="3011EB4D" wp14:editId="3A7CB2B4">
            <wp:extent cx="6167887" cy="4476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3623" cy="4574620"/>
                    </a:xfrm>
                    <a:prstGeom prst="rect">
                      <a:avLst/>
                    </a:prstGeom>
                    <a:noFill/>
                    <a:ln>
                      <a:noFill/>
                    </a:ln>
                  </pic:spPr>
                </pic:pic>
              </a:graphicData>
            </a:graphic>
          </wp:inline>
        </w:drawing>
      </w:r>
      <w:r w:rsidRPr="00D440F0">
        <w:t>Table Notes:</w:t>
      </w:r>
    </w:p>
    <w:p w14:paraId="48FBB5B6" w14:textId="7E7B1A2E" w:rsidR="00BE67AB" w:rsidRPr="00D440F0" w:rsidRDefault="00BE67AB" w:rsidP="00BE67AB">
      <w:pPr>
        <w:pStyle w:val="ListParagraph"/>
        <w:numPr>
          <w:ilvl w:val="0"/>
          <w:numId w:val="30"/>
        </w:numPr>
        <w:spacing w:after="120"/>
      </w:pPr>
      <w:r w:rsidRPr="00D440F0">
        <w:t>* Required adjustments at OBU to roll over 19/20 Capex underspend</w:t>
      </w:r>
    </w:p>
    <w:p w14:paraId="7B76E479" w14:textId="7DD8ACC8" w:rsidR="00BE67AB" w:rsidRDefault="00BE67AB" w:rsidP="00BE67AB">
      <w:pPr>
        <w:pStyle w:val="ListParagraph"/>
        <w:numPr>
          <w:ilvl w:val="0"/>
          <w:numId w:val="30"/>
        </w:numPr>
        <w:spacing w:after="120"/>
      </w:pPr>
      <w:r>
        <w:t xml:space="preserve"># Represents figures to be reported in quarterly reporting. </w:t>
      </w:r>
    </w:p>
    <w:p w14:paraId="1B28029A" w14:textId="73FC3026" w:rsidR="00BE67AB" w:rsidRPr="00D440F0" w:rsidRDefault="00BE67AB" w:rsidP="00BE67AB">
      <w:pPr>
        <w:pStyle w:val="ListParagraph"/>
        <w:numPr>
          <w:ilvl w:val="0"/>
          <w:numId w:val="30"/>
        </w:numPr>
        <w:spacing w:after="120"/>
      </w:pPr>
      <w:r w:rsidRPr="00D440F0">
        <w:t>Total 20/21 funding required $49.928 (Sum of Departmental/Non-Departmental/Capital)</w:t>
      </w:r>
    </w:p>
    <w:p w14:paraId="68F87F2C" w14:textId="2FC53902" w:rsidR="00BE67AB" w:rsidRPr="00522E85" w:rsidRDefault="00BE67AB" w:rsidP="00BE67AB">
      <w:pPr>
        <w:pStyle w:val="ListParagraph"/>
        <w:numPr>
          <w:ilvl w:val="0"/>
          <w:numId w:val="30"/>
        </w:numPr>
        <w:spacing w:after="120"/>
      </w:pPr>
      <w:r w:rsidRPr="00D440F0">
        <w:t>2020/21 Budget reflects approved appropriations as per Cabinet papers [CAB-18-MIN-0572. 01] and [SWC-19-MIN-0136], includes planned OBU adjustments, and an anticipated request to draw down tagged contingency [CAB-20-MIN-0155.19].</w:t>
      </w:r>
    </w:p>
    <w:p w14:paraId="77D27DF3" w14:textId="77777777" w:rsidR="00BE67AB" w:rsidRPr="00BE67AB" w:rsidRDefault="00BE67AB" w:rsidP="00BE67AB"/>
    <w:sectPr w:rsidR="00BE67AB" w:rsidRPr="00BE67AB" w:rsidSect="00E13891">
      <w:footerReference w:type="default" r:id="rId14"/>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7C8CA" w14:textId="77777777" w:rsidR="008861F4" w:rsidRDefault="008861F4">
      <w:r>
        <w:separator/>
      </w:r>
    </w:p>
    <w:p w14:paraId="624EAA26" w14:textId="77777777" w:rsidR="008861F4" w:rsidRDefault="008861F4"/>
    <w:p w14:paraId="7EE2598E" w14:textId="77777777" w:rsidR="008861F4" w:rsidRDefault="008861F4"/>
  </w:endnote>
  <w:endnote w:type="continuationSeparator" w:id="0">
    <w:p w14:paraId="2DAD191E" w14:textId="77777777" w:rsidR="008861F4" w:rsidRDefault="008861F4">
      <w:r>
        <w:continuationSeparator/>
      </w:r>
    </w:p>
    <w:p w14:paraId="64A957EE" w14:textId="77777777" w:rsidR="008861F4" w:rsidRDefault="008861F4"/>
    <w:p w14:paraId="4F9F42F7" w14:textId="77777777" w:rsidR="008861F4" w:rsidRDefault="00886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0B92"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E13891">
      <w:fldChar w:fldCharType="begin"/>
    </w:r>
    <w:r w:rsidR="00E13891">
      <w:instrText xml:space="preserve"> NUMPAGES   \* MERGEFORMAT </w:instrText>
    </w:r>
    <w:r w:rsidR="00E13891">
      <w:fldChar w:fldCharType="separate"/>
    </w:r>
    <w:r w:rsidR="00603635">
      <w:rPr>
        <w:noProof/>
      </w:rPr>
      <w:t>1</w:t>
    </w:r>
    <w:r w:rsidR="00E1389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FAF7B" w14:textId="77777777" w:rsidR="008861F4" w:rsidRDefault="008861F4" w:rsidP="00FB1990">
      <w:pPr>
        <w:pStyle w:val="Spacer"/>
      </w:pPr>
      <w:r>
        <w:separator/>
      </w:r>
    </w:p>
    <w:p w14:paraId="197BB4F0" w14:textId="77777777" w:rsidR="008861F4" w:rsidRDefault="008861F4" w:rsidP="00FB1990">
      <w:pPr>
        <w:pStyle w:val="Spacer"/>
      </w:pPr>
    </w:p>
  </w:footnote>
  <w:footnote w:type="continuationSeparator" w:id="0">
    <w:p w14:paraId="5878D164" w14:textId="77777777" w:rsidR="008861F4" w:rsidRDefault="008861F4">
      <w:r>
        <w:continuationSeparator/>
      </w:r>
    </w:p>
    <w:p w14:paraId="2E05DCCB" w14:textId="77777777" w:rsidR="008861F4" w:rsidRDefault="008861F4"/>
    <w:p w14:paraId="31F42E11" w14:textId="77777777" w:rsidR="008861F4" w:rsidRDefault="008861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44A0092"/>
    <w:multiLevelType w:val="hybridMultilevel"/>
    <w:tmpl w:val="0128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13F2E3D"/>
    <w:multiLevelType w:val="hybridMultilevel"/>
    <w:tmpl w:val="37447D08"/>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4" w15:restartNumberingAfterBreak="0">
    <w:nsid w:val="22E85617"/>
    <w:multiLevelType w:val="hybridMultilevel"/>
    <w:tmpl w:val="0E3682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9E1B28"/>
    <w:multiLevelType w:val="hybridMultilevel"/>
    <w:tmpl w:val="160E9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15:restartNumberingAfterBreak="0">
    <w:nsid w:val="65664227"/>
    <w:multiLevelType w:val="hybridMultilevel"/>
    <w:tmpl w:val="A35C736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9" w15:restartNumberingAfterBreak="0">
    <w:nsid w:val="7FE1215D"/>
    <w:multiLevelType w:val="hybridMultilevel"/>
    <w:tmpl w:val="605E91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0"/>
  </w:num>
  <w:num w:numId="8">
    <w:abstractNumId w:val="21"/>
  </w:num>
  <w:num w:numId="9">
    <w:abstractNumId w:val="18"/>
  </w:num>
  <w:num w:numId="10">
    <w:abstractNumId w:val="11"/>
  </w:num>
  <w:num w:numId="11">
    <w:abstractNumId w:val="22"/>
  </w:num>
  <w:num w:numId="12">
    <w:abstractNumId w:val="25"/>
  </w:num>
  <w:num w:numId="13">
    <w:abstractNumId w:val="27"/>
  </w:num>
  <w:num w:numId="14">
    <w:abstractNumId w:val="7"/>
  </w:num>
  <w:num w:numId="15">
    <w:abstractNumId w:val="15"/>
  </w:num>
  <w:num w:numId="16">
    <w:abstractNumId w:val="28"/>
  </w:num>
  <w:num w:numId="17">
    <w:abstractNumId w:val="26"/>
  </w:num>
  <w:num w:numId="18">
    <w:abstractNumId w:val="24"/>
  </w:num>
  <w:num w:numId="19">
    <w:abstractNumId w:val="19"/>
  </w:num>
  <w:num w:numId="20">
    <w:abstractNumId w:val="16"/>
  </w:num>
  <w:num w:numId="21">
    <w:abstractNumId w:val="9"/>
  </w:num>
  <w:num w:numId="22">
    <w:abstractNumId w:val="6"/>
  </w:num>
  <w:num w:numId="23">
    <w:abstractNumId w:val="12"/>
  </w:num>
  <w:num w:numId="24">
    <w:abstractNumId w:val="8"/>
  </w:num>
  <w:num w:numId="25">
    <w:abstractNumId w:val="14"/>
  </w:num>
  <w:num w:numId="26">
    <w:abstractNumId w:val="29"/>
  </w:num>
  <w:num w:numId="27">
    <w:abstractNumId w:val="13"/>
  </w:num>
  <w:num w:numId="28">
    <w:abstractNumId w:val="10"/>
  </w:num>
  <w:num w:numId="29">
    <w:abstractNumId w:val="23"/>
  </w:num>
  <w:num w:numId="3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4577"/>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AB"/>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09AF"/>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1F63"/>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022F"/>
    <w:rsid w:val="00237A3D"/>
    <w:rsid w:val="00240E83"/>
    <w:rsid w:val="002502D1"/>
    <w:rsid w:val="00260A17"/>
    <w:rsid w:val="00270EEC"/>
    <w:rsid w:val="002777D8"/>
    <w:rsid w:val="002806A2"/>
    <w:rsid w:val="00297CC7"/>
    <w:rsid w:val="002A194F"/>
    <w:rsid w:val="002A4BD9"/>
    <w:rsid w:val="002A4FE7"/>
    <w:rsid w:val="002B1CEB"/>
    <w:rsid w:val="002D3125"/>
    <w:rsid w:val="002D4F42"/>
    <w:rsid w:val="002F3C20"/>
    <w:rsid w:val="0030084C"/>
    <w:rsid w:val="003039E1"/>
    <w:rsid w:val="003129BA"/>
    <w:rsid w:val="003148FC"/>
    <w:rsid w:val="0032132E"/>
    <w:rsid w:val="00330820"/>
    <w:rsid w:val="003465C8"/>
    <w:rsid w:val="00354B40"/>
    <w:rsid w:val="0037016B"/>
    <w:rsid w:val="00370FC0"/>
    <w:rsid w:val="00373206"/>
    <w:rsid w:val="00373641"/>
    <w:rsid w:val="003737ED"/>
    <w:rsid w:val="00375B80"/>
    <w:rsid w:val="00377352"/>
    <w:rsid w:val="003A10DA"/>
    <w:rsid w:val="003A12C8"/>
    <w:rsid w:val="003A6FFE"/>
    <w:rsid w:val="003A7695"/>
    <w:rsid w:val="003B3A23"/>
    <w:rsid w:val="003B6592"/>
    <w:rsid w:val="003C772C"/>
    <w:rsid w:val="003F2B58"/>
    <w:rsid w:val="003F32C3"/>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18B6"/>
    <w:rsid w:val="00512ACB"/>
    <w:rsid w:val="00514028"/>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0BF7"/>
    <w:rsid w:val="00681A08"/>
    <w:rsid w:val="006823E4"/>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C50A0"/>
    <w:rsid w:val="006D638F"/>
    <w:rsid w:val="006D7384"/>
    <w:rsid w:val="006E7BF7"/>
    <w:rsid w:val="006F1A9A"/>
    <w:rsid w:val="006F315A"/>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D75EB"/>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861F4"/>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C7717"/>
    <w:rsid w:val="009D28CF"/>
    <w:rsid w:val="009E5D36"/>
    <w:rsid w:val="009E6375"/>
    <w:rsid w:val="009E7CA0"/>
    <w:rsid w:val="009F05E3"/>
    <w:rsid w:val="00A04392"/>
    <w:rsid w:val="00A04AC8"/>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A196C"/>
    <w:rsid w:val="00AB0BBC"/>
    <w:rsid w:val="00AB3A92"/>
    <w:rsid w:val="00AB478B"/>
    <w:rsid w:val="00AB47AC"/>
    <w:rsid w:val="00AB4AD9"/>
    <w:rsid w:val="00AC11DF"/>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144A"/>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E67AB"/>
    <w:rsid w:val="00BF1AB7"/>
    <w:rsid w:val="00BF7FE9"/>
    <w:rsid w:val="00C03596"/>
    <w:rsid w:val="00C05EEC"/>
    <w:rsid w:val="00C15A13"/>
    <w:rsid w:val="00C238D9"/>
    <w:rsid w:val="00C24A9D"/>
    <w:rsid w:val="00C2677E"/>
    <w:rsid w:val="00C31542"/>
    <w:rsid w:val="00C46EDF"/>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D732E"/>
    <w:rsid w:val="00CF12CF"/>
    <w:rsid w:val="00CF4BE3"/>
    <w:rsid w:val="00D060D2"/>
    <w:rsid w:val="00D13E2D"/>
    <w:rsid w:val="00D14394"/>
    <w:rsid w:val="00D15F89"/>
    <w:rsid w:val="00D242CD"/>
    <w:rsid w:val="00D26F74"/>
    <w:rsid w:val="00D341C3"/>
    <w:rsid w:val="00D42843"/>
    <w:rsid w:val="00D45FC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1D08"/>
    <w:rsid w:val="00E13891"/>
    <w:rsid w:val="00E367C5"/>
    <w:rsid w:val="00E367EA"/>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173C"/>
    <w:rsid w:val="00EE243C"/>
    <w:rsid w:val="00EF1711"/>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6306"/>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57FBC4"/>
  <w15:chartTrackingRefBased/>
  <w15:docId w15:val="{46539035-3757-4751-918A-896DC7B6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7AB"/>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label3">
    <w:name w:val="label3"/>
    <w:basedOn w:val="DefaultParagraphFont"/>
    <w:rsid w:val="00BE67AB"/>
  </w:style>
  <w:style w:type="paragraph" w:customStyle="1" w:styleId="text5">
    <w:name w:val="text5"/>
    <w:basedOn w:val="Normal"/>
    <w:rsid w:val="00BE67AB"/>
    <w:pPr>
      <w:keepLines w:val="0"/>
      <w:spacing w:before="83" w:after="216" w:line="288" w:lineRule="atLeast"/>
    </w:pPr>
    <w:rPr>
      <w:rFonts w:ascii="Times New Roman" w:eastAsia="Times New Roman" w:hAnsi="Times New Roman"/>
      <w:lang w:eastAsia="en-NZ"/>
    </w:rPr>
  </w:style>
  <w:style w:type="paragraph" w:styleId="CommentText">
    <w:name w:val="annotation text"/>
    <w:basedOn w:val="Normal"/>
    <w:link w:val="CommentTextChar"/>
    <w:uiPriority w:val="99"/>
    <w:semiHidden/>
    <w:unhideWhenUsed/>
    <w:rsid w:val="00EF1711"/>
    <w:rPr>
      <w:sz w:val="20"/>
      <w:szCs w:val="20"/>
    </w:rPr>
  </w:style>
  <w:style w:type="character" w:customStyle="1" w:styleId="CommentTextChar">
    <w:name w:val="Comment Text Char"/>
    <w:basedOn w:val="DefaultParagraphFont"/>
    <w:link w:val="CommentText"/>
    <w:uiPriority w:val="99"/>
    <w:semiHidden/>
    <w:rsid w:val="00EF1711"/>
    <w:rPr>
      <w:sz w:val="20"/>
      <w:szCs w:val="20"/>
      <w:lang w:eastAsia="en-US"/>
    </w:rPr>
  </w:style>
  <w:style w:type="paragraph" w:styleId="CommentSubject">
    <w:name w:val="annotation subject"/>
    <w:basedOn w:val="CommentText"/>
    <w:next w:val="CommentText"/>
    <w:link w:val="CommentSubjectChar"/>
    <w:uiPriority w:val="99"/>
    <w:semiHidden/>
    <w:unhideWhenUsed/>
    <w:rsid w:val="00EF1711"/>
    <w:rPr>
      <w:b/>
      <w:bCs/>
    </w:rPr>
  </w:style>
  <w:style w:type="character" w:customStyle="1" w:styleId="CommentSubjectChar">
    <w:name w:val="Comment Subject Char"/>
    <w:basedOn w:val="CommentTextChar"/>
    <w:link w:val="CommentSubject"/>
    <w:uiPriority w:val="99"/>
    <w:semiHidden/>
    <w:rsid w:val="00EF1711"/>
    <w:rPr>
      <w:b/>
      <w:bCs/>
      <w:sz w:val="20"/>
      <w:szCs w:val="20"/>
      <w:lang w:eastAsia="en-US"/>
    </w:rPr>
  </w:style>
  <w:style w:type="table" w:customStyle="1" w:styleId="TableGrid10">
    <w:name w:val="Table Grid1"/>
    <w:basedOn w:val="TableNormal"/>
    <w:next w:val="TableGrid"/>
    <w:rsid w:val="00D45FC3"/>
    <w:pPr>
      <w:spacing w:line="28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1904">
      <w:bodyDiv w:val="1"/>
      <w:marLeft w:val="0"/>
      <w:marRight w:val="0"/>
      <w:marTop w:val="0"/>
      <w:marBottom w:val="0"/>
      <w:divBdr>
        <w:top w:val="none" w:sz="0" w:space="0" w:color="auto"/>
        <w:left w:val="none" w:sz="0" w:space="0" w:color="auto"/>
        <w:bottom w:val="none" w:sz="0" w:space="0" w:color="auto"/>
        <w:right w:val="none" w:sz="0" w:space="0" w:color="auto"/>
      </w:divBdr>
      <w:divsChild>
        <w:div w:id="402800007">
          <w:marLeft w:val="0"/>
          <w:marRight w:val="0"/>
          <w:marTop w:val="0"/>
          <w:marBottom w:val="0"/>
          <w:divBdr>
            <w:top w:val="none" w:sz="0" w:space="0" w:color="auto"/>
            <w:left w:val="none" w:sz="0" w:space="0" w:color="auto"/>
            <w:bottom w:val="none" w:sz="0" w:space="0" w:color="auto"/>
            <w:right w:val="none" w:sz="0" w:space="0" w:color="auto"/>
          </w:divBdr>
          <w:divsChild>
            <w:div w:id="726102518">
              <w:marLeft w:val="0"/>
              <w:marRight w:val="0"/>
              <w:marTop w:val="0"/>
              <w:marBottom w:val="0"/>
              <w:divBdr>
                <w:top w:val="none" w:sz="0" w:space="0" w:color="auto"/>
                <w:left w:val="none" w:sz="0" w:space="0" w:color="auto"/>
                <w:bottom w:val="none" w:sz="0" w:space="0" w:color="auto"/>
                <w:right w:val="none" w:sz="0" w:space="0" w:color="auto"/>
              </w:divBdr>
              <w:divsChild>
                <w:div w:id="1406873971">
                  <w:marLeft w:val="0"/>
                  <w:marRight w:val="0"/>
                  <w:marTop w:val="105"/>
                  <w:marBottom w:val="0"/>
                  <w:divBdr>
                    <w:top w:val="none" w:sz="0" w:space="0" w:color="auto"/>
                    <w:left w:val="none" w:sz="0" w:space="0" w:color="auto"/>
                    <w:bottom w:val="none" w:sz="0" w:space="0" w:color="auto"/>
                    <w:right w:val="none" w:sz="0" w:space="0" w:color="auto"/>
                  </w:divBdr>
                  <w:divsChild>
                    <w:div w:id="614094232">
                      <w:marLeft w:val="450"/>
                      <w:marRight w:val="225"/>
                      <w:marTop w:val="0"/>
                      <w:marBottom w:val="0"/>
                      <w:divBdr>
                        <w:top w:val="none" w:sz="0" w:space="0" w:color="auto"/>
                        <w:left w:val="none" w:sz="0" w:space="0" w:color="auto"/>
                        <w:bottom w:val="none" w:sz="0" w:space="0" w:color="auto"/>
                        <w:right w:val="none" w:sz="0" w:space="0" w:color="auto"/>
                      </w:divBdr>
                      <w:divsChild>
                        <w:div w:id="2134592688">
                          <w:marLeft w:val="0"/>
                          <w:marRight w:val="0"/>
                          <w:marTop w:val="0"/>
                          <w:marBottom w:val="600"/>
                          <w:divBdr>
                            <w:top w:val="single" w:sz="6" w:space="0" w:color="314664"/>
                            <w:left w:val="single" w:sz="6" w:space="0" w:color="314664"/>
                            <w:bottom w:val="single" w:sz="6" w:space="0" w:color="314664"/>
                            <w:right w:val="single" w:sz="6" w:space="0" w:color="314664"/>
                          </w:divBdr>
                          <w:divsChild>
                            <w:div w:id="1119884186">
                              <w:marLeft w:val="0"/>
                              <w:marRight w:val="0"/>
                              <w:marTop w:val="0"/>
                              <w:marBottom w:val="0"/>
                              <w:divBdr>
                                <w:top w:val="none" w:sz="0" w:space="0" w:color="auto"/>
                                <w:left w:val="none" w:sz="0" w:space="0" w:color="auto"/>
                                <w:bottom w:val="none" w:sz="0" w:space="0" w:color="auto"/>
                                <w:right w:val="none" w:sz="0" w:space="0" w:color="auto"/>
                              </w:divBdr>
                              <w:divsChild>
                                <w:div w:id="568536092">
                                  <w:marLeft w:val="0"/>
                                  <w:marRight w:val="0"/>
                                  <w:marTop w:val="0"/>
                                  <w:marBottom w:val="0"/>
                                  <w:divBdr>
                                    <w:top w:val="none" w:sz="0" w:space="0" w:color="auto"/>
                                    <w:left w:val="none" w:sz="0" w:space="0" w:color="auto"/>
                                    <w:bottom w:val="none" w:sz="0" w:space="0" w:color="auto"/>
                                    <w:right w:val="none" w:sz="0" w:space="0" w:color="auto"/>
                                  </w:divBdr>
                                  <w:divsChild>
                                    <w:div w:id="1687361278">
                                      <w:marLeft w:val="0"/>
                                      <w:marRight w:val="0"/>
                                      <w:marTop w:val="0"/>
                                      <w:marBottom w:val="0"/>
                                      <w:divBdr>
                                        <w:top w:val="none" w:sz="0" w:space="0" w:color="auto"/>
                                        <w:left w:val="none" w:sz="0" w:space="0" w:color="auto"/>
                                        <w:bottom w:val="none" w:sz="0" w:space="0" w:color="auto"/>
                                        <w:right w:val="none" w:sz="0" w:space="0" w:color="auto"/>
                                      </w:divBdr>
                                      <w:divsChild>
                                        <w:div w:id="1225212695">
                                          <w:marLeft w:val="0"/>
                                          <w:marRight w:val="0"/>
                                          <w:marTop w:val="0"/>
                                          <w:marBottom w:val="0"/>
                                          <w:divBdr>
                                            <w:top w:val="none" w:sz="0" w:space="0" w:color="auto"/>
                                            <w:left w:val="none" w:sz="0" w:space="0" w:color="auto"/>
                                            <w:bottom w:val="none" w:sz="0" w:space="0" w:color="auto"/>
                                            <w:right w:val="none" w:sz="0" w:space="0" w:color="auto"/>
                                          </w:divBdr>
                                          <w:divsChild>
                                            <w:div w:id="1381051517">
                                              <w:marLeft w:val="0"/>
                                              <w:marRight w:val="0"/>
                                              <w:marTop w:val="0"/>
                                              <w:marBottom w:val="0"/>
                                              <w:divBdr>
                                                <w:top w:val="none" w:sz="0" w:space="0" w:color="auto"/>
                                                <w:left w:val="none" w:sz="0" w:space="0" w:color="auto"/>
                                                <w:bottom w:val="none" w:sz="0" w:space="0" w:color="auto"/>
                                                <w:right w:val="none" w:sz="0" w:space="0" w:color="auto"/>
                                              </w:divBdr>
                                              <w:divsChild>
                                                <w:div w:id="304511240">
                                                  <w:marLeft w:val="0"/>
                                                  <w:marRight w:val="0"/>
                                                  <w:marTop w:val="0"/>
                                                  <w:marBottom w:val="0"/>
                                                  <w:divBdr>
                                                    <w:top w:val="none" w:sz="0" w:space="0" w:color="auto"/>
                                                    <w:left w:val="none" w:sz="0" w:space="0" w:color="auto"/>
                                                    <w:bottom w:val="none" w:sz="0" w:space="0" w:color="auto"/>
                                                    <w:right w:val="none" w:sz="0" w:space="0" w:color="auto"/>
                                                  </w:divBdr>
                                                  <w:divsChild>
                                                    <w:div w:id="948589030">
                                                      <w:marLeft w:val="0"/>
                                                      <w:marRight w:val="0"/>
                                                      <w:marTop w:val="0"/>
                                                      <w:marBottom w:val="0"/>
                                                      <w:divBdr>
                                                        <w:top w:val="none" w:sz="0" w:space="0" w:color="auto"/>
                                                        <w:left w:val="none" w:sz="0" w:space="0" w:color="auto"/>
                                                        <w:bottom w:val="none" w:sz="0" w:space="0" w:color="auto"/>
                                                        <w:right w:val="none" w:sz="0" w:space="0" w:color="auto"/>
                                                      </w:divBdr>
                                                      <w:divsChild>
                                                        <w:div w:id="867525510">
                                                          <w:marLeft w:val="0"/>
                                                          <w:marRight w:val="0"/>
                                                          <w:marTop w:val="0"/>
                                                          <w:marBottom w:val="0"/>
                                                          <w:divBdr>
                                                            <w:top w:val="none" w:sz="0" w:space="0" w:color="auto"/>
                                                            <w:left w:val="none" w:sz="0" w:space="0" w:color="auto"/>
                                                            <w:bottom w:val="none" w:sz="0" w:space="0" w:color="auto"/>
                                                            <w:right w:val="none" w:sz="0" w:space="0" w:color="auto"/>
                                                          </w:divBdr>
                                                          <w:divsChild>
                                                            <w:div w:id="592594867">
                                                              <w:marLeft w:val="0"/>
                                                              <w:marRight w:val="0"/>
                                                              <w:marTop w:val="0"/>
                                                              <w:marBottom w:val="0"/>
                                                              <w:divBdr>
                                                                <w:top w:val="none" w:sz="0" w:space="0" w:color="auto"/>
                                                                <w:left w:val="none" w:sz="0" w:space="0" w:color="auto"/>
                                                                <w:bottom w:val="none" w:sz="0" w:space="0" w:color="auto"/>
                                                                <w:right w:val="none" w:sz="0" w:space="0" w:color="auto"/>
                                                              </w:divBdr>
                                                              <w:divsChild>
                                                                <w:div w:id="1185249816">
                                                                  <w:marLeft w:val="0"/>
                                                                  <w:marRight w:val="0"/>
                                                                  <w:marTop w:val="0"/>
                                                                  <w:marBottom w:val="0"/>
                                                                  <w:divBdr>
                                                                    <w:top w:val="none" w:sz="0" w:space="0" w:color="auto"/>
                                                                    <w:left w:val="none" w:sz="0" w:space="0" w:color="auto"/>
                                                                    <w:bottom w:val="none" w:sz="0" w:space="0" w:color="auto"/>
                                                                    <w:right w:val="none" w:sz="0" w:space="0" w:color="auto"/>
                                                                  </w:divBdr>
                                                                  <w:divsChild>
                                                                    <w:div w:id="324018460">
                                                                      <w:marLeft w:val="0"/>
                                                                      <w:marRight w:val="0"/>
                                                                      <w:marTop w:val="83"/>
                                                                      <w:marBottom w:val="0"/>
                                                                      <w:divBdr>
                                                                        <w:top w:val="none" w:sz="0" w:space="0" w:color="auto"/>
                                                                        <w:left w:val="none" w:sz="0" w:space="0" w:color="auto"/>
                                                                        <w:bottom w:val="none" w:sz="0" w:space="0" w:color="auto"/>
                                                                        <w:right w:val="none" w:sz="0" w:space="0" w:color="auto"/>
                                                                      </w:divBdr>
                                                                      <w:divsChild>
                                                                        <w:div w:id="1101491806">
                                                                          <w:marLeft w:val="0"/>
                                                                          <w:marRight w:val="0"/>
                                                                          <w:marTop w:val="0"/>
                                                                          <w:marBottom w:val="0"/>
                                                                          <w:divBdr>
                                                                            <w:top w:val="none" w:sz="0" w:space="0" w:color="auto"/>
                                                                            <w:left w:val="none" w:sz="0" w:space="0" w:color="auto"/>
                                                                            <w:bottom w:val="none" w:sz="0" w:space="0" w:color="auto"/>
                                                                            <w:right w:val="none" w:sz="0" w:space="0" w:color="auto"/>
                                                                          </w:divBdr>
                                                                          <w:divsChild>
                                                                            <w:div w:id="270430955">
                                                                              <w:marLeft w:val="0"/>
                                                                              <w:marRight w:val="0"/>
                                                                              <w:marTop w:val="83"/>
                                                                              <w:marBottom w:val="0"/>
                                                                              <w:divBdr>
                                                                                <w:top w:val="none" w:sz="0" w:space="0" w:color="auto"/>
                                                                                <w:left w:val="none" w:sz="0" w:space="0" w:color="auto"/>
                                                                                <w:bottom w:val="none" w:sz="0" w:space="0" w:color="auto"/>
                                                                                <w:right w:val="none" w:sz="0" w:space="0" w:color="auto"/>
                                                                              </w:divBdr>
                                                                            </w:div>
                                                                          </w:divsChild>
                                                                        </w:div>
                                                                        <w:div w:id="2101875972">
                                                                          <w:marLeft w:val="0"/>
                                                                          <w:marRight w:val="0"/>
                                                                          <w:marTop w:val="0"/>
                                                                          <w:marBottom w:val="0"/>
                                                                          <w:divBdr>
                                                                            <w:top w:val="none" w:sz="0" w:space="0" w:color="auto"/>
                                                                            <w:left w:val="none" w:sz="0" w:space="0" w:color="auto"/>
                                                                            <w:bottom w:val="none" w:sz="0" w:space="0" w:color="auto"/>
                                                                            <w:right w:val="none" w:sz="0" w:space="0" w:color="auto"/>
                                                                          </w:divBdr>
                                                                          <w:divsChild>
                                                                            <w:div w:id="1131482436">
                                                                              <w:marLeft w:val="0"/>
                                                                              <w:marRight w:val="0"/>
                                                                              <w:marTop w:val="83"/>
                                                                              <w:marBottom w:val="0"/>
                                                                              <w:divBdr>
                                                                                <w:top w:val="none" w:sz="0" w:space="0" w:color="auto"/>
                                                                                <w:left w:val="none" w:sz="0" w:space="0" w:color="auto"/>
                                                                                <w:bottom w:val="none" w:sz="0" w:space="0" w:color="auto"/>
                                                                                <w:right w:val="none" w:sz="0" w:space="0" w:color="auto"/>
                                                                              </w:divBdr>
                                                                            </w:div>
                                                                          </w:divsChild>
                                                                        </w:div>
                                                                        <w:div w:id="2120953348">
                                                                          <w:marLeft w:val="0"/>
                                                                          <w:marRight w:val="0"/>
                                                                          <w:marTop w:val="0"/>
                                                                          <w:marBottom w:val="0"/>
                                                                          <w:divBdr>
                                                                            <w:top w:val="none" w:sz="0" w:space="0" w:color="auto"/>
                                                                            <w:left w:val="none" w:sz="0" w:space="0" w:color="auto"/>
                                                                            <w:bottom w:val="none" w:sz="0" w:space="0" w:color="auto"/>
                                                                            <w:right w:val="none" w:sz="0" w:space="0" w:color="auto"/>
                                                                          </w:divBdr>
                                                                          <w:divsChild>
                                                                            <w:div w:id="1357971526">
                                                                              <w:marLeft w:val="0"/>
                                                                              <w:marRight w:val="0"/>
                                                                              <w:marTop w:val="83"/>
                                                                              <w:marBottom w:val="0"/>
                                                                              <w:divBdr>
                                                                                <w:top w:val="none" w:sz="0" w:space="0" w:color="auto"/>
                                                                                <w:left w:val="none" w:sz="0" w:space="0" w:color="auto"/>
                                                                                <w:bottom w:val="none" w:sz="0" w:space="0" w:color="auto"/>
                                                                                <w:right w:val="none" w:sz="0" w:space="0" w:color="auto"/>
                                                                              </w:divBdr>
                                                                            </w:div>
                                                                          </w:divsChild>
                                                                        </w:div>
                                                                        <w:div w:id="129174552">
                                                                          <w:marLeft w:val="0"/>
                                                                          <w:marRight w:val="0"/>
                                                                          <w:marTop w:val="0"/>
                                                                          <w:marBottom w:val="0"/>
                                                                          <w:divBdr>
                                                                            <w:top w:val="none" w:sz="0" w:space="0" w:color="auto"/>
                                                                            <w:left w:val="none" w:sz="0" w:space="0" w:color="auto"/>
                                                                            <w:bottom w:val="none" w:sz="0" w:space="0" w:color="auto"/>
                                                                            <w:right w:val="none" w:sz="0" w:space="0" w:color="auto"/>
                                                                          </w:divBdr>
                                                                          <w:divsChild>
                                                                            <w:div w:id="1394306152">
                                                                              <w:marLeft w:val="0"/>
                                                                              <w:marRight w:val="0"/>
                                                                              <w:marTop w:val="83"/>
                                                                              <w:marBottom w:val="0"/>
                                                                              <w:divBdr>
                                                                                <w:top w:val="none" w:sz="0" w:space="0" w:color="auto"/>
                                                                                <w:left w:val="none" w:sz="0" w:space="0" w:color="auto"/>
                                                                                <w:bottom w:val="none" w:sz="0" w:space="0" w:color="auto"/>
                                                                                <w:right w:val="none" w:sz="0" w:space="0" w:color="auto"/>
                                                                              </w:divBdr>
                                                                            </w:div>
                                                                          </w:divsChild>
                                                                        </w:div>
                                                                        <w:div w:id="1333099509">
                                                                          <w:marLeft w:val="0"/>
                                                                          <w:marRight w:val="0"/>
                                                                          <w:marTop w:val="0"/>
                                                                          <w:marBottom w:val="0"/>
                                                                          <w:divBdr>
                                                                            <w:top w:val="none" w:sz="0" w:space="0" w:color="auto"/>
                                                                            <w:left w:val="none" w:sz="0" w:space="0" w:color="auto"/>
                                                                            <w:bottom w:val="none" w:sz="0" w:space="0" w:color="auto"/>
                                                                            <w:right w:val="none" w:sz="0" w:space="0" w:color="auto"/>
                                                                          </w:divBdr>
                                                                          <w:divsChild>
                                                                            <w:div w:id="17565791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718765">
      <w:bodyDiv w:val="1"/>
      <w:marLeft w:val="0"/>
      <w:marRight w:val="0"/>
      <w:marTop w:val="0"/>
      <w:marBottom w:val="0"/>
      <w:divBdr>
        <w:top w:val="none" w:sz="0" w:space="0" w:color="auto"/>
        <w:left w:val="none" w:sz="0" w:space="0" w:color="auto"/>
        <w:bottom w:val="none" w:sz="0" w:space="0" w:color="auto"/>
        <w:right w:val="none" w:sz="0" w:space="0" w:color="auto"/>
      </w:divBdr>
    </w:div>
    <w:div w:id="14190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465409791e42468d5f7b47ae50468d xmlns="55f734f0-82e3-448f-9814-59383e67413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a465409791e42468d5f7b47ae50468d>
    <_dlc_DocId xmlns="55f734f0-82e3-448f-9814-59383e674136">ADXRF2XRTYKY-766683950-19</_dlc_DocId>
    <_dlc_DocIdUrl xmlns="55f734f0-82e3-448f-9814-59383e674136">
      <Url>https://dia.cohesion.net.nz/Sites/INQ/IVC/ESA/_layouts/15/DocIdRedir.aspx?ID=ADXRF2XRTYKY-766683950-19</Url>
      <Description>ADXRF2XRTYKY-766683950-19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695218EFDB34ABCEC1D8A5277E74E" ma:contentTypeVersion="4" ma:contentTypeDescription="Create a new document." ma:contentTypeScope="" ma:versionID="f71e97f49422bee66bd8cee92d9c234d">
  <xsd:schema xmlns:xsd="http://www.w3.org/2001/XMLSchema" xmlns:xs="http://www.w3.org/2001/XMLSchema" xmlns:p="http://schemas.microsoft.com/office/2006/metadata/properties" xmlns:ns2="55f734f0-82e3-448f-9814-59383e674136" targetNamespace="http://schemas.microsoft.com/office/2006/metadata/properties" ma:root="true" ma:fieldsID="4618fd2d04b46c7fdf405be2b66021ed" ns2:_="">
    <xsd:import namespace="55f734f0-82e3-448f-9814-59383e674136"/>
    <xsd:element name="properties">
      <xsd:complexType>
        <xsd:sequence>
          <xsd:element name="documentManagement">
            <xsd:complexType>
              <xsd:all>
                <xsd:element ref="ns2:_dlc_DocId" minOccurs="0"/>
                <xsd:element ref="ns2:_dlc_DocIdUrl" minOccurs="0"/>
                <xsd:element ref="ns2:_dlc_DocIdPersistId" minOccurs="0"/>
                <xsd:element ref="ns2:la465409791e42468d5f7b47ae5046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734f0-82e3-448f-9814-59383e674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465409791e42468d5f7b47ae50468d" ma:index="12" ma:taxonomy="true" ma:internalName="la465409791e42468d5f7b47ae50468d" ma:taxonomyFieldName="DIASecurityClassification" ma:displayName="Security Classification" ma:default="1;#UNCLASSIFIED|875d92a8-67e2-4a32-9472-8fe99549e1eb" ma:fieldId="{5a465409-791e-4246-8d5f-7b47ae50468d}" ma:sspId="caf61cd4-0327-4679-8f8a-6e41773e81e7" ma:termSetId="6e030844-242a-4d29-a562-8ce1d1b5efa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49CE-7D54-4CB3-B415-2A8E16D47B3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f734f0-82e3-448f-9814-59383e67413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08E24F3-1A36-4DC8-A4A1-69BAD6D7E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734f0-82e3-448f-9814-59383e674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34A93-CC4B-4210-813C-A905BB5C7374}">
  <ds:schemaRefs>
    <ds:schemaRef ds:uri="http://schemas.microsoft.com/sharepoint/events"/>
  </ds:schemaRefs>
</ds:datastoreItem>
</file>

<file path=customXml/itemProps4.xml><?xml version="1.0" encoding="utf-8"?>
<ds:datastoreItem xmlns:ds="http://schemas.openxmlformats.org/officeDocument/2006/customXml" ds:itemID="{363AFB72-7580-4FE2-8234-90ADFA773E0D}">
  <ds:schemaRefs>
    <ds:schemaRef ds:uri="http://schemas.microsoft.com/sharepoint/v3/contenttype/forms"/>
  </ds:schemaRefs>
</ds:datastoreItem>
</file>

<file path=customXml/itemProps5.xml><?xml version="1.0" encoding="utf-8"?>
<ds:datastoreItem xmlns:ds="http://schemas.openxmlformats.org/officeDocument/2006/customXml" ds:itemID="{25287586-64A7-4F95-B294-CF158BF1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4344</Words>
  <Characters>24938</Characters>
  <Application>Microsoft Office Word</Application>
  <DocSecurity>0</DocSecurity>
  <Lines>656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Chaplin</dc:creator>
  <cp:keywords/>
  <dc:description/>
  <cp:lastModifiedBy>Julie Wall</cp:lastModifiedBy>
  <cp:revision>7</cp:revision>
  <cp:lastPrinted>2021-02-21T18:35:00Z</cp:lastPrinted>
  <dcterms:created xsi:type="dcterms:W3CDTF">2021-02-16T19:44:00Z</dcterms:created>
  <dcterms:modified xsi:type="dcterms:W3CDTF">2021-02-21T18:47:00Z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0x010100AA1695218EFDB34ABCEC1D8A5277E74E</vt:lpwstr>
  </property>
  <property fmtid="{D5CDD505-2E9C-101B-9397-08002B2CF9AE}" pid="3" name="f6a63413ce3d46c4a0c4711f8ed8587d">
    <vt:lpwstr>Correspondence|dcd6b05f-dc80-4336-b228-09aebf3d212c</vt:lpwstr>
  </property>
  <property fmtid="{D5CDD505-2E9C-101B-9397-08002B2CF9AE}" pid="4" name="_dlc_DocIdItemGuid">
    <vt:lpwstr>c20bde55-73cd-472c-a912-69e7265627b8</vt:lpwstr>
  </property>
  <property fmtid="{D5CDD505-2E9C-101B-9397-08002B2CF9AE}" pid="5" name="TaxKeyword">
    <vt:lpwstr/>
  </property>
  <property fmtid="{D5CDD505-2E9C-101B-9397-08002B2CF9AE}" pid="6" name="TaxCatchAll">
    <vt:lpwstr>5;#Correspondence|dcd6b05f-dc80-4336-b228-09aebf3d212c;#1;#UNCLASSIFIED|875d92a8-67e2-4a32-9472-8fe99549e1eb</vt:lpwstr>
  </property>
  <property fmtid="{D5CDD505-2E9C-101B-9397-08002B2CF9AE}" pid="7" name="TaxKeywordTaxHTField">
    <vt:lpwstr/>
  </property>
  <property fmtid="{D5CDD505-2E9C-101B-9397-08002B2CF9AE}" pid="8" name="C3Topic">
    <vt:lpwstr/>
  </property>
  <property fmtid="{D5CDD505-2E9C-101B-9397-08002B2CF9AE}" pid="9" name="C3TopicNote">
    <vt:lpwstr/>
  </property>
  <property fmtid="{D5CDD505-2E9C-101B-9397-08002B2CF9AE}" pid="10" name="DIASecurityClassification">
    <vt:lpwstr>1;#UNCLASSIFIED|875d92a8-67e2-4a32-9472-8fe99549e1eb</vt:lpwstr>
  </property>
  <property fmtid="{D5CDD505-2E9C-101B-9397-08002B2CF9AE}" pid="11" name="DIAEmailContentType">
    <vt:lpwstr>5;#Correspondence|dcd6b05f-dc80-4336-b228-09aebf3d212c</vt:lpwstr>
  </property>
</Properties>
</file>