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A486" w14:textId="2D0DF98B" w:rsidR="00BE67AB" w:rsidRDefault="008D3027" w:rsidP="00BE67AB">
      <w:pPr>
        <w:jc w:val="right"/>
      </w:pPr>
      <w:bookmarkStart w:id="0" w:name="_GoBack"/>
      <w:bookmarkEnd w:id="0"/>
      <w:r w:rsidRPr="00FA5886">
        <w:rPr>
          <w:rFonts w:ascii="Arial" w:hAnsi="Arial" w:cs="Arial"/>
          <w:noProof/>
        </w:rPr>
        <w:drawing>
          <wp:anchor distT="0" distB="0" distL="114300" distR="114300" simplePos="0" relativeHeight="251659264" behindDoc="0" locked="0" layoutInCell="1" allowOverlap="1" wp14:anchorId="0C2B25E3" wp14:editId="40BE9A6E">
            <wp:simplePos x="0" y="0"/>
            <wp:positionH relativeFrom="column">
              <wp:posOffset>3403600</wp:posOffset>
            </wp:positionH>
            <wp:positionV relativeFrom="paragraph">
              <wp:posOffset>0</wp:posOffset>
            </wp:positionV>
            <wp:extent cx="2604770" cy="559435"/>
            <wp:effectExtent l="0" t="0" r="5080" b="0"/>
            <wp:wrapThrough wrapText="bothSides">
              <wp:wrapPolygon edited="0">
                <wp:start x="0" y="0"/>
                <wp:lineTo x="0" y="20595"/>
                <wp:lineTo x="21484" y="20595"/>
                <wp:lineTo x="214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77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9612E" w14:textId="77777777" w:rsidR="00BE67AB" w:rsidRDefault="00BE67AB" w:rsidP="00BE67AB"/>
    <w:p w14:paraId="22E1D38A" w14:textId="6B3740AE" w:rsidR="00BE67AB" w:rsidRPr="008D4934" w:rsidRDefault="008D3027" w:rsidP="00BE67AB">
      <w:pPr>
        <w:rPr>
          <w:b/>
          <w:sz w:val="36"/>
          <w:szCs w:val="36"/>
        </w:rPr>
      </w:pPr>
      <w:r>
        <w:rPr>
          <w:b/>
          <w:sz w:val="36"/>
          <w:szCs w:val="36"/>
        </w:rPr>
        <w:br/>
      </w:r>
      <w:r w:rsidR="00BE67AB" w:rsidRPr="008D4934">
        <w:rPr>
          <w:b/>
          <w:sz w:val="36"/>
          <w:szCs w:val="36"/>
        </w:rPr>
        <w:t>Royal Commission into Historical Abuse in State Care and in the Care of Faith-Based Institutions</w:t>
      </w:r>
    </w:p>
    <w:p w14:paraId="4C7D26F4" w14:textId="77777777" w:rsidR="00BE67AB" w:rsidRPr="008D4934" w:rsidRDefault="00BE67AB" w:rsidP="00BE67AB">
      <w:pPr>
        <w:rPr>
          <w:b/>
          <w:sz w:val="36"/>
          <w:szCs w:val="36"/>
        </w:rPr>
      </w:pPr>
    </w:p>
    <w:p w14:paraId="784C45F7" w14:textId="77777777" w:rsidR="00BE67AB" w:rsidRPr="008D4934" w:rsidRDefault="00BE67AB" w:rsidP="00BE67AB">
      <w:pPr>
        <w:contextualSpacing/>
        <w:rPr>
          <w:b/>
          <w:sz w:val="36"/>
          <w:szCs w:val="36"/>
        </w:rPr>
      </w:pPr>
      <w:r w:rsidRPr="008D4934">
        <w:rPr>
          <w:b/>
          <w:sz w:val="36"/>
          <w:szCs w:val="36"/>
        </w:rPr>
        <w:t xml:space="preserve">Quarterly Report </w:t>
      </w:r>
      <w:r>
        <w:rPr>
          <w:b/>
          <w:sz w:val="36"/>
          <w:szCs w:val="36"/>
        </w:rPr>
        <w:t xml:space="preserve">(1 </w:t>
      </w:r>
      <w:r w:rsidR="002B3126">
        <w:rPr>
          <w:b/>
          <w:sz w:val="36"/>
          <w:szCs w:val="36"/>
        </w:rPr>
        <w:t xml:space="preserve">October </w:t>
      </w:r>
      <w:r>
        <w:rPr>
          <w:b/>
          <w:sz w:val="36"/>
          <w:szCs w:val="36"/>
        </w:rPr>
        <w:t>2020 – 3</w:t>
      </w:r>
      <w:r w:rsidR="002B3126">
        <w:rPr>
          <w:b/>
          <w:sz w:val="36"/>
          <w:szCs w:val="36"/>
        </w:rPr>
        <w:t xml:space="preserve">1 December </w:t>
      </w:r>
      <w:r>
        <w:rPr>
          <w:b/>
          <w:sz w:val="36"/>
          <w:szCs w:val="36"/>
        </w:rPr>
        <w:t>2020)</w:t>
      </w:r>
    </w:p>
    <w:p w14:paraId="21250114" w14:textId="77777777" w:rsidR="00BE67AB" w:rsidRDefault="00BE67AB" w:rsidP="00BE67AB">
      <w:pPr>
        <w:contextualSpacing/>
        <w:rPr>
          <w:b/>
          <w:sz w:val="36"/>
          <w:szCs w:val="36"/>
        </w:rPr>
      </w:pPr>
    </w:p>
    <w:p w14:paraId="23A728EB" w14:textId="77777777" w:rsidR="00BE67AB" w:rsidRDefault="002B3126" w:rsidP="00BE67AB">
      <w:pPr>
        <w:contextualSpacing/>
        <w:rPr>
          <w:b/>
          <w:sz w:val="36"/>
          <w:szCs w:val="36"/>
        </w:rPr>
      </w:pPr>
      <w:r>
        <w:rPr>
          <w:b/>
          <w:sz w:val="36"/>
          <w:szCs w:val="36"/>
        </w:rPr>
        <w:t>As at 31 December</w:t>
      </w:r>
      <w:r w:rsidR="00BE67AB" w:rsidRPr="008D4934">
        <w:rPr>
          <w:b/>
          <w:sz w:val="36"/>
          <w:szCs w:val="36"/>
        </w:rPr>
        <w:t xml:space="preserve"> 2020</w:t>
      </w:r>
    </w:p>
    <w:p w14:paraId="5ED9923D" w14:textId="77777777" w:rsidR="00BE67AB" w:rsidRDefault="00BE67AB" w:rsidP="00BE67AB">
      <w:pPr>
        <w:contextualSpacing/>
        <w:rPr>
          <w:b/>
          <w:sz w:val="36"/>
          <w:szCs w:val="36"/>
        </w:rPr>
      </w:pPr>
    </w:p>
    <w:p w14:paraId="5BCC2A51" w14:textId="77777777" w:rsidR="00BE67AB" w:rsidRDefault="00BE67AB" w:rsidP="00BE67AB">
      <w:pPr>
        <w:contextualSpacing/>
        <w:rPr>
          <w:b/>
          <w:sz w:val="36"/>
          <w:szCs w:val="36"/>
        </w:rPr>
      </w:pPr>
    </w:p>
    <w:p w14:paraId="42803E71" w14:textId="77777777" w:rsidR="00BE67AB" w:rsidRPr="008D4934" w:rsidRDefault="00BE67AB" w:rsidP="00BE67AB">
      <w:pPr>
        <w:contextualSpacing/>
        <w:rPr>
          <w:b/>
        </w:rPr>
      </w:pPr>
    </w:p>
    <w:p w14:paraId="4CE846CC" w14:textId="77777777" w:rsidR="00BE67AB" w:rsidRDefault="00BE67AB">
      <w:pPr>
        <w:keepLines w:val="0"/>
        <w:rPr>
          <w:rFonts w:asciiTheme="minorHAnsi" w:hAnsiTheme="minorHAnsi" w:cstheme="minorHAnsi"/>
          <w:b/>
        </w:rPr>
      </w:pPr>
      <w:r>
        <w:rPr>
          <w:rFonts w:asciiTheme="minorHAnsi" w:hAnsiTheme="minorHAnsi" w:cstheme="minorHAnsi"/>
          <w:b/>
        </w:rPr>
        <w:br w:type="page"/>
      </w:r>
    </w:p>
    <w:p w14:paraId="05F0E079" w14:textId="77777777" w:rsidR="00BE67AB" w:rsidRPr="00BE67AB" w:rsidRDefault="00BE67AB" w:rsidP="00BE67AB">
      <w:pPr>
        <w:pStyle w:val="Heading1"/>
      </w:pPr>
      <w:r w:rsidRPr="00E11D08">
        <w:lastRenderedPageBreak/>
        <w:t>Overall comments</w:t>
      </w:r>
    </w:p>
    <w:p w14:paraId="04E025B4" w14:textId="77777777" w:rsidR="00BE67AB" w:rsidRPr="004652C3" w:rsidRDefault="00BE67AB" w:rsidP="00BE67AB">
      <w:pPr>
        <w:rPr>
          <w:rFonts w:asciiTheme="minorHAnsi" w:hAnsiTheme="minorHAnsi" w:cstheme="minorHAnsi"/>
          <w:b/>
        </w:rPr>
      </w:pPr>
      <w:r w:rsidRPr="004652C3">
        <w:rPr>
          <w:rFonts w:asciiTheme="minorHAnsi" w:hAnsiTheme="minorHAnsi" w:cstheme="minorHAnsi"/>
          <w:b/>
        </w:rPr>
        <w:t>Purpose</w:t>
      </w:r>
    </w:p>
    <w:p w14:paraId="26131028" w14:textId="518916E3" w:rsidR="00BE67AB" w:rsidRPr="00094734" w:rsidRDefault="00BE67AB" w:rsidP="00BE67AB">
      <w:pPr>
        <w:keepLines w:val="0"/>
        <w:spacing w:before="100" w:beforeAutospacing="1" w:after="100" w:afterAutospacing="1"/>
        <w:rPr>
          <w:rFonts w:cs="Calibri"/>
        </w:rPr>
      </w:pPr>
      <w:r>
        <w:rPr>
          <w:rFonts w:cs="Calibri"/>
        </w:rPr>
        <w:t xml:space="preserve">This report updates the high-level activity and performance expectations of </w:t>
      </w:r>
      <w:r w:rsidRPr="00094734">
        <w:rPr>
          <w:rFonts w:cs="Calibri"/>
        </w:rPr>
        <w:t xml:space="preserve">the Royal Commission into Historical Abuse in State Care and in the Care of Faith-based Institutions (the </w:t>
      </w:r>
      <w:r>
        <w:rPr>
          <w:rFonts w:cs="Calibri"/>
        </w:rPr>
        <w:t>Inquiry</w:t>
      </w:r>
      <w:r w:rsidRPr="00094734">
        <w:rPr>
          <w:rFonts w:cs="Calibri"/>
        </w:rPr>
        <w:t xml:space="preserve">) for </w:t>
      </w:r>
      <w:r w:rsidR="00094178">
        <w:rPr>
          <w:rFonts w:cs="Calibri"/>
        </w:rPr>
        <w:t xml:space="preserve">the </w:t>
      </w:r>
      <w:r w:rsidRPr="00E11D08">
        <w:rPr>
          <w:rFonts w:cs="Calibri"/>
        </w:rPr>
        <w:t>2020/</w:t>
      </w:r>
      <w:r w:rsidR="00351BEA">
        <w:rPr>
          <w:rFonts w:cs="Calibri"/>
        </w:rPr>
        <w:t>20</w:t>
      </w:r>
      <w:r w:rsidRPr="00E11D08">
        <w:rPr>
          <w:rFonts w:cs="Calibri"/>
        </w:rPr>
        <w:t>21</w:t>
      </w:r>
      <w:r w:rsidR="00094178">
        <w:rPr>
          <w:rFonts w:cs="Calibri"/>
        </w:rPr>
        <w:t xml:space="preserve"> year for the</w:t>
      </w:r>
      <w:r>
        <w:rPr>
          <w:rFonts w:cs="Calibri"/>
        </w:rPr>
        <w:t xml:space="preserve"> </w:t>
      </w:r>
      <w:r w:rsidR="002B3126">
        <w:rPr>
          <w:rFonts w:cs="Calibri"/>
        </w:rPr>
        <w:t>quarter ended 31 December</w:t>
      </w:r>
      <w:r>
        <w:rPr>
          <w:rFonts w:cs="Calibri"/>
        </w:rPr>
        <w:t xml:space="preserve"> 2020. </w:t>
      </w:r>
    </w:p>
    <w:p w14:paraId="445F96FD" w14:textId="6C29EF18" w:rsidR="00BE67AB" w:rsidRPr="002B3126" w:rsidRDefault="00BE67AB" w:rsidP="002B3126">
      <w:pPr>
        <w:rPr>
          <w:rFonts w:cs="Calibri"/>
        </w:rPr>
      </w:pPr>
      <w:r w:rsidRPr="004652C3">
        <w:rPr>
          <w:rFonts w:cs="Calibri"/>
        </w:rPr>
        <w:t>In completing this report, we have had regard to the requirements set out in the Ministeria</w:t>
      </w:r>
      <w:r>
        <w:rPr>
          <w:rFonts w:cs="Calibri"/>
        </w:rPr>
        <w:t>l Letter of Expectations for 2020/21</w:t>
      </w:r>
      <w:r w:rsidR="00154CAF">
        <w:rPr>
          <w:rFonts w:cs="Calibri"/>
        </w:rPr>
        <w:t>,</w:t>
      </w:r>
      <w:r>
        <w:rPr>
          <w:rFonts w:cs="Calibri"/>
        </w:rPr>
        <w:t xml:space="preserve"> </w:t>
      </w:r>
      <w:r w:rsidRPr="004652C3">
        <w:rPr>
          <w:rFonts w:cs="Calibri"/>
        </w:rPr>
        <w:t xml:space="preserve">dated </w:t>
      </w:r>
      <w:r>
        <w:rPr>
          <w:rFonts w:cs="Calibri"/>
        </w:rPr>
        <w:t xml:space="preserve">26 June </w:t>
      </w:r>
      <w:r w:rsidRPr="004652C3">
        <w:rPr>
          <w:rFonts w:cs="Calibri"/>
        </w:rPr>
        <w:t>2020</w:t>
      </w:r>
      <w:r>
        <w:rPr>
          <w:rFonts w:cs="Calibri"/>
        </w:rPr>
        <w:t>.</w:t>
      </w:r>
    </w:p>
    <w:p w14:paraId="22303430" w14:textId="77777777" w:rsidR="00BE67AB" w:rsidRDefault="00BE67AB" w:rsidP="00BE67AB">
      <w:pPr>
        <w:contextualSpacing/>
        <w:rPr>
          <w:b/>
        </w:rPr>
      </w:pPr>
      <w:r w:rsidRPr="00687EEA">
        <w:rPr>
          <w:b/>
        </w:rPr>
        <w:t xml:space="preserve">Progressing core delivery </w:t>
      </w:r>
    </w:p>
    <w:p w14:paraId="2E4EEBD5" w14:textId="77777777" w:rsidR="00BE67AB" w:rsidRDefault="00BE67AB" w:rsidP="00BE67AB">
      <w:pPr>
        <w:contextualSpacing/>
        <w:rPr>
          <w:b/>
        </w:rPr>
      </w:pPr>
    </w:p>
    <w:p w14:paraId="24BA0E6A" w14:textId="77777777" w:rsidR="00BE67AB" w:rsidRPr="001072DD" w:rsidRDefault="00BE67AB" w:rsidP="00BE67AB">
      <w:pPr>
        <w:contextualSpacing/>
        <w:rPr>
          <w:u w:val="single"/>
        </w:rPr>
      </w:pPr>
      <w:r w:rsidRPr="002B33B6">
        <w:rPr>
          <w:u w:val="single"/>
        </w:rPr>
        <w:t>Public Hearings</w:t>
      </w:r>
      <w:r>
        <w:rPr>
          <w:u w:val="single"/>
        </w:rPr>
        <w:br/>
      </w:r>
    </w:p>
    <w:p w14:paraId="10C7CFA7" w14:textId="4D54E75E" w:rsidR="001B139A" w:rsidRDefault="001B139A" w:rsidP="00BE67AB">
      <w:pPr>
        <w:contextualSpacing/>
      </w:pPr>
      <w:r>
        <w:t xml:space="preserve">Two </w:t>
      </w:r>
      <w:r w:rsidR="002B3126">
        <w:t>hearing</w:t>
      </w:r>
      <w:r>
        <w:t>s took place during this quarter</w:t>
      </w:r>
      <w:r w:rsidR="00154CAF">
        <w:t xml:space="preserve"> being</w:t>
      </w:r>
      <w:r w:rsidR="00D741AE">
        <w:t>;</w:t>
      </w:r>
      <w:r>
        <w:t xml:space="preserve"> the </w:t>
      </w:r>
      <w:r w:rsidR="002B3126">
        <w:t xml:space="preserve">second </w:t>
      </w:r>
      <w:r w:rsidR="00BE67AB" w:rsidRPr="006A2A99">
        <w:t xml:space="preserve">phase of the State Redress hearing </w:t>
      </w:r>
      <w:r w:rsidR="00BE67AB">
        <w:t>commenc</w:t>
      </w:r>
      <w:r w:rsidR="00154CAF">
        <w:t xml:space="preserve">ing </w:t>
      </w:r>
      <w:r w:rsidR="00BE67AB">
        <w:t xml:space="preserve">on </w:t>
      </w:r>
      <w:r w:rsidR="002B3126">
        <w:t>19 October</w:t>
      </w:r>
      <w:r w:rsidR="00D741AE">
        <w:t xml:space="preserve"> </w:t>
      </w:r>
      <w:r w:rsidR="00FC4270">
        <w:t xml:space="preserve">2020 </w:t>
      </w:r>
      <w:r w:rsidR="002B3126">
        <w:t>w</w:t>
      </w:r>
      <w:r w:rsidR="00BE67AB">
        <w:t xml:space="preserve">hen the Inquiry heard </w:t>
      </w:r>
      <w:r>
        <w:t>evidence from</w:t>
      </w:r>
      <w:r w:rsidR="00351BEA">
        <w:t xml:space="preserve"> nine</w:t>
      </w:r>
      <w:r>
        <w:t xml:space="preserve"> </w:t>
      </w:r>
      <w:r w:rsidR="002B3126">
        <w:t>witnesses for the Crown</w:t>
      </w:r>
      <w:r>
        <w:t xml:space="preserve">; </w:t>
      </w:r>
      <w:r w:rsidR="002B3126">
        <w:t xml:space="preserve">and </w:t>
      </w:r>
      <w:r>
        <w:t xml:space="preserve">phase one </w:t>
      </w:r>
      <w:r w:rsidR="00D741AE">
        <w:t xml:space="preserve">of </w:t>
      </w:r>
      <w:r w:rsidR="00154CAF">
        <w:t xml:space="preserve">the </w:t>
      </w:r>
      <w:r>
        <w:t>Faith-</w:t>
      </w:r>
      <w:r w:rsidR="00094178">
        <w:t>based R</w:t>
      </w:r>
      <w:r w:rsidR="002B3126">
        <w:t>edress</w:t>
      </w:r>
      <w:r w:rsidR="00351BEA">
        <w:t xml:space="preserve"> </w:t>
      </w:r>
      <w:r w:rsidR="00094178">
        <w:t xml:space="preserve">hearing </w:t>
      </w:r>
      <w:r w:rsidR="002B3126">
        <w:t>commenc</w:t>
      </w:r>
      <w:r w:rsidR="00154CAF">
        <w:t xml:space="preserve">ing </w:t>
      </w:r>
      <w:r w:rsidR="002B3126">
        <w:t>on 30 November</w:t>
      </w:r>
      <w:r w:rsidR="00FC4270">
        <w:t xml:space="preserve"> 2020</w:t>
      </w:r>
      <w:r w:rsidR="00F33B87">
        <w:t xml:space="preserve">. </w:t>
      </w:r>
      <w:r>
        <w:t>Th</w:t>
      </w:r>
      <w:r w:rsidR="00EB0033">
        <w:t>e</w:t>
      </w:r>
      <w:r w:rsidR="005B7B1B">
        <w:t xml:space="preserve"> focus of the latter was </w:t>
      </w:r>
      <w:r>
        <w:t>on the redress processes of the Catholic and Anglican Churches and the Salvation Army</w:t>
      </w:r>
      <w:r w:rsidR="00D741AE">
        <w:t xml:space="preserve">, with </w:t>
      </w:r>
      <w:r w:rsidR="00351BEA">
        <w:t xml:space="preserve">32 </w:t>
      </w:r>
      <w:r w:rsidR="00EB0033">
        <w:t>individual witnesses g</w:t>
      </w:r>
      <w:r w:rsidR="00D741AE">
        <w:t xml:space="preserve">iving evidence over the course of the two-week hearing. </w:t>
      </w:r>
    </w:p>
    <w:p w14:paraId="5C75F6A8" w14:textId="77777777" w:rsidR="00D741AE" w:rsidRDefault="00D741AE" w:rsidP="00BE67AB">
      <w:pPr>
        <w:contextualSpacing/>
      </w:pPr>
    </w:p>
    <w:p w14:paraId="0932DA8C" w14:textId="1BD24E90" w:rsidR="00FC4270" w:rsidRDefault="00094178" w:rsidP="00BE67AB">
      <w:pPr>
        <w:contextualSpacing/>
      </w:pPr>
      <w:r>
        <w:t>Phase two of the Faith-b</w:t>
      </w:r>
      <w:r w:rsidR="00D741AE">
        <w:t xml:space="preserve">ased Redress </w:t>
      </w:r>
      <w:r>
        <w:t xml:space="preserve">hearing </w:t>
      </w:r>
      <w:r w:rsidR="00D86FC0">
        <w:t>is schedul</w:t>
      </w:r>
      <w:r w:rsidR="00351BEA">
        <w:t>ed to be held from 15-</w:t>
      </w:r>
      <w:r w:rsidR="00FC4270">
        <w:t xml:space="preserve">30 </w:t>
      </w:r>
      <w:r w:rsidR="00351BEA">
        <w:t xml:space="preserve">March </w:t>
      </w:r>
      <w:r w:rsidR="00FC4270">
        <w:t xml:space="preserve">2021 </w:t>
      </w:r>
      <w:r w:rsidR="00351BEA">
        <w:t xml:space="preserve">and </w:t>
      </w:r>
      <w:r w:rsidR="00D86FC0">
        <w:t xml:space="preserve">will focus on evidence </w:t>
      </w:r>
      <w:r w:rsidR="00FC4270">
        <w:t xml:space="preserve">on redress processes </w:t>
      </w:r>
      <w:r w:rsidR="00D86FC0">
        <w:t xml:space="preserve">from witnesses called on behalf of the Catholic and Anglican Churches and the Salvation Army.  </w:t>
      </w:r>
    </w:p>
    <w:p w14:paraId="5B09980A" w14:textId="77777777" w:rsidR="00BE67AB" w:rsidRDefault="00BE67AB" w:rsidP="00BE67AB">
      <w:pPr>
        <w:keepLines w:val="0"/>
        <w:spacing w:before="0" w:after="0"/>
        <w:rPr>
          <w:rFonts w:asciiTheme="minorHAnsi" w:eastAsia="Times New Roman" w:hAnsiTheme="minorHAnsi" w:cstheme="minorHAnsi"/>
          <w:bCs/>
          <w:iCs/>
        </w:rPr>
      </w:pPr>
    </w:p>
    <w:p w14:paraId="3EA08FD5" w14:textId="67B816ED" w:rsidR="00835AFC" w:rsidRDefault="00BE67AB" w:rsidP="00BE67AB">
      <w:pPr>
        <w:spacing w:after="120"/>
      </w:pPr>
      <w:bookmarkStart w:id="1" w:name="_Hlk55300071"/>
      <w:r w:rsidRPr="00351BEA">
        <w:rPr>
          <w:rFonts w:asciiTheme="minorHAnsi" w:eastAsia="Times New Roman" w:hAnsiTheme="minorHAnsi" w:cstheme="minorHAnsi"/>
          <w:bCs/>
          <w:iCs/>
          <w:u w:val="single"/>
        </w:rPr>
        <w:t xml:space="preserve">Investigations </w:t>
      </w:r>
      <w:r w:rsidRPr="002B3126">
        <w:rPr>
          <w:rFonts w:asciiTheme="minorHAnsi" w:eastAsia="Times New Roman" w:hAnsiTheme="minorHAnsi" w:cstheme="minorHAnsi"/>
          <w:bCs/>
          <w:iCs/>
          <w:highlight w:val="yellow"/>
          <w:u w:val="single"/>
        </w:rPr>
        <w:br/>
      </w:r>
      <w:r w:rsidRPr="002B3126">
        <w:rPr>
          <w:rFonts w:asciiTheme="minorHAnsi" w:eastAsia="Times New Roman" w:hAnsiTheme="minorHAnsi" w:cstheme="minorHAnsi"/>
          <w:bCs/>
          <w:iCs/>
          <w:highlight w:val="yellow"/>
        </w:rPr>
        <w:br/>
      </w:r>
      <w:bookmarkEnd w:id="1"/>
      <w:r w:rsidR="00104CB8">
        <w:t xml:space="preserve">Work </w:t>
      </w:r>
      <w:r w:rsidR="005E737A">
        <w:t>continues</w:t>
      </w:r>
      <w:r w:rsidR="00104CB8">
        <w:t xml:space="preserve"> </w:t>
      </w:r>
      <w:r w:rsidR="00D96D45">
        <w:t xml:space="preserve">on </w:t>
      </w:r>
      <w:r w:rsidR="00104CB8">
        <w:t>the n</w:t>
      </w:r>
      <w:r w:rsidRPr="00FC4270">
        <w:t xml:space="preserve">ine investigations </w:t>
      </w:r>
      <w:r w:rsidR="00094178">
        <w:t xml:space="preserve">that were launched last year. These are </w:t>
      </w:r>
      <w:r w:rsidRPr="00FC4270">
        <w:t>Residences, Psychiatric, Māori, Catholic, Anglican, Redress</w:t>
      </w:r>
      <w:r w:rsidR="00FC4270" w:rsidRPr="00FC4270">
        <w:t>, Pacific and Disability settings and thematic</w:t>
      </w:r>
      <w:r w:rsidR="00094178">
        <w:t xml:space="preserve"> and all now have </w:t>
      </w:r>
      <w:r w:rsidR="00094178" w:rsidRPr="00FC4270">
        <w:t>published scope statements. </w:t>
      </w:r>
      <w:r w:rsidRPr="00835AFC">
        <w:t xml:space="preserve"> </w:t>
      </w:r>
    </w:p>
    <w:p w14:paraId="1A1A8F14" w14:textId="3153DCF9" w:rsidR="00BE67AB" w:rsidRDefault="00835AFC" w:rsidP="00BE67AB">
      <w:pPr>
        <w:spacing w:after="120"/>
      </w:pPr>
      <w:r w:rsidRPr="00835AFC">
        <w:t xml:space="preserve">Witness and documentary evidence continues to be gathered for each </w:t>
      </w:r>
      <w:r w:rsidR="00104CB8">
        <w:t>investigation</w:t>
      </w:r>
      <w:r>
        <w:t xml:space="preserve">, with approximately 411,000 documents having been ingested into </w:t>
      </w:r>
      <w:r w:rsidR="00104CB8">
        <w:t xml:space="preserve">Relativity, </w:t>
      </w:r>
      <w:r>
        <w:t>the Inquiry’</w:t>
      </w:r>
      <w:r w:rsidR="00104CB8">
        <w:t xml:space="preserve">s evidence management system. </w:t>
      </w:r>
      <w:r w:rsidR="00094178">
        <w:t xml:space="preserve"> </w:t>
      </w:r>
      <w:r w:rsidR="00104CB8">
        <w:t xml:space="preserve">Of these </w:t>
      </w:r>
      <w:r>
        <w:t xml:space="preserve">93,000 </w:t>
      </w:r>
      <w:r w:rsidR="00094178">
        <w:t xml:space="preserve">documents </w:t>
      </w:r>
      <w:r>
        <w:t>have been reviewed and 13,000 are in the process of being review</w:t>
      </w:r>
      <w:r w:rsidR="00104CB8">
        <w:t>ed</w:t>
      </w:r>
      <w:r>
        <w:t xml:space="preserve">.  </w:t>
      </w:r>
      <w:r w:rsidR="00C26F72">
        <w:t>Using</w:t>
      </w:r>
      <w:r>
        <w:t xml:space="preserve"> machine learning and artificial intelligence the most relevant materia</w:t>
      </w:r>
      <w:r w:rsidR="00094178">
        <w:t xml:space="preserve">l can be prioritised, and once identified is then </w:t>
      </w:r>
      <w:r w:rsidR="000A5733">
        <w:t xml:space="preserve">subject to </w:t>
      </w:r>
      <w:r w:rsidR="00154CAF">
        <w:t>f</w:t>
      </w:r>
      <w:r w:rsidR="000A5733">
        <w:t>urther review and redaction processes for disclosure and publication</w:t>
      </w:r>
      <w:r w:rsidR="004B4046">
        <w:t xml:space="preserve"> purposes</w:t>
      </w:r>
      <w:r w:rsidR="000A5733">
        <w:t xml:space="preserve">. </w:t>
      </w:r>
      <w:r>
        <w:t xml:space="preserve"> </w:t>
      </w:r>
    </w:p>
    <w:p w14:paraId="7E36A3FD" w14:textId="115F2B34" w:rsidR="007B3AC7" w:rsidRDefault="000A5733" w:rsidP="00BE67AB">
      <w:pPr>
        <w:spacing w:after="120"/>
      </w:pPr>
      <w:r w:rsidRPr="000A5733">
        <w:t xml:space="preserve">To provide additional resources to </w:t>
      </w:r>
      <w:r w:rsidR="009734CF">
        <w:t xml:space="preserve">support the gathering and </w:t>
      </w:r>
      <w:r w:rsidRPr="000A5733">
        <w:t xml:space="preserve">analyse </w:t>
      </w:r>
      <w:r w:rsidR="009734CF">
        <w:t xml:space="preserve">of </w:t>
      </w:r>
      <w:r w:rsidRPr="000A5733">
        <w:t xml:space="preserve">evidence to be heard </w:t>
      </w:r>
      <w:r>
        <w:t>at hearings, a</w:t>
      </w:r>
      <w:r w:rsidR="009734CF">
        <w:t xml:space="preserve"> request for proposal </w:t>
      </w:r>
      <w:r w:rsidR="00D96D45">
        <w:t xml:space="preserve">for </w:t>
      </w:r>
      <w:r w:rsidR="009734CF">
        <w:t>external evidence analyst</w:t>
      </w:r>
      <w:r w:rsidR="007B3AC7">
        <w:t>s</w:t>
      </w:r>
      <w:r w:rsidR="009734CF">
        <w:t xml:space="preserve"> was issued</w:t>
      </w:r>
      <w:r w:rsidR="007B3AC7">
        <w:t xml:space="preserve"> during thi</w:t>
      </w:r>
      <w:r w:rsidR="00810B25">
        <w:t xml:space="preserve">s quarter and a panel appointed. </w:t>
      </w:r>
      <w:r w:rsidR="007B3AC7">
        <w:t>Training of the panel</w:t>
      </w:r>
      <w:r w:rsidR="00810B25">
        <w:t>,</w:t>
      </w:r>
      <w:r w:rsidR="007B3AC7">
        <w:t xml:space="preserve"> which will be utilised during peak periods of the investigations</w:t>
      </w:r>
      <w:r w:rsidR="00810B25">
        <w:t>,</w:t>
      </w:r>
      <w:r w:rsidR="007B3AC7">
        <w:t xml:space="preserve"> also commenced.</w:t>
      </w:r>
    </w:p>
    <w:p w14:paraId="0F90DD61" w14:textId="113E0EC2" w:rsidR="00BE67AB" w:rsidRDefault="000A5733" w:rsidP="00BE67AB">
      <w:pPr>
        <w:spacing w:after="120"/>
      </w:pPr>
      <w:r>
        <w:t xml:space="preserve">  </w:t>
      </w:r>
    </w:p>
    <w:p w14:paraId="14C8E70B" w14:textId="7A545E2B" w:rsidR="007B3AC7" w:rsidRDefault="007B3AC7">
      <w:pPr>
        <w:keepLines w:val="0"/>
      </w:pPr>
      <w:r>
        <w:br w:type="page"/>
      </w:r>
    </w:p>
    <w:p w14:paraId="4389947A" w14:textId="1A00FA62" w:rsidR="00BE67AB" w:rsidRPr="002B3126" w:rsidRDefault="00BE67AB" w:rsidP="00BE67AB">
      <w:pPr>
        <w:contextualSpacing/>
        <w:rPr>
          <w:highlight w:val="yellow"/>
          <w:u w:val="single"/>
        </w:rPr>
      </w:pPr>
      <w:r w:rsidRPr="007B3AC7">
        <w:rPr>
          <w:u w:val="single"/>
        </w:rPr>
        <w:lastRenderedPageBreak/>
        <w:t xml:space="preserve">Survivor Accounts </w:t>
      </w:r>
      <w:r w:rsidRPr="002B3126">
        <w:rPr>
          <w:highlight w:val="yellow"/>
          <w:u w:val="single"/>
        </w:rPr>
        <w:br/>
      </w:r>
    </w:p>
    <w:p w14:paraId="1011D5AE" w14:textId="1589AE92" w:rsidR="00BE67AB" w:rsidRPr="0005322B" w:rsidRDefault="00BE67AB" w:rsidP="008D3027">
      <w:pPr>
        <w:spacing w:after="120"/>
        <w:contextualSpacing/>
      </w:pPr>
      <w:r w:rsidRPr="007B3AC7">
        <w:t xml:space="preserve">Overall, survivor contact (phone calls and emails) </w:t>
      </w:r>
      <w:r w:rsidR="007B3AC7">
        <w:t>continued to increase</w:t>
      </w:r>
      <w:r w:rsidRPr="007B3AC7">
        <w:t xml:space="preserve"> during this quarter. </w:t>
      </w:r>
      <w:r w:rsidR="007B3AC7">
        <w:t xml:space="preserve">As in the previous quarter, </w:t>
      </w:r>
      <w:r w:rsidR="00CF3D34">
        <w:t xml:space="preserve">this was </w:t>
      </w:r>
      <w:r w:rsidR="007B3AC7">
        <w:t>pa</w:t>
      </w:r>
      <w:r w:rsidR="00CF3D34">
        <w:t xml:space="preserve">rticularly evident </w:t>
      </w:r>
      <w:r w:rsidR="00154CAF">
        <w:t xml:space="preserve">during the public hearing in December when survivors provided evidence </w:t>
      </w:r>
      <w:r w:rsidR="00083B37">
        <w:t xml:space="preserve">during </w:t>
      </w:r>
      <w:r w:rsidR="0005322B">
        <w:t xml:space="preserve">the </w:t>
      </w:r>
      <w:r w:rsidR="00083B37">
        <w:t xml:space="preserve">faith-based redress hearing </w:t>
      </w:r>
      <w:r w:rsidR="00154CAF">
        <w:t>but also</w:t>
      </w:r>
      <w:r w:rsidR="00810B25">
        <w:t xml:space="preserve"> </w:t>
      </w:r>
      <w:r w:rsidR="00083B37">
        <w:t>following the publication of the Interim R</w:t>
      </w:r>
      <w:r w:rsidR="00810B25">
        <w:t>eport</w:t>
      </w:r>
      <w:r w:rsidR="00CF3D34">
        <w:t xml:space="preserve"> </w:t>
      </w:r>
      <w:r w:rsidR="00CF3D34" w:rsidRPr="004A43E8">
        <w:rPr>
          <w:rFonts w:asciiTheme="minorHAnsi" w:hAnsiTheme="minorHAnsi" w:cstheme="minorHAnsi"/>
          <w:color w:val="001C2E"/>
          <w:szCs w:val="22"/>
          <w:shd w:val="clear" w:color="auto" w:fill="FFFFFF"/>
        </w:rPr>
        <w:t>Tāwharautia: Pūrongo o te Wā</w:t>
      </w:r>
      <w:r w:rsidR="00CF3D34">
        <w:rPr>
          <w:rFonts w:asciiTheme="minorHAnsi" w:hAnsiTheme="minorHAnsi" w:cstheme="minorHAnsi"/>
          <w:color w:val="001C2E"/>
          <w:szCs w:val="22"/>
          <w:shd w:val="clear" w:color="auto" w:fill="FFFFFF"/>
        </w:rPr>
        <w:t xml:space="preserve">. </w:t>
      </w:r>
      <w:r w:rsidR="0023133F">
        <w:t xml:space="preserve"> </w:t>
      </w:r>
      <w:r w:rsidR="00CF3D34">
        <w:br/>
      </w:r>
      <w:r w:rsidRPr="00CF3D34">
        <w:br/>
      </w:r>
      <w:r w:rsidRPr="0005322B">
        <w:t>Contact Centre volu</w:t>
      </w:r>
      <w:r w:rsidR="00CF3D34" w:rsidRPr="0005322B">
        <w:t>mes increased four</w:t>
      </w:r>
      <w:r w:rsidRPr="0005322B">
        <w:t xml:space="preserve">-fold during the </w:t>
      </w:r>
      <w:r w:rsidR="00CF3D34" w:rsidRPr="0005322B">
        <w:t xml:space="preserve">faith-based </w:t>
      </w:r>
      <w:r w:rsidRPr="0005322B">
        <w:t xml:space="preserve">redress hearing </w:t>
      </w:r>
      <w:r w:rsidR="00CF3D34" w:rsidRPr="0005322B">
        <w:t xml:space="preserve">with a </w:t>
      </w:r>
      <w:r w:rsidRPr="0005322B">
        <w:t xml:space="preserve">corresponding </w:t>
      </w:r>
      <w:r w:rsidR="00CF3D34" w:rsidRPr="0005322B">
        <w:t xml:space="preserve">increase in registrations. A total of 100 registrations were received over the course of this </w:t>
      </w:r>
      <w:r w:rsidRPr="0005322B">
        <w:t>two-week hearing (see table below)</w:t>
      </w:r>
      <w:r w:rsidR="00CF3D34" w:rsidRPr="0005322B">
        <w:t xml:space="preserve"> and the week </w:t>
      </w:r>
      <w:r w:rsidR="00154CAF">
        <w:t xml:space="preserve">immediately </w:t>
      </w:r>
      <w:r w:rsidR="00CF3D34" w:rsidRPr="0005322B">
        <w:t>following</w:t>
      </w:r>
      <w:r w:rsidR="00154CAF">
        <w:t xml:space="preserve"> the hearing</w:t>
      </w:r>
      <w:r w:rsidRPr="0005322B">
        <w:t xml:space="preserve">. </w:t>
      </w:r>
    </w:p>
    <w:p w14:paraId="173F2105" w14:textId="77777777" w:rsidR="00BE67AB" w:rsidRPr="0005322B" w:rsidRDefault="00BE67AB" w:rsidP="008D3027">
      <w:pPr>
        <w:spacing w:after="120"/>
        <w:contextualSpacing/>
      </w:pPr>
    </w:p>
    <w:p w14:paraId="6BE2881E" w14:textId="270E431E" w:rsidR="00BE67AB" w:rsidRPr="002B3126" w:rsidRDefault="00BE67AB" w:rsidP="00BE67AB">
      <w:pPr>
        <w:contextualSpacing/>
        <w:rPr>
          <w:b/>
          <w:highlight w:val="yellow"/>
        </w:rPr>
      </w:pPr>
      <w:r w:rsidRPr="0005322B">
        <w:rPr>
          <w:b/>
        </w:rPr>
        <w:t xml:space="preserve">Table: Contacts to and from the Contact </w:t>
      </w:r>
      <w:r w:rsidR="00A746D4">
        <w:rPr>
          <w:b/>
        </w:rPr>
        <w:t xml:space="preserve">and Support </w:t>
      </w:r>
      <w:r w:rsidRPr="0005322B">
        <w:rPr>
          <w:b/>
        </w:rPr>
        <w:t xml:space="preserve">Centre during </w:t>
      </w:r>
      <w:r w:rsidR="0005322B" w:rsidRPr="0005322B">
        <w:rPr>
          <w:b/>
        </w:rPr>
        <w:t xml:space="preserve">and immediately following </w:t>
      </w:r>
      <w:r w:rsidRPr="0005322B">
        <w:rPr>
          <w:b/>
        </w:rPr>
        <w:t xml:space="preserve">the </w:t>
      </w:r>
      <w:r w:rsidR="00083B37" w:rsidRPr="0005322B">
        <w:rPr>
          <w:b/>
        </w:rPr>
        <w:t xml:space="preserve">December </w:t>
      </w:r>
      <w:r w:rsidRPr="0005322B">
        <w:rPr>
          <w:b/>
        </w:rPr>
        <w:t xml:space="preserve">2020 </w:t>
      </w:r>
      <w:r w:rsidR="00083B37" w:rsidRPr="0005322B">
        <w:rPr>
          <w:b/>
        </w:rPr>
        <w:t xml:space="preserve">Faith-based </w:t>
      </w:r>
      <w:r w:rsidRPr="0005322B">
        <w:rPr>
          <w:b/>
        </w:rPr>
        <w:t xml:space="preserve">Redress Hearing </w:t>
      </w:r>
      <w:r w:rsidRPr="002B3126">
        <w:rPr>
          <w:b/>
          <w:highlight w:val="yellow"/>
        </w:rPr>
        <w:br/>
      </w:r>
    </w:p>
    <w:tbl>
      <w:tblPr>
        <w:tblStyle w:val="DIATable"/>
        <w:tblW w:w="4861" w:type="pct"/>
        <w:tblInd w:w="127" w:type="dxa"/>
        <w:tblLook w:val="04A0" w:firstRow="1" w:lastRow="0" w:firstColumn="1" w:lastColumn="0" w:noHBand="0" w:noVBand="1"/>
      </w:tblPr>
      <w:tblGrid>
        <w:gridCol w:w="2633"/>
        <w:gridCol w:w="2252"/>
        <w:gridCol w:w="2077"/>
        <w:gridCol w:w="1691"/>
      </w:tblGrid>
      <w:tr w:rsidR="0005322B" w:rsidRPr="002B3126" w14:paraId="43BF6473" w14:textId="3BEBF7B9" w:rsidTr="0005322B">
        <w:trPr>
          <w:cnfStyle w:val="100000000000" w:firstRow="1" w:lastRow="0" w:firstColumn="0" w:lastColumn="0" w:oddVBand="0" w:evenVBand="0" w:oddHBand="0" w:evenHBand="0" w:firstRowFirstColumn="0" w:firstRowLastColumn="0" w:lastRowFirstColumn="0" w:lastRowLastColumn="0"/>
        </w:trPr>
        <w:tc>
          <w:tcPr>
            <w:tcW w:w="1522" w:type="pct"/>
            <w:shd w:val="clear" w:color="auto" w:fill="173E50" w:themeFill="text2" w:themeFillShade="BF"/>
          </w:tcPr>
          <w:p w14:paraId="6C8CD5CA" w14:textId="77777777" w:rsidR="0005322B" w:rsidRPr="001F3BCA" w:rsidRDefault="0005322B" w:rsidP="00C7795B">
            <w:pPr>
              <w:ind w:left="-113"/>
              <w:contextualSpacing/>
              <w:rPr>
                <w:sz w:val="24"/>
                <w:highlight w:val="yellow"/>
              </w:rPr>
            </w:pPr>
          </w:p>
        </w:tc>
        <w:tc>
          <w:tcPr>
            <w:tcW w:w="1301" w:type="pct"/>
            <w:shd w:val="clear" w:color="auto" w:fill="173E50" w:themeFill="text2" w:themeFillShade="BF"/>
            <w:vAlign w:val="center"/>
          </w:tcPr>
          <w:p w14:paraId="03F0A5A0" w14:textId="0B4F42FA" w:rsidR="0005322B" w:rsidRPr="001F3BCA" w:rsidRDefault="0005322B" w:rsidP="008D3027">
            <w:pPr>
              <w:contextualSpacing/>
              <w:jc w:val="center"/>
              <w:rPr>
                <w:sz w:val="24"/>
              </w:rPr>
            </w:pPr>
            <w:r w:rsidRPr="001F3BCA">
              <w:rPr>
                <w:bCs/>
                <w:sz w:val="24"/>
                <w:lang w:eastAsia="en-NZ"/>
              </w:rPr>
              <w:t xml:space="preserve">1st Week Public Hearing </w:t>
            </w:r>
            <w:r w:rsidRPr="001F3BCA">
              <w:rPr>
                <w:bCs/>
                <w:sz w:val="24"/>
                <w:lang w:eastAsia="en-NZ"/>
              </w:rPr>
              <w:br/>
              <w:t>(Week 30 Nov)</w:t>
            </w:r>
          </w:p>
        </w:tc>
        <w:tc>
          <w:tcPr>
            <w:tcW w:w="1200" w:type="pct"/>
            <w:shd w:val="clear" w:color="auto" w:fill="173E50" w:themeFill="text2" w:themeFillShade="BF"/>
            <w:vAlign w:val="center"/>
          </w:tcPr>
          <w:p w14:paraId="3A7B79AC" w14:textId="760684A3" w:rsidR="0005322B" w:rsidRPr="001F3BCA" w:rsidRDefault="0005322B" w:rsidP="008D3027">
            <w:pPr>
              <w:contextualSpacing/>
              <w:jc w:val="center"/>
              <w:rPr>
                <w:bCs/>
                <w:sz w:val="24"/>
                <w:lang w:eastAsia="en-NZ"/>
              </w:rPr>
            </w:pPr>
            <w:r w:rsidRPr="001F3BCA">
              <w:rPr>
                <w:bCs/>
                <w:sz w:val="24"/>
                <w:lang w:eastAsia="en-NZ"/>
              </w:rPr>
              <w:t xml:space="preserve">2nd Week Public Hearing </w:t>
            </w:r>
            <w:r w:rsidRPr="001F3BCA">
              <w:rPr>
                <w:bCs/>
                <w:sz w:val="24"/>
                <w:lang w:eastAsia="en-NZ"/>
              </w:rPr>
              <w:br/>
              <w:t>(Week 7 Dec)</w:t>
            </w:r>
          </w:p>
        </w:tc>
        <w:tc>
          <w:tcPr>
            <w:tcW w:w="977" w:type="pct"/>
            <w:shd w:val="clear" w:color="auto" w:fill="173E50" w:themeFill="text2" w:themeFillShade="BF"/>
          </w:tcPr>
          <w:p w14:paraId="7306B328" w14:textId="04DE3785" w:rsidR="0005322B" w:rsidRPr="001F3BCA" w:rsidRDefault="0005322B" w:rsidP="008D3027">
            <w:pPr>
              <w:contextualSpacing/>
              <w:jc w:val="center"/>
              <w:rPr>
                <w:bCs/>
                <w:sz w:val="24"/>
                <w:lang w:eastAsia="en-NZ"/>
              </w:rPr>
            </w:pPr>
            <w:r w:rsidRPr="001F3BCA">
              <w:rPr>
                <w:bCs/>
                <w:sz w:val="24"/>
                <w:lang w:eastAsia="en-NZ"/>
              </w:rPr>
              <w:t>Week 14 December</w:t>
            </w:r>
          </w:p>
        </w:tc>
      </w:tr>
      <w:tr w:rsidR="0005322B" w:rsidRPr="00A746D4" w14:paraId="4E8F87A1" w14:textId="05FC598A" w:rsidTr="0005322B">
        <w:tc>
          <w:tcPr>
            <w:tcW w:w="1522" w:type="pct"/>
          </w:tcPr>
          <w:p w14:paraId="207D5AC8" w14:textId="77777777" w:rsidR="0005322B" w:rsidRPr="001F3BCA" w:rsidRDefault="0005322B" w:rsidP="0005322B">
            <w:pPr>
              <w:contextualSpacing/>
              <w:rPr>
                <w:sz w:val="24"/>
              </w:rPr>
            </w:pPr>
            <w:r w:rsidRPr="001F3BCA">
              <w:rPr>
                <w:sz w:val="24"/>
              </w:rPr>
              <w:t xml:space="preserve">Registrations Full </w:t>
            </w:r>
          </w:p>
        </w:tc>
        <w:tc>
          <w:tcPr>
            <w:tcW w:w="1301" w:type="pct"/>
            <w:vAlign w:val="center"/>
          </w:tcPr>
          <w:p w14:paraId="07B23995" w14:textId="0FCD561C" w:rsidR="0005322B" w:rsidRPr="001F3BCA" w:rsidRDefault="0005322B" w:rsidP="008D3027">
            <w:pPr>
              <w:contextualSpacing/>
              <w:jc w:val="center"/>
              <w:rPr>
                <w:sz w:val="24"/>
              </w:rPr>
            </w:pPr>
            <w:r w:rsidRPr="001F3BCA">
              <w:rPr>
                <w:color w:val="000000"/>
                <w:sz w:val="24"/>
                <w:lang w:eastAsia="en-NZ"/>
              </w:rPr>
              <w:t>32</w:t>
            </w:r>
          </w:p>
        </w:tc>
        <w:tc>
          <w:tcPr>
            <w:tcW w:w="1200" w:type="pct"/>
            <w:vAlign w:val="center"/>
          </w:tcPr>
          <w:p w14:paraId="0F141839" w14:textId="3A33329B" w:rsidR="0005322B" w:rsidRPr="001F3BCA" w:rsidRDefault="0005322B" w:rsidP="008D3027">
            <w:pPr>
              <w:contextualSpacing/>
              <w:jc w:val="center"/>
              <w:rPr>
                <w:color w:val="000000"/>
                <w:sz w:val="24"/>
                <w:lang w:eastAsia="en-NZ"/>
              </w:rPr>
            </w:pPr>
            <w:r w:rsidRPr="001F3BCA">
              <w:rPr>
                <w:color w:val="000000"/>
                <w:sz w:val="24"/>
                <w:lang w:eastAsia="en-NZ"/>
              </w:rPr>
              <w:t>32</w:t>
            </w:r>
          </w:p>
        </w:tc>
        <w:tc>
          <w:tcPr>
            <w:tcW w:w="977" w:type="pct"/>
          </w:tcPr>
          <w:p w14:paraId="10C57F4A" w14:textId="1EA3C515" w:rsidR="0005322B" w:rsidRPr="001F3BCA" w:rsidRDefault="0005322B" w:rsidP="008D3027">
            <w:pPr>
              <w:contextualSpacing/>
              <w:jc w:val="center"/>
              <w:rPr>
                <w:color w:val="000000"/>
                <w:sz w:val="24"/>
                <w:lang w:eastAsia="en-NZ"/>
              </w:rPr>
            </w:pPr>
            <w:r w:rsidRPr="001F3BCA">
              <w:rPr>
                <w:color w:val="000000"/>
                <w:sz w:val="24"/>
                <w:lang w:eastAsia="en-NZ"/>
              </w:rPr>
              <w:t>36</w:t>
            </w:r>
          </w:p>
        </w:tc>
      </w:tr>
      <w:tr w:rsidR="0005322B" w:rsidRPr="00A746D4" w14:paraId="22A0FA96" w14:textId="53504708" w:rsidTr="0005322B">
        <w:tc>
          <w:tcPr>
            <w:tcW w:w="1522" w:type="pct"/>
          </w:tcPr>
          <w:p w14:paraId="735304CD" w14:textId="7D34F74F" w:rsidR="0005322B" w:rsidRPr="001F3BCA" w:rsidRDefault="0005322B" w:rsidP="0005322B">
            <w:pPr>
              <w:contextualSpacing/>
              <w:rPr>
                <w:sz w:val="24"/>
              </w:rPr>
            </w:pPr>
            <w:r w:rsidRPr="001F3BCA">
              <w:rPr>
                <w:sz w:val="24"/>
              </w:rPr>
              <w:t xml:space="preserve">Registrations Lite </w:t>
            </w:r>
            <w:r w:rsidR="005E737A" w:rsidRPr="001F3BCA">
              <w:rPr>
                <w:sz w:val="24"/>
                <w:vertAlign w:val="superscript"/>
              </w:rPr>
              <w:t>(A)</w:t>
            </w:r>
          </w:p>
        </w:tc>
        <w:tc>
          <w:tcPr>
            <w:tcW w:w="1301" w:type="pct"/>
            <w:vAlign w:val="center"/>
          </w:tcPr>
          <w:p w14:paraId="46B1DAAB" w14:textId="7B9EE451" w:rsidR="0005322B" w:rsidRPr="001F3BCA" w:rsidRDefault="0005322B" w:rsidP="008D3027">
            <w:pPr>
              <w:contextualSpacing/>
              <w:jc w:val="center"/>
              <w:rPr>
                <w:sz w:val="24"/>
              </w:rPr>
            </w:pPr>
            <w:r w:rsidRPr="001F3BCA">
              <w:rPr>
                <w:color w:val="000000"/>
                <w:sz w:val="24"/>
                <w:lang w:eastAsia="en-NZ"/>
              </w:rPr>
              <w:t>0</w:t>
            </w:r>
          </w:p>
        </w:tc>
        <w:tc>
          <w:tcPr>
            <w:tcW w:w="1200" w:type="pct"/>
            <w:vAlign w:val="center"/>
          </w:tcPr>
          <w:p w14:paraId="2E86AED9" w14:textId="59BC4AEC" w:rsidR="0005322B" w:rsidRPr="001F3BCA" w:rsidRDefault="0005322B" w:rsidP="008D3027">
            <w:pPr>
              <w:contextualSpacing/>
              <w:jc w:val="center"/>
              <w:rPr>
                <w:color w:val="000000"/>
                <w:sz w:val="24"/>
                <w:lang w:eastAsia="en-NZ"/>
              </w:rPr>
            </w:pPr>
            <w:r w:rsidRPr="001F3BCA">
              <w:rPr>
                <w:color w:val="000000"/>
                <w:sz w:val="24"/>
                <w:lang w:eastAsia="en-NZ"/>
              </w:rPr>
              <w:t>0</w:t>
            </w:r>
          </w:p>
        </w:tc>
        <w:tc>
          <w:tcPr>
            <w:tcW w:w="977" w:type="pct"/>
          </w:tcPr>
          <w:p w14:paraId="3449E2B5" w14:textId="19A9F874" w:rsidR="0005322B" w:rsidRPr="001F3BCA" w:rsidRDefault="0005322B" w:rsidP="008D3027">
            <w:pPr>
              <w:contextualSpacing/>
              <w:jc w:val="center"/>
              <w:rPr>
                <w:color w:val="000000"/>
                <w:sz w:val="24"/>
                <w:lang w:eastAsia="en-NZ"/>
              </w:rPr>
            </w:pPr>
            <w:r w:rsidRPr="001F3BCA">
              <w:rPr>
                <w:color w:val="000000"/>
                <w:sz w:val="24"/>
                <w:lang w:eastAsia="en-NZ"/>
              </w:rPr>
              <w:t>0</w:t>
            </w:r>
          </w:p>
        </w:tc>
      </w:tr>
      <w:tr w:rsidR="0005322B" w:rsidRPr="00A746D4" w14:paraId="067AE44A" w14:textId="2DF43B3F" w:rsidTr="0005322B">
        <w:tc>
          <w:tcPr>
            <w:tcW w:w="1522" w:type="pct"/>
          </w:tcPr>
          <w:p w14:paraId="14BA0FA2" w14:textId="77777777" w:rsidR="0005322B" w:rsidRPr="001F3BCA" w:rsidRDefault="0005322B" w:rsidP="0005322B">
            <w:pPr>
              <w:contextualSpacing/>
              <w:rPr>
                <w:sz w:val="24"/>
              </w:rPr>
            </w:pPr>
            <w:r w:rsidRPr="001F3BCA">
              <w:rPr>
                <w:sz w:val="24"/>
              </w:rPr>
              <w:t>Phone Calls Out</w:t>
            </w:r>
          </w:p>
        </w:tc>
        <w:tc>
          <w:tcPr>
            <w:tcW w:w="1301" w:type="pct"/>
            <w:vAlign w:val="center"/>
          </w:tcPr>
          <w:p w14:paraId="475D11BE" w14:textId="467C1FC2" w:rsidR="0005322B" w:rsidRPr="001F3BCA" w:rsidRDefault="0005322B" w:rsidP="008D3027">
            <w:pPr>
              <w:contextualSpacing/>
              <w:jc w:val="center"/>
              <w:rPr>
                <w:sz w:val="24"/>
              </w:rPr>
            </w:pPr>
            <w:r w:rsidRPr="001F3BCA">
              <w:rPr>
                <w:color w:val="000000"/>
                <w:sz w:val="24"/>
                <w:lang w:eastAsia="en-NZ"/>
              </w:rPr>
              <w:t>73</w:t>
            </w:r>
          </w:p>
        </w:tc>
        <w:tc>
          <w:tcPr>
            <w:tcW w:w="1200" w:type="pct"/>
            <w:vAlign w:val="center"/>
          </w:tcPr>
          <w:p w14:paraId="7F65952B" w14:textId="13F4CE7C" w:rsidR="0005322B" w:rsidRPr="001F3BCA" w:rsidRDefault="0005322B" w:rsidP="008D3027">
            <w:pPr>
              <w:contextualSpacing/>
              <w:jc w:val="center"/>
              <w:rPr>
                <w:color w:val="000000"/>
                <w:sz w:val="24"/>
                <w:lang w:eastAsia="en-NZ"/>
              </w:rPr>
            </w:pPr>
            <w:r w:rsidRPr="001F3BCA">
              <w:rPr>
                <w:color w:val="000000"/>
                <w:sz w:val="24"/>
                <w:lang w:eastAsia="en-NZ"/>
              </w:rPr>
              <w:t>76</w:t>
            </w:r>
          </w:p>
        </w:tc>
        <w:tc>
          <w:tcPr>
            <w:tcW w:w="977" w:type="pct"/>
          </w:tcPr>
          <w:p w14:paraId="2036577D" w14:textId="32F5924D" w:rsidR="0005322B" w:rsidRPr="001F3BCA" w:rsidRDefault="0005322B" w:rsidP="008D3027">
            <w:pPr>
              <w:contextualSpacing/>
              <w:jc w:val="center"/>
              <w:rPr>
                <w:color w:val="000000"/>
                <w:sz w:val="24"/>
                <w:lang w:eastAsia="en-NZ"/>
              </w:rPr>
            </w:pPr>
            <w:r w:rsidRPr="001F3BCA">
              <w:rPr>
                <w:color w:val="000000"/>
                <w:sz w:val="24"/>
                <w:lang w:eastAsia="en-NZ"/>
              </w:rPr>
              <w:t>88</w:t>
            </w:r>
          </w:p>
        </w:tc>
      </w:tr>
      <w:tr w:rsidR="0005322B" w:rsidRPr="00A746D4" w14:paraId="35058022" w14:textId="2AB164B1" w:rsidTr="0005322B">
        <w:tc>
          <w:tcPr>
            <w:tcW w:w="1522" w:type="pct"/>
          </w:tcPr>
          <w:p w14:paraId="3394AD0C" w14:textId="77777777" w:rsidR="0005322B" w:rsidRPr="001F3BCA" w:rsidRDefault="0005322B" w:rsidP="0005322B">
            <w:pPr>
              <w:contextualSpacing/>
              <w:rPr>
                <w:sz w:val="24"/>
              </w:rPr>
            </w:pPr>
            <w:r w:rsidRPr="001F3BCA">
              <w:rPr>
                <w:sz w:val="24"/>
              </w:rPr>
              <w:t xml:space="preserve">Phone Calls In </w:t>
            </w:r>
          </w:p>
        </w:tc>
        <w:tc>
          <w:tcPr>
            <w:tcW w:w="1301" w:type="pct"/>
            <w:vAlign w:val="center"/>
          </w:tcPr>
          <w:p w14:paraId="6EFBE1AD" w14:textId="2190995D" w:rsidR="0005322B" w:rsidRPr="001F3BCA" w:rsidRDefault="0005322B" w:rsidP="008D3027">
            <w:pPr>
              <w:contextualSpacing/>
              <w:jc w:val="center"/>
              <w:rPr>
                <w:sz w:val="24"/>
              </w:rPr>
            </w:pPr>
            <w:r w:rsidRPr="001F3BCA">
              <w:rPr>
                <w:color w:val="000000"/>
                <w:sz w:val="24"/>
                <w:lang w:eastAsia="en-NZ"/>
              </w:rPr>
              <w:t>157</w:t>
            </w:r>
          </w:p>
        </w:tc>
        <w:tc>
          <w:tcPr>
            <w:tcW w:w="1200" w:type="pct"/>
            <w:vAlign w:val="center"/>
          </w:tcPr>
          <w:p w14:paraId="05D96DFD" w14:textId="452A0E3D" w:rsidR="0005322B" w:rsidRPr="001F3BCA" w:rsidRDefault="0005322B" w:rsidP="008D3027">
            <w:pPr>
              <w:contextualSpacing/>
              <w:jc w:val="center"/>
              <w:rPr>
                <w:color w:val="000000"/>
                <w:sz w:val="24"/>
                <w:lang w:eastAsia="en-NZ"/>
              </w:rPr>
            </w:pPr>
            <w:r w:rsidRPr="001F3BCA">
              <w:rPr>
                <w:color w:val="000000"/>
                <w:sz w:val="24"/>
                <w:lang w:eastAsia="en-NZ"/>
              </w:rPr>
              <w:t>121</w:t>
            </w:r>
          </w:p>
        </w:tc>
        <w:tc>
          <w:tcPr>
            <w:tcW w:w="977" w:type="pct"/>
          </w:tcPr>
          <w:p w14:paraId="71DBBABF" w14:textId="52DE4114" w:rsidR="0005322B" w:rsidRPr="001F3BCA" w:rsidRDefault="0005322B" w:rsidP="008D3027">
            <w:pPr>
              <w:contextualSpacing/>
              <w:jc w:val="center"/>
              <w:rPr>
                <w:color w:val="000000"/>
                <w:sz w:val="24"/>
                <w:lang w:eastAsia="en-NZ"/>
              </w:rPr>
            </w:pPr>
            <w:r w:rsidRPr="001F3BCA">
              <w:rPr>
                <w:color w:val="000000"/>
                <w:sz w:val="24"/>
                <w:lang w:eastAsia="en-NZ"/>
              </w:rPr>
              <w:t>133</w:t>
            </w:r>
          </w:p>
        </w:tc>
      </w:tr>
      <w:tr w:rsidR="0005322B" w:rsidRPr="00A746D4" w14:paraId="1EF2D4C8" w14:textId="6700EEAA" w:rsidTr="0005322B">
        <w:tc>
          <w:tcPr>
            <w:tcW w:w="1522" w:type="pct"/>
          </w:tcPr>
          <w:p w14:paraId="2F1159D7" w14:textId="77777777" w:rsidR="0005322B" w:rsidRPr="001F3BCA" w:rsidRDefault="0005322B" w:rsidP="0005322B">
            <w:pPr>
              <w:contextualSpacing/>
              <w:rPr>
                <w:sz w:val="24"/>
              </w:rPr>
            </w:pPr>
            <w:r w:rsidRPr="001F3BCA">
              <w:rPr>
                <w:sz w:val="24"/>
              </w:rPr>
              <w:t>Emails Out</w:t>
            </w:r>
          </w:p>
        </w:tc>
        <w:tc>
          <w:tcPr>
            <w:tcW w:w="1301" w:type="pct"/>
            <w:vAlign w:val="center"/>
          </w:tcPr>
          <w:p w14:paraId="53FFF3E1" w14:textId="16D6D949" w:rsidR="0005322B" w:rsidRPr="001F3BCA" w:rsidRDefault="0005322B" w:rsidP="008D3027">
            <w:pPr>
              <w:contextualSpacing/>
              <w:jc w:val="center"/>
              <w:rPr>
                <w:sz w:val="24"/>
              </w:rPr>
            </w:pPr>
            <w:r w:rsidRPr="001F3BCA">
              <w:rPr>
                <w:color w:val="000000"/>
                <w:sz w:val="24"/>
                <w:lang w:eastAsia="en-NZ"/>
              </w:rPr>
              <w:t>378</w:t>
            </w:r>
          </w:p>
        </w:tc>
        <w:tc>
          <w:tcPr>
            <w:tcW w:w="1200" w:type="pct"/>
            <w:vAlign w:val="center"/>
          </w:tcPr>
          <w:p w14:paraId="6F2D4EF2" w14:textId="344A5160" w:rsidR="0005322B" w:rsidRPr="001F3BCA" w:rsidRDefault="0005322B" w:rsidP="008D3027">
            <w:pPr>
              <w:contextualSpacing/>
              <w:jc w:val="center"/>
              <w:rPr>
                <w:color w:val="000000"/>
                <w:sz w:val="24"/>
                <w:lang w:eastAsia="en-NZ"/>
              </w:rPr>
            </w:pPr>
            <w:r w:rsidRPr="001F3BCA">
              <w:rPr>
                <w:color w:val="000000"/>
                <w:sz w:val="24"/>
                <w:lang w:eastAsia="en-NZ"/>
              </w:rPr>
              <w:t>313</w:t>
            </w:r>
          </w:p>
        </w:tc>
        <w:tc>
          <w:tcPr>
            <w:tcW w:w="977" w:type="pct"/>
          </w:tcPr>
          <w:p w14:paraId="08C7B5A5" w14:textId="0B5EBD91" w:rsidR="0005322B" w:rsidRPr="001F3BCA" w:rsidRDefault="0005322B" w:rsidP="008D3027">
            <w:pPr>
              <w:contextualSpacing/>
              <w:jc w:val="center"/>
              <w:rPr>
                <w:color w:val="000000"/>
                <w:sz w:val="24"/>
                <w:lang w:eastAsia="en-NZ"/>
              </w:rPr>
            </w:pPr>
            <w:r w:rsidRPr="001F3BCA">
              <w:rPr>
                <w:color w:val="000000"/>
                <w:sz w:val="24"/>
                <w:lang w:eastAsia="en-NZ"/>
              </w:rPr>
              <w:t>338</w:t>
            </w:r>
          </w:p>
        </w:tc>
      </w:tr>
      <w:tr w:rsidR="0005322B" w:rsidRPr="00A746D4" w14:paraId="75409817" w14:textId="4CE0A114" w:rsidTr="0005322B">
        <w:tc>
          <w:tcPr>
            <w:tcW w:w="1522" w:type="pct"/>
          </w:tcPr>
          <w:p w14:paraId="64D9B7C6" w14:textId="77777777" w:rsidR="0005322B" w:rsidRPr="001F3BCA" w:rsidRDefault="0005322B" w:rsidP="0005322B">
            <w:pPr>
              <w:contextualSpacing/>
              <w:rPr>
                <w:sz w:val="24"/>
              </w:rPr>
            </w:pPr>
            <w:r w:rsidRPr="001F3BCA">
              <w:rPr>
                <w:sz w:val="24"/>
              </w:rPr>
              <w:t xml:space="preserve">Emails In </w:t>
            </w:r>
          </w:p>
        </w:tc>
        <w:tc>
          <w:tcPr>
            <w:tcW w:w="1301" w:type="pct"/>
            <w:vAlign w:val="center"/>
          </w:tcPr>
          <w:p w14:paraId="3F35226B" w14:textId="49F5E50A" w:rsidR="0005322B" w:rsidRPr="001F3BCA" w:rsidRDefault="0005322B" w:rsidP="008D3027">
            <w:pPr>
              <w:contextualSpacing/>
              <w:jc w:val="center"/>
              <w:rPr>
                <w:sz w:val="24"/>
              </w:rPr>
            </w:pPr>
            <w:r w:rsidRPr="001F3BCA">
              <w:rPr>
                <w:color w:val="000000"/>
                <w:sz w:val="24"/>
                <w:lang w:eastAsia="en-NZ"/>
              </w:rPr>
              <w:t>583</w:t>
            </w:r>
          </w:p>
        </w:tc>
        <w:tc>
          <w:tcPr>
            <w:tcW w:w="1200" w:type="pct"/>
            <w:vAlign w:val="center"/>
          </w:tcPr>
          <w:p w14:paraId="399F208D" w14:textId="26E2729F" w:rsidR="0005322B" w:rsidRPr="001F3BCA" w:rsidRDefault="0005322B" w:rsidP="008D3027">
            <w:pPr>
              <w:contextualSpacing/>
              <w:jc w:val="center"/>
              <w:rPr>
                <w:color w:val="000000"/>
                <w:sz w:val="24"/>
                <w:lang w:eastAsia="en-NZ"/>
              </w:rPr>
            </w:pPr>
            <w:r w:rsidRPr="001F3BCA">
              <w:rPr>
                <w:color w:val="000000"/>
                <w:sz w:val="24"/>
                <w:lang w:eastAsia="en-NZ"/>
              </w:rPr>
              <w:t>558</w:t>
            </w:r>
          </w:p>
        </w:tc>
        <w:tc>
          <w:tcPr>
            <w:tcW w:w="977" w:type="pct"/>
          </w:tcPr>
          <w:p w14:paraId="685F98E0" w14:textId="4C5B1605" w:rsidR="0005322B" w:rsidRPr="001F3BCA" w:rsidRDefault="0005322B" w:rsidP="008D3027">
            <w:pPr>
              <w:contextualSpacing/>
              <w:jc w:val="center"/>
              <w:rPr>
                <w:color w:val="000000"/>
                <w:sz w:val="24"/>
                <w:lang w:eastAsia="en-NZ"/>
              </w:rPr>
            </w:pPr>
            <w:r w:rsidRPr="001F3BCA">
              <w:rPr>
                <w:color w:val="000000"/>
                <w:sz w:val="24"/>
                <w:lang w:eastAsia="en-NZ"/>
              </w:rPr>
              <w:t>478</w:t>
            </w:r>
          </w:p>
        </w:tc>
      </w:tr>
      <w:tr w:rsidR="0005322B" w:rsidRPr="00A746D4" w14:paraId="3D742557" w14:textId="1AF0EABE" w:rsidTr="0005322B">
        <w:tc>
          <w:tcPr>
            <w:tcW w:w="1522" w:type="pct"/>
          </w:tcPr>
          <w:p w14:paraId="4A17A503" w14:textId="77777777" w:rsidR="0005322B" w:rsidRPr="001F3BCA" w:rsidRDefault="0005322B" w:rsidP="0005322B">
            <w:pPr>
              <w:contextualSpacing/>
              <w:rPr>
                <w:sz w:val="24"/>
              </w:rPr>
            </w:pPr>
            <w:r w:rsidRPr="001F3BCA">
              <w:rPr>
                <w:sz w:val="24"/>
              </w:rPr>
              <w:t xml:space="preserve">Private Session Bookings </w:t>
            </w:r>
          </w:p>
        </w:tc>
        <w:tc>
          <w:tcPr>
            <w:tcW w:w="1301" w:type="pct"/>
            <w:vAlign w:val="center"/>
          </w:tcPr>
          <w:p w14:paraId="26AE4E1D" w14:textId="5CA5FEFE" w:rsidR="0005322B" w:rsidRPr="001F3BCA" w:rsidRDefault="0005322B" w:rsidP="008D3027">
            <w:pPr>
              <w:contextualSpacing/>
              <w:jc w:val="center"/>
              <w:rPr>
                <w:sz w:val="24"/>
              </w:rPr>
            </w:pPr>
            <w:r w:rsidRPr="001F3BCA">
              <w:rPr>
                <w:color w:val="000000"/>
                <w:sz w:val="24"/>
                <w:lang w:eastAsia="en-NZ"/>
              </w:rPr>
              <w:t>0</w:t>
            </w:r>
          </w:p>
        </w:tc>
        <w:tc>
          <w:tcPr>
            <w:tcW w:w="1200" w:type="pct"/>
            <w:vAlign w:val="center"/>
          </w:tcPr>
          <w:p w14:paraId="16C14E73" w14:textId="2C9DC39E" w:rsidR="0005322B" w:rsidRPr="001F3BCA" w:rsidRDefault="0005322B" w:rsidP="008D3027">
            <w:pPr>
              <w:contextualSpacing/>
              <w:jc w:val="center"/>
              <w:rPr>
                <w:color w:val="000000"/>
                <w:sz w:val="24"/>
                <w:lang w:eastAsia="en-NZ"/>
              </w:rPr>
            </w:pPr>
            <w:r w:rsidRPr="001F3BCA">
              <w:rPr>
                <w:color w:val="000000"/>
                <w:sz w:val="24"/>
                <w:lang w:eastAsia="en-NZ"/>
              </w:rPr>
              <w:t>1</w:t>
            </w:r>
          </w:p>
        </w:tc>
        <w:tc>
          <w:tcPr>
            <w:tcW w:w="977" w:type="pct"/>
          </w:tcPr>
          <w:p w14:paraId="4F02F0AB" w14:textId="3B663D7F" w:rsidR="0005322B" w:rsidRPr="001F3BCA" w:rsidRDefault="0005322B" w:rsidP="008D3027">
            <w:pPr>
              <w:contextualSpacing/>
              <w:jc w:val="center"/>
              <w:rPr>
                <w:color w:val="000000"/>
                <w:sz w:val="24"/>
                <w:lang w:eastAsia="en-NZ"/>
              </w:rPr>
            </w:pPr>
            <w:r w:rsidRPr="001F3BCA">
              <w:rPr>
                <w:color w:val="000000"/>
                <w:sz w:val="24"/>
                <w:lang w:eastAsia="en-NZ"/>
              </w:rPr>
              <w:t>5</w:t>
            </w:r>
          </w:p>
        </w:tc>
      </w:tr>
      <w:tr w:rsidR="0005322B" w:rsidRPr="00A746D4" w14:paraId="3A2A4F1E" w14:textId="33580A34" w:rsidTr="0005322B">
        <w:tc>
          <w:tcPr>
            <w:tcW w:w="1522" w:type="pct"/>
          </w:tcPr>
          <w:p w14:paraId="2BC95FAF" w14:textId="77777777" w:rsidR="0005322B" w:rsidRPr="001F3BCA" w:rsidRDefault="0005322B" w:rsidP="0005322B">
            <w:pPr>
              <w:contextualSpacing/>
              <w:rPr>
                <w:sz w:val="24"/>
              </w:rPr>
            </w:pPr>
            <w:r w:rsidRPr="001F3BCA">
              <w:rPr>
                <w:sz w:val="24"/>
              </w:rPr>
              <w:t xml:space="preserve">Letters In </w:t>
            </w:r>
          </w:p>
        </w:tc>
        <w:tc>
          <w:tcPr>
            <w:tcW w:w="1301" w:type="pct"/>
            <w:vAlign w:val="center"/>
          </w:tcPr>
          <w:p w14:paraId="32900FFB" w14:textId="7CCD125D" w:rsidR="0005322B" w:rsidRPr="001F3BCA" w:rsidRDefault="0005322B" w:rsidP="008D3027">
            <w:pPr>
              <w:contextualSpacing/>
              <w:jc w:val="center"/>
              <w:rPr>
                <w:sz w:val="24"/>
              </w:rPr>
            </w:pPr>
            <w:r w:rsidRPr="001F3BCA">
              <w:rPr>
                <w:color w:val="000000"/>
                <w:sz w:val="24"/>
                <w:lang w:eastAsia="en-NZ"/>
              </w:rPr>
              <w:t>6</w:t>
            </w:r>
          </w:p>
        </w:tc>
        <w:tc>
          <w:tcPr>
            <w:tcW w:w="1200" w:type="pct"/>
            <w:vAlign w:val="center"/>
          </w:tcPr>
          <w:p w14:paraId="2DD7F442" w14:textId="50D503AE" w:rsidR="0005322B" w:rsidRPr="001F3BCA" w:rsidRDefault="0005322B" w:rsidP="008D3027">
            <w:pPr>
              <w:contextualSpacing/>
              <w:jc w:val="center"/>
              <w:rPr>
                <w:color w:val="000000"/>
                <w:sz w:val="24"/>
                <w:lang w:eastAsia="en-NZ"/>
              </w:rPr>
            </w:pPr>
            <w:r w:rsidRPr="001F3BCA">
              <w:rPr>
                <w:color w:val="000000"/>
                <w:sz w:val="24"/>
                <w:lang w:eastAsia="en-NZ"/>
              </w:rPr>
              <w:t>0</w:t>
            </w:r>
          </w:p>
        </w:tc>
        <w:tc>
          <w:tcPr>
            <w:tcW w:w="977" w:type="pct"/>
          </w:tcPr>
          <w:p w14:paraId="710DA624" w14:textId="16FAF9B6" w:rsidR="0005322B" w:rsidRPr="001F3BCA" w:rsidRDefault="0005322B" w:rsidP="008D3027">
            <w:pPr>
              <w:contextualSpacing/>
              <w:jc w:val="center"/>
              <w:rPr>
                <w:color w:val="000000"/>
                <w:sz w:val="24"/>
                <w:lang w:eastAsia="en-NZ"/>
              </w:rPr>
            </w:pPr>
            <w:r w:rsidRPr="001F3BCA">
              <w:rPr>
                <w:color w:val="000000"/>
                <w:sz w:val="24"/>
                <w:lang w:eastAsia="en-NZ"/>
              </w:rPr>
              <w:t>5</w:t>
            </w:r>
          </w:p>
        </w:tc>
      </w:tr>
      <w:tr w:rsidR="0005322B" w:rsidRPr="00A746D4" w14:paraId="74C00FA6" w14:textId="446EA90A" w:rsidTr="0005322B">
        <w:tc>
          <w:tcPr>
            <w:tcW w:w="1522" w:type="pct"/>
          </w:tcPr>
          <w:p w14:paraId="042A0E84" w14:textId="77777777" w:rsidR="0005322B" w:rsidRPr="001F3BCA" w:rsidRDefault="0005322B" w:rsidP="0005322B">
            <w:pPr>
              <w:contextualSpacing/>
              <w:rPr>
                <w:sz w:val="24"/>
              </w:rPr>
            </w:pPr>
            <w:r w:rsidRPr="001F3BCA">
              <w:rPr>
                <w:sz w:val="24"/>
              </w:rPr>
              <w:t>Letters Out</w:t>
            </w:r>
          </w:p>
        </w:tc>
        <w:tc>
          <w:tcPr>
            <w:tcW w:w="1301" w:type="pct"/>
            <w:vAlign w:val="center"/>
          </w:tcPr>
          <w:p w14:paraId="08B29B3A" w14:textId="0FD23BE0" w:rsidR="0005322B" w:rsidRPr="001F3BCA" w:rsidRDefault="0005322B" w:rsidP="008D3027">
            <w:pPr>
              <w:contextualSpacing/>
              <w:jc w:val="center"/>
              <w:rPr>
                <w:sz w:val="24"/>
              </w:rPr>
            </w:pPr>
            <w:r w:rsidRPr="001F3BCA">
              <w:rPr>
                <w:color w:val="000000"/>
                <w:sz w:val="24"/>
                <w:lang w:eastAsia="en-NZ"/>
              </w:rPr>
              <w:t>8</w:t>
            </w:r>
          </w:p>
        </w:tc>
        <w:tc>
          <w:tcPr>
            <w:tcW w:w="1200" w:type="pct"/>
            <w:vAlign w:val="center"/>
          </w:tcPr>
          <w:p w14:paraId="4C2C80BA" w14:textId="016E2FF5" w:rsidR="0005322B" w:rsidRPr="001F3BCA" w:rsidRDefault="0005322B" w:rsidP="008D3027">
            <w:pPr>
              <w:contextualSpacing/>
              <w:jc w:val="center"/>
              <w:rPr>
                <w:color w:val="000000"/>
                <w:sz w:val="24"/>
                <w:lang w:eastAsia="en-NZ"/>
              </w:rPr>
            </w:pPr>
            <w:r w:rsidRPr="001F3BCA">
              <w:rPr>
                <w:color w:val="000000"/>
                <w:sz w:val="24"/>
                <w:lang w:eastAsia="en-NZ"/>
              </w:rPr>
              <w:t>1</w:t>
            </w:r>
          </w:p>
        </w:tc>
        <w:tc>
          <w:tcPr>
            <w:tcW w:w="977" w:type="pct"/>
          </w:tcPr>
          <w:p w14:paraId="5D31E117" w14:textId="67F44253" w:rsidR="0005322B" w:rsidRPr="001F3BCA" w:rsidRDefault="00A746D4" w:rsidP="008D3027">
            <w:pPr>
              <w:contextualSpacing/>
              <w:jc w:val="center"/>
              <w:rPr>
                <w:color w:val="000000"/>
                <w:sz w:val="24"/>
                <w:lang w:eastAsia="en-NZ"/>
              </w:rPr>
            </w:pPr>
            <w:r w:rsidRPr="001F3BCA">
              <w:rPr>
                <w:color w:val="000000"/>
                <w:sz w:val="24"/>
                <w:lang w:eastAsia="en-NZ"/>
              </w:rPr>
              <w:t>8</w:t>
            </w:r>
          </w:p>
        </w:tc>
      </w:tr>
      <w:tr w:rsidR="0005322B" w:rsidRPr="00A746D4" w14:paraId="438E25C1" w14:textId="179FDDB3" w:rsidTr="0005322B">
        <w:tc>
          <w:tcPr>
            <w:tcW w:w="1522" w:type="pct"/>
          </w:tcPr>
          <w:p w14:paraId="07254A85" w14:textId="77777777" w:rsidR="0005322B" w:rsidRPr="001F3BCA" w:rsidRDefault="0005322B" w:rsidP="0005322B">
            <w:pPr>
              <w:contextualSpacing/>
              <w:rPr>
                <w:sz w:val="24"/>
              </w:rPr>
            </w:pPr>
            <w:r w:rsidRPr="001F3BCA">
              <w:rPr>
                <w:sz w:val="24"/>
              </w:rPr>
              <w:t xml:space="preserve">Text Sent </w:t>
            </w:r>
          </w:p>
        </w:tc>
        <w:tc>
          <w:tcPr>
            <w:tcW w:w="1301" w:type="pct"/>
            <w:vAlign w:val="center"/>
          </w:tcPr>
          <w:p w14:paraId="27C954F0" w14:textId="483905C2" w:rsidR="0005322B" w:rsidRPr="001F3BCA" w:rsidRDefault="00A746D4" w:rsidP="008D3027">
            <w:pPr>
              <w:contextualSpacing/>
              <w:jc w:val="center"/>
              <w:rPr>
                <w:sz w:val="24"/>
              </w:rPr>
            </w:pPr>
            <w:r w:rsidRPr="001F3BCA">
              <w:rPr>
                <w:color w:val="000000"/>
                <w:sz w:val="24"/>
                <w:lang w:eastAsia="en-NZ"/>
              </w:rPr>
              <w:t>7</w:t>
            </w:r>
          </w:p>
        </w:tc>
        <w:tc>
          <w:tcPr>
            <w:tcW w:w="1200" w:type="pct"/>
            <w:vAlign w:val="center"/>
          </w:tcPr>
          <w:p w14:paraId="2E5B1C7B" w14:textId="636F79EB" w:rsidR="0005322B" w:rsidRPr="001F3BCA" w:rsidRDefault="00A746D4" w:rsidP="008D3027">
            <w:pPr>
              <w:contextualSpacing/>
              <w:jc w:val="center"/>
              <w:rPr>
                <w:color w:val="000000"/>
                <w:sz w:val="24"/>
                <w:lang w:eastAsia="en-NZ"/>
              </w:rPr>
            </w:pPr>
            <w:r w:rsidRPr="001F3BCA">
              <w:rPr>
                <w:color w:val="000000"/>
                <w:sz w:val="24"/>
                <w:lang w:eastAsia="en-NZ"/>
              </w:rPr>
              <w:t>4</w:t>
            </w:r>
          </w:p>
        </w:tc>
        <w:tc>
          <w:tcPr>
            <w:tcW w:w="977" w:type="pct"/>
          </w:tcPr>
          <w:p w14:paraId="3D62C8BC" w14:textId="20A15EAB" w:rsidR="0005322B" w:rsidRPr="001F3BCA" w:rsidRDefault="00A746D4" w:rsidP="008D3027">
            <w:pPr>
              <w:contextualSpacing/>
              <w:jc w:val="center"/>
              <w:rPr>
                <w:color w:val="000000"/>
                <w:sz w:val="24"/>
                <w:lang w:eastAsia="en-NZ"/>
              </w:rPr>
            </w:pPr>
            <w:r w:rsidRPr="001F3BCA">
              <w:rPr>
                <w:color w:val="000000"/>
                <w:sz w:val="24"/>
                <w:lang w:eastAsia="en-NZ"/>
              </w:rPr>
              <w:t>5</w:t>
            </w:r>
          </w:p>
        </w:tc>
      </w:tr>
    </w:tbl>
    <w:p w14:paraId="43880050" w14:textId="2946A176" w:rsidR="00BE67AB" w:rsidRPr="001F3BCA" w:rsidRDefault="00BE67AB" w:rsidP="00BE67AB">
      <w:pPr>
        <w:pStyle w:val="ListParagraph"/>
        <w:keepLines w:val="0"/>
        <w:numPr>
          <w:ilvl w:val="0"/>
          <w:numId w:val="37"/>
        </w:numPr>
        <w:spacing w:before="0" w:after="0"/>
        <w:rPr>
          <w:rFonts w:eastAsia="Times New Roman"/>
          <w:sz w:val="20"/>
          <w:szCs w:val="20"/>
        </w:rPr>
      </w:pPr>
      <w:r w:rsidRPr="001F3BCA">
        <w:rPr>
          <w:sz w:val="20"/>
          <w:szCs w:val="20"/>
          <w:u w:val="single"/>
        </w:rPr>
        <w:t>Registrations Lite</w:t>
      </w:r>
      <w:r w:rsidRPr="001F3BCA">
        <w:rPr>
          <w:sz w:val="20"/>
          <w:szCs w:val="20"/>
        </w:rPr>
        <w:t xml:space="preserve"> is a process for people who feel </w:t>
      </w:r>
      <w:r w:rsidR="005E737A" w:rsidRPr="001F3BCA">
        <w:rPr>
          <w:sz w:val="20"/>
          <w:szCs w:val="20"/>
        </w:rPr>
        <w:t xml:space="preserve">triggered by what they have seen, heard or </w:t>
      </w:r>
      <w:r w:rsidRPr="001F3BCA">
        <w:rPr>
          <w:sz w:val="20"/>
          <w:szCs w:val="20"/>
        </w:rPr>
        <w:t xml:space="preserve">read </w:t>
      </w:r>
      <w:r w:rsidR="004D3AEF" w:rsidRPr="001F3BCA">
        <w:rPr>
          <w:sz w:val="20"/>
          <w:szCs w:val="20"/>
        </w:rPr>
        <w:t>particularly near</w:t>
      </w:r>
      <w:r w:rsidRPr="001F3BCA">
        <w:rPr>
          <w:sz w:val="20"/>
          <w:szCs w:val="20"/>
        </w:rPr>
        <w:t xml:space="preserve"> or during </w:t>
      </w:r>
      <w:r w:rsidR="005E737A" w:rsidRPr="001F3BCA">
        <w:rPr>
          <w:sz w:val="20"/>
          <w:szCs w:val="20"/>
        </w:rPr>
        <w:t xml:space="preserve">a </w:t>
      </w:r>
      <w:r w:rsidR="004D3AEF" w:rsidRPr="001F3BCA">
        <w:rPr>
          <w:sz w:val="20"/>
          <w:szCs w:val="20"/>
        </w:rPr>
        <w:t>public hearing</w:t>
      </w:r>
      <w:r w:rsidRPr="001F3BCA">
        <w:rPr>
          <w:sz w:val="20"/>
          <w:szCs w:val="20"/>
        </w:rPr>
        <w:t xml:space="preserve">, and they contact the Contact and Support Centre, but are not in scope. If the individual chooses to, </w:t>
      </w:r>
      <w:r w:rsidR="005E737A" w:rsidRPr="001F3BCA">
        <w:rPr>
          <w:sz w:val="20"/>
          <w:szCs w:val="20"/>
        </w:rPr>
        <w:t>their contact detail is captured</w:t>
      </w:r>
      <w:r w:rsidR="00CB15B8" w:rsidRPr="001F3BCA">
        <w:rPr>
          <w:sz w:val="20"/>
          <w:szCs w:val="20"/>
        </w:rPr>
        <w:t xml:space="preserve"> a</w:t>
      </w:r>
      <w:r w:rsidR="005E737A" w:rsidRPr="001F3BCA">
        <w:rPr>
          <w:sz w:val="20"/>
          <w:szCs w:val="20"/>
        </w:rPr>
        <w:t xml:space="preserve">s well as </w:t>
      </w:r>
      <w:r w:rsidR="00CB15B8" w:rsidRPr="001F3BCA">
        <w:rPr>
          <w:sz w:val="20"/>
          <w:szCs w:val="20"/>
        </w:rPr>
        <w:t xml:space="preserve">what the Commission </w:t>
      </w:r>
      <w:r w:rsidR="00BD2C9E" w:rsidRPr="001F3BCA">
        <w:rPr>
          <w:sz w:val="20"/>
          <w:szCs w:val="20"/>
        </w:rPr>
        <w:t>can</w:t>
      </w:r>
      <w:r w:rsidR="00CB15B8" w:rsidRPr="001F3BCA">
        <w:rPr>
          <w:sz w:val="20"/>
          <w:szCs w:val="20"/>
        </w:rPr>
        <w:t xml:space="preserve"> provide in terms of assistance. </w:t>
      </w:r>
      <w:r w:rsidRPr="001F3BCA">
        <w:rPr>
          <w:sz w:val="20"/>
          <w:szCs w:val="20"/>
        </w:rPr>
        <w:t xml:space="preserve"> </w:t>
      </w:r>
      <w:r w:rsidR="008D3027" w:rsidRPr="001F3BCA">
        <w:rPr>
          <w:sz w:val="20"/>
          <w:szCs w:val="20"/>
        </w:rPr>
        <w:br/>
      </w:r>
    </w:p>
    <w:p w14:paraId="5CF427CE" w14:textId="784FFC86" w:rsidR="00F30665" w:rsidRDefault="00E51032" w:rsidP="00D77BBC">
      <w:pPr>
        <w:spacing w:after="120"/>
        <w:contextualSpacing/>
      </w:pPr>
      <w:r>
        <w:t xml:space="preserve">A total of 85 face-to-face </w:t>
      </w:r>
      <w:r w:rsidR="00A746D4" w:rsidRPr="00E51032">
        <w:t xml:space="preserve">Private Sessions </w:t>
      </w:r>
      <w:r w:rsidR="0050299F">
        <w:t xml:space="preserve">with survivors </w:t>
      </w:r>
      <w:r>
        <w:t xml:space="preserve">were conducted over this quarter. This was </w:t>
      </w:r>
      <w:r w:rsidR="00A746D4" w:rsidRPr="00E51032">
        <w:t xml:space="preserve">lower than </w:t>
      </w:r>
      <w:r>
        <w:t xml:space="preserve">the </w:t>
      </w:r>
      <w:r w:rsidR="00781CFB">
        <w:t xml:space="preserve">111 </w:t>
      </w:r>
      <w:r>
        <w:t xml:space="preserve">planned sessions, with 12 cancelled </w:t>
      </w:r>
      <w:r w:rsidR="00BE67AB" w:rsidRPr="00E51032">
        <w:t xml:space="preserve">due to Covid-19 restrictions </w:t>
      </w:r>
      <w:r w:rsidR="00F30665">
        <w:t>and 14 cancel</w:t>
      </w:r>
      <w:r w:rsidR="0050299F">
        <w:t xml:space="preserve">led by survivors.  </w:t>
      </w:r>
    </w:p>
    <w:p w14:paraId="39E86E67" w14:textId="2F97920C" w:rsidR="00F30665" w:rsidRPr="00F30665" w:rsidRDefault="00F30665" w:rsidP="00D77BBC">
      <w:pPr>
        <w:spacing w:after="120"/>
        <w:contextualSpacing/>
      </w:pPr>
    </w:p>
    <w:p w14:paraId="74CA3594" w14:textId="66D75150" w:rsidR="009F0013" w:rsidRDefault="00F30665" w:rsidP="00ED05C0">
      <w:pPr>
        <w:spacing w:after="120"/>
        <w:contextualSpacing/>
      </w:pPr>
      <w:r w:rsidRPr="00F30665">
        <w:t xml:space="preserve">Over the </w:t>
      </w:r>
      <w:r w:rsidR="00ED0BE8">
        <w:t xml:space="preserve">coming months </w:t>
      </w:r>
      <w:r w:rsidR="0050299F">
        <w:t xml:space="preserve">we </w:t>
      </w:r>
      <w:r w:rsidR="007D41EC">
        <w:t xml:space="preserve">will be </w:t>
      </w:r>
      <w:r w:rsidR="0050299F">
        <w:t xml:space="preserve">exploring options as to how we might increase the Commission’s capacity to host Private Sessions, within the context of </w:t>
      </w:r>
      <w:r w:rsidRPr="00F30665">
        <w:t xml:space="preserve">Commissioners </w:t>
      </w:r>
      <w:r w:rsidR="00ED0BE8">
        <w:t xml:space="preserve">other </w:t>
      </w:r>
      <w:r w:rsidRPr="00F30665">
        <w:t>commitments</w:t>
      </w:r>
      <w:r w:rsidR="00E521AB">
        <w:t xml:space="preserve">. </w:t>
      </w:r>
      <w:r w:rsidR="0050299F">
        <w:t xml:space="preserve"> </w:t>
      </w:r>
    </w:p>
    <w:p w14:paraId="1F37736A" w14:textId="3442CB0B" w:rsidR="00D77BBC" w:rsidRDefault="009F0013" w:rsidP="008D3027">
      <w:pPr>
        <w:spacing w:after="120"/>
        <w:contextualSpacing/>
      </w:pPr>
      <w:r>
        <w:br/>
      </w:r>
      <w:r w:rsidR="00D92281" w:rsidRPr="00CF346B">
        <w:t xml:space="preserve">Wellbeing support is integral to all engagements for survivors within the Inquiry, this includes private sessions (face to face and /or technology enabled), written submissions, public hearings, witness statements or other activities that may cause the potential harm. </w:t>
      </w:r>
      <w:r w:rsidR="00060802" w:rsidRPr="00CF346B">
        <w:t xml:space="preserve"> </w:t>
      </w:r>
    </w:p>
    <w:p w14:paraId="684BE7EC" w14:textId="77777777" w:rsidR="00D77BBC" w:rsidRPr="00D77BBC" w:rsidRDefault="00D77BBC" w:rsidP="00D77BBC"/>
    <w:p w14:paraId="017431CD" w14:textId="430D2DF6" w:rsidR="00D77BBC" w:rsidRDefault="00D77BBC" w:rsidP="00D77BBC"/>
    <w:p w14:paraId="6BA91F6A" w14:textId="522718AC" w:rsidR="001F454B" w:rsidRPr="00D77BBC" w:rsidRDefault="00D77BBC" w:rsidP="00D77BBC">
      <w:pPr>
        <w:tabs>
          <w:tab w:val="left" w:pos="2676"/>
        </w:tabs>
      </w:pPr>
      <w:r>
        <w:tab/>
      </w:r>
    </w:p>
    <w:p w14:paraId="5D4E6E2A" w14:textId="4C096A45" w:rsidR="00D14A35" w:rsidRPr="00CF346B" w:rsidRDefault="00060802" w:rsidP="00D92281">
      <w:pPr>
        <w:spacing w:after="120"/>
      </w:pPr>
      <w:r w:rsidRPr="00CF346B">
        <w:lastRenderedPageBreak/>
        <w:t>It is important that a range of wellbeing services are available.  In addition</w:t>
      </w:r>
      <w:r w:rsidR="00225C4B" w:rsidRPr="00CF346B">
        <w:t>,</w:t>
      </w:r>
      <w:r w:rsidRPr="00CF346B">
        <w:t xml:space="preserve"> to having </w:t>
      </w:r>
      <w:r w:rsidR="00225C4B" w:rsidRPr="00CF346B">
        <w:t xml:space="preserve">a small team of </w:t>
      </w:r>
      <w:r w:rsidRPr="00CF346B">
        <w:t>wellbeing staff as par</w:t>
      </w:r>
      <w:r w:rsidR="00225C4B" w:rsidRPr="00CF346B">
        <w:t xml:space="preserve">t of </w:t>
      </w:r>
      <w:r w:rsidRPr="00CF346B">
        <w:t>the secretariat</w:t>
      </w:r>
      <w:r w:rsidR="00D14A35" w:rsidRPr="00CF346B">
        <w:t>, this is supplemented by external</w:t>
      </w:r>
      <w:r w:rsidR="008E1003" w:rsidRPr="00CF346B">
        <w:t>, specialist</w:t>
      </w:r>
      <w:r w:rsidR="00D14A35" w:rsidRPr="00CF346B">
        <w:t xml:space="preserve"> </w:t>
      </w:r>
      <w:r w:rsidR="001F454B" w:rsidRPr="00CF346B">
        <w:t xml:space="preserve">wellbeing providers </w:t>
      </w:r>
      <w:r w:rsidR="00D14A35" w:rsidRPr="00CF346B">
        <w:t xml:space="preserve">such as </w:t>
      </w:r>
      <w:r w:rsidR="001F454B" w:rsidRPr="00CF346B">
        <w:t>Pain Manage</w:t>
      </w:r>
      <w:r w:rsidR="009F0013" w:rsidRPr="00CF346B">
        <w:t xml:space="preserve">ment </w:t>
      </w:r>
      <w:r w:rsidR="001F454B" w:rsidRPr="00CF346B">
        <w:t xml:space="preserve">and </w:t>
      </w:r>
      <w:r w:rsidR="00D14A35" w:rsidRPr="00CF346B">
        <w:t>H</w:t>
      </w:r>
      <w:r w:rsidR="009F0013" w:rsidRPr="00CF346B">
        <w:t xml:space="preserve">omeCare Medical. The latter </w:t>
      </w:r>
      <w:r w:rsidR="00D14A35" w:rsidRPr="00CF346B">
        <w:t xml:space="preserve">was engaged in June 2020, to </w:t>
      </w:r>
      <w:r w:rsidR="009F0013" w:rsidRPr="00CF346B">
        <w:t xml:space="preserve">undertake </w:t>
      </w:r>
      <w:r w:rsidR="001F454B" w:rsidRPr="00CF346B">
        <w:t xml:space="preserve">a six-month co-design with the Royal Commission to provide a national wellbeing service for our survivors.  </w:t>
      </w:r>
      <w:r w:rsidR="00D14A35" w:rsidRPr="00CF346B">
        <w:t>A review of the co-design process was completed in this quarter</w:t>
      </w:r>
      <w:r w:rsidR="001F454B" w:rsidRPr="00CF346B">
        <w:t xml:space="preserve">, with the outcome being to </w:t>
      </w:r>
      <w:r w:rsidR="00D14A35" w:rsidRPr="00CF346B">
        <w:t xml:space="preserve">extend the </w:t>
      </w:r>
      <w:r w:rsidR="00533097" w:rsidRPr="00CF346B">
        <w:t>co-design p</w:t>
      </w:r>
      <w:r w:rsidR="00D14A35" w:rsidRPr="00CF346B">
        <w:t>eriod to 3</w:t>
      </w:r>
      <w:r w:rsidR="00533097" w:rsidRPr="00CF346B">
        <w:t>0 June 2021, to allow additional time to embed process and maximise the services offering to survivors</w:t>
      </w:r>
      <w:r w:rsidR="009F0013" w:rsidRPr="00CF346B">
        <w:t xml:space="preserve">. </w:t>
      </w:r>
      <w:r w:rsidR="00225C4B" w:rsidRPr="00CF346B">
        <w:t xml:space="preserve"> </w:t>
      </w:r>
    </w:p>
    <w:p w14:paraId="7BF0E132" w14:textId="2E561682" w:rsidR="00D92281" w:rsidRDefault="00D14A35" w:rsidP="00D92281">
      <w:pPr>
        <w:spacing w:after="120"/>
        <w:rPr>
          <w:lang w:eastAsia="en-NZ"/>
        </w:rPr>
      </w:pPr>
      <w:r w:rsidRPr="00CF346B">
        <w:t>In this quarter</w:t>
      </w:r>
      <w:r w:rsidR="001F454B" w:rsidRPr="00CF346B">
        <w:t>,</w:t>
      </w:r>
      <w:r w:rsidRPr="00CF346B">
        <w:t xml:space="preserve"> the procurement process to engage the services of</w:t>
      </w:r>
      <w:r w:rsidR="00060802" w:rsidRPr="00CF346B">
        <w:t xml:space="preserve"> seven Non-Government Organisations to provide Kaupapa </w:t>
      </w:r>
      <w:r w:rsidR="001F454B" w:rsidRPr="00CF346B">
        <w:rPr>
          <w:lang w:eastAsia="en-NZ"/>
        </w:rPr>
        <w:t>Māori wellbeing was completed.</w:t>
      </w:r>
      <w:r w:rsidR="001F454B">
        <w:rPr>
          <w:lang w:eastAsia="en-NZ"/>
        </w:rPr>
        <w:t xml:space="preserve">  </w:t>
      </w:r>
      <w:r w:rsidR="00060802">
        <w:rPr>
          <w:lang w:eastAsia="en-NZ"/>
        </w:rPr>
        <w:t xml:space="preserve"> </w:t>
      </w:r>
    </w:p>
    <w:p w14:paraId="15D5DD3C" w14:textId="77777777" w:rsidR="008D3027" w:rsidRDefault="008D3027" w:rsidP="00D14A35">
      <w:pPr>
        <w:contextualSpacing/>
        <w:rPr>
          <w:u w:val="single"/>
        </w:rPr>
      </w:pPr>
    </w:p>
    <w:p w14:paraId="10AFEE5E" w14:textId="7AC5EB03" w:rsidR="00BE67AB" w:rsidRDefault="00BE67AB" w:rsidP="00D14A35">
      <w:pPr>
        <w:contextualSpacing/>
        <w:rPr>
          <w:u w:val="single"/>
        </w:rPr>
      </w:pPr>
      <w:r w:rsidRPr="00F34AB8">
        <w:rPr>
          <w:u w:val="single"/>
        </w:rPr>
        <w:t>Research and Policy</w:t>
      </w:r>
    </w:p>
    <w:p w14:paraId="40807B8B" w14:textId="77777777" w:rsidR="001F454B" w:rsidRPr="00D14A35" w:rsidRDefault="001F454B" w:rsidP="00D14A35">
      <w:pPr>
        <w:contextualSpacing/>
        <w:rPr>
          <w:b/>
          <w:highlight w:val="yellow"/>
        </w:rPr>
      </w:pPr>
    </w:p>
    <w:p w14:paraId="485857E7" w14:textId="07693FDE" w:rsidR="00BE67AB" w:rsidRPr="0099633A" w:rsidRDefault="00BE67AB" w:rsidP="00BE67AB">
      <w:r w:rsidRPr="0099633A">
        <w:t xml:space="preserve">The first tranche of literature reviews for the Psychiatric, Catholic, Māori and Residences investigations settings </w:t>
      </w:r>
      <w:r w:rsidR="0099633A" w:rsidRPr="0099633A">
        <w:t>is being managed in house by the Research team.</w:t>
      </w:r>
      <w:r w:rsidRPr="0099633A">
        <w:t xml:space="preserve"> The reviews </w:t>
      </w:r>
      <w:r w:rsidR="004643F4" w:rsidRPr="0099633A">
        <w:t>which</w:t>
      </w:r>
      <w:r w:rsidR="0099633A" w:rsidRPr="0099633A">
        <w:t xml:space="preserve"> consider the factors o</w:t>
      </w:r>
      <w:r w:rsidR="00D96D45">
        <w:t>r</w:t>
      </w:r>
      <w:r w:rsidR="0099633A" w:rsidRPr="0099633A">
        <w:t xml:space="preserve"> c</w:t>
      </w:r>
      <w:r w:rsidRPr="0099633A">
        <w:t xml:space="preserve">ircumstances of going into </w:t>
      </w:r>
      <w:r w:rsidR="00D96D45">
        <w:t>c</w:t>
      </w:r>
      <w:r w:rsidRPr="0099633A">
        <w:t xml:space="preserve">are </w:t>
      </w:r>
      <w:r w:rsidR="00D96D45">
        <w:t>and the n</w:t>
      </w:r>
      <w:r w:rsidRPr="0099633A">
        <w:t xml:space="preserve">ature, </w:t>
      </w:r>
      <w:r w:rsidR="00D96D45">
        <w:t>e</w:t>
      </w:r>
      <w:r w:rsidRPr="0099633A">
        <w:t xml:space="preserve">xtent, </w:t>
      </w:r>
      <w:r w:rsidR="00D96D45">
        <w:t>c</w:t>
      </w:r>
      <w:r w:rsidRPr="0099633A">
        <w:t xml:space="preserve">auses and </w:t>
      </w:r>
      <w:r w:rsidR="00D96D45">
        <w:t>i</w:t>
      </w:r>
      <w:r w:rsidRPr="0099633A">
        <w:t xml:space="preserve">mpacts of </w:t>
      </w:r>
      <w:r w:rsidR="00D96D45">
        <w:t>a</w:t>
      </w:r>
      <w:r w:rsidRPr="0099633A">
        <w:t>buse</w:t>
      </w:r>
      <w:r w:rsidR="004643F4" w:rsidRPr="0099633A">
        <w:t xml:space="preserve"> were sch</w:t>
      </w:r>
      <w:r w:rsidR="0099633A" w:rsidRPr="0099633A">
        <w:t xml:space="preserve">eduled for completion by the end of </w:t>
      </w:r>
      <w:r w:rsidR="009C60AC">
        <w:t xml:space="preserve">December </w:t>
      </w:r>
      <w:r w:rsidR="0099633A" w:rsidRPr="0099633A">
        <w:t>2020</w:t>
      </w:r>
      <w:r w:rsidR="00D96D45">
        <w:t>. D</w:t>
      </w:r>
      <w:r w:rsidR="0099633A" w:rsidRPr="0099633A">
        <w:t xml:space="preserve">ue to workload constraints the timeline for has been extended to </w:t>
      </w:r>
      <w:r w:rsidR="009C60AC">
        <w:t xml:space="preserve">the end of </w:t>
      </w:r>
      <w:r w:rsidR="0099633A" w:rsidRPr="0099633A">
        <w:t>January 2021.</w:t>
      </w:r>
    </w:p>
    <w:p w14:paraId="34237D25" w14:textId="17366BCC" w:rsidR="003562F8" w:rsidRDefault="004643F4" w:rsidP="00BE67AB">
      <w:r w:rsidRPr="00025E8A">
        <w:t xml:space="preserve">The timeline for the completion of the second </w:t>
      </w:r>
      <w:r w:rsidR="00D96D45">
        <w:t>t</w:t>
      </w:r>
      <w:r w:rsidRPr="00025E8A">
        <w:t>ranche of literature reviews</w:t>
      </w:r>
      <w:r w:rsidR="00D96D45">
        <w:t>,</w:t>
      </w:r>
      <w:r w:rsidRPr="00025E8A">
        <w:t xml:space="preserve"> which includes</w:t>
      </w:r>
      <w:r w:rsidR="00BE67AB" w:rsidRPr="00025E8A">
        <w:t xml:space="preserve"> the settings of foster care, transitional and law enforcement, non-residential psychiatric hospitals and disability facilities, boarding schools and other educational settings</w:t>
      </w:r>
      <w:r w:rsidRPr="00025E8A">
        <w:t xml:space="preserve"> has been extended to 31 July 2021</w:t>
      </w:r>
      <w:r w:rsidR="00025E8A" w:rsidRPr="00025E8A">
        <w:t xml:space="preserve"> from 30 June 2021</w:t>
      </w:r>
      <w:r w:rsidRPr="00025E8A">
        <w:t>.</w:t>
      </w:r>
      <w:r w:rsidR="004B3B7A">
        <w:t xml:space="preserve"> </w:t>
      </w:r>
      <w:r w:rsidR="00025E8A" w:rsidRPr="00025E8A">
        <w:t xml:space="preserve">This is to allow sufficient time to </w:t>
      </w:r>
      <w:r w:rsidR="00025E8A">
        <w:t xml:space="preserve">undertake the </w:t>
      </w:r>
      <w:r w:rsidR="00B61F26">
        <w:t xml:space="preserve">necessary </w:t>
      </w:r>
      <w:r w:rsidR="00025E8A" w:rsidRPr="00025E8A">
        <w:t xml:space="preserve">All of Government Panel Procurement procedures </w:t>
      </w:r>
      <w:r w:rsidR="00025E8A">
        <w:t xml:space="preserve">to engage an </w:t>
      </w:r>
      <w:r w:rsidR="00025E8A" w:rsidRPr="00025E8A">
        <w:t>external provider</w:t>
      </w:r>
      <w:r w:rsidR="00025E8A">
        <w:t xml:space="preserve"> for this work</w:t>
      </w:r>
      <w:r w:rsidR="00025E8A" w:rsidRPr="00025E8A">
        <w:t xml:space="preserve">. </w:t>
      </w:r>
    </w:p>
    <w:p w14:paraId="7395A612" w14:textId="5BC4AB37" w:rsidR="00BE67AB" w:rsidRPr="00D14A35" w:rsidRDefault="003562F8" w:rsidP="00BE67AB">
      <w:r>
        <w:t>Work will continue in the next qu</w:t>
      </w:r>
      <w:r w:rsidR="009C60AC">
        <w:t>arter on finalising research and</w:t>
      </w:r>
      <w:r>
        <w:t xml:space="preserve"> policy plans for each investigation, as well as developing a detailed inquiry-wide work plan for the research and policy work programmes.   </w:t>
      </w:r>
      <w:r w:rsidR="00BE67AB" w:rsidRPr="002B3126">
        <w:rPr>
          <w:highlight w:val="yellow"/>
        </w:rPr>
        <w:br/>
      </w:r>
      <w:r w:rsidR="00BE67AB" w:rsidRPr="002B3126">
        <w:rPr>
          <w:rFonts w:asciiTheme="minorHAnsi" w:hAnsiTheme="minorHAnsi" w:cstheme="minorHAnsi"/>
          <w:b/>
          <w:highlight w:val="yellow"/>
        </w:rPr>
        <w:br/>
      </w:r>
      <w:r w:rsidR="00BE67AB" w:rsidRPr="00AE3A8D">
        <w:rPr>
          <w:rFonts w:asciiTheme="minorHAnsi" w:hAnsiTheme="minorHAnsi" w:cstheme="minorHAnsi"/>
          <w:u w:val="single"/>
        </w:rPr>
        <w:t>Community and Treaty Engagement</w:t>
      </w:r>
      <w:r w:rsidR="00BE67AB" w:rsidRPr="00AE3A8D">
        <w:rPr>
          <w:rFonts w:asciiTheme="minorHAnsi" w:hAnsiTheme="minorHAnsi" w:cstheme="minorHAnsi"/>
          <w:b/>
        </w:rPr>
        <w:t xml:space="preserve"> </w:t>
      </w:r>
      <w:r w:rsidR="00D14A35">
        <w:br/>
      </w:r>
      <w:r w:rsidR="00D14A35">
        <w:rPr>
          <w:rFonts w:asciiTheme="minorHAnsi" w:hAnsiTheme="minorHAnsi" w:cstheme="minorHAnsi"/>
        </w:rPr>
        <w:br/>
      </w:r>
      <w:r w:rsidR="00BE67AB" w:rsidRPr="00AE3A8D">
        <w:rPr>
          <w:rFonts w:asciiTheme="minorHAnsi" w:hAnsiTheme="minorHAnsi" w:cstheme="minorHAnsi"/>
        </w:rPr>
        <w:t>During the quarter the Community Engagement team</w:t>
      </w:r>
      <w:r w:rsidR="006E00CC">
        <w:rPr>
          <w:rFonts w:asciiTheme="minorHAnsi" w:hAnsiTheme="minorHAnsi" w:cstheme="minorHAnsi"/>
        </w:rPr>
        <w:t xml:space="preserve"> has continued to connect</w:t>
      </w:r>
      <w:r w:rsidR="00BE67AB" w:rsidRPr="00AE3A8D">
        <w:rPr>
          <w:rFonts w:asciiTheme="minorHAnsi" w:hAnsiTheme="minorHAnsi" w:cstheme="minorHAnsi"/>
        </w:rPr>
        <w:t xml:space="preserve"> with</w:t>
      </w:r>
      <w:r w:rsidR="006E00CC">
        <w:rPr>
          <w:rFonts w:asciiTheme="minorHAnsi" w:hAnsiTheme="minorHAnsi" w:cstheme="minorHAnsi"/>
        </w:rPr>
        <w:t xml:space="preserve"> survivors, </w:t>
      </w:r>
      <w:r w:rsidR="00BE67AB" w:rsidRPr="00AE3A8D">
        <w:rPr>
          <w:rFonts w:asciiTheme="minorHAnsi" w:hAnsiTheme="minorHAnsi" w:cstheme="minorHAnsi"/>
        </w:rPr>
        <w:t>community organisations, support groups and networks to raise awareness of the Royal Commission and encourage registrations</w:t>
      </w:r>
      <w:r w:rsidR="00D96D45">
        <w:rPr>
          <w:rFonts w:asciiTheme="minorHAnsi" w:hAnsiTheme="minorHAnsi" w:cstheme="minorHAnsi"/>
        </w:rPr>
        <w:t>,</w:t>
      </w:r>
      <w:r w:rsidR="00BE67AB" w:rsidRPr="00AE3A8D">
        <w:rPr>
          <w:rFonts w:asciiTheme="minorHAnsi" w:hAnsiTheme="minorHAnsi" w:cstheme="minorHAnsi"/>
        </w:rPr>
        <w:t xml:space="preserve"> particularly in hard to reach communities.</w:t>
      </w:r>
    </w:p>
    <w:p w14:paraId="4F10FB6C" w14:textId="12B04236" w:rsidR="00BE67AB" w:rsidRPr="00AE3A8D" w:rsidRDefault="006E00CC" w:rsidP="00BE67AB">
      <w:pPr>
        <w:rPr>
          <w:rFonts w:asciiTheme="minorHAnsi" w:hAnsiTheme="minorHAnsi" w:cstheme="minorHAnsi"/>
        </w:rPr>
      </w:pPr>
      <w:r>
        <w:rPr>
          <w:rFonts w:asciiTheme="minorHAnsi" w:hAnsiTheme="minorHAnsi" w:cstheme="minorHAnsi"/>
        </w:rPr>
        <w:t>Key activities include</w:t>
      </w:r>
      <w:r w:rsidR="00BE67AB" w:rsidRPr="00AE3A8D">
        <w:rPr>
          <w:rFonts w:asciiTheme="minorHAnsi" w:hAnsiTheme="minorHAnsi" w:cstheme="minorHAnsi"/>
        </w:rPr>
        <w:t xml:space="preserve">: </w:t>
      </w:r>
    </w:p>
    <w:p w14:paraId="626E59F1" w14:textId="70350285" w:rsidR="0045721D" w:rsidRDefault="00657694" w:rsidP="00BE67AB">
      <w:pPr>
        <w:pStyle w:val="ListParagraph"/>
        <w:numPr>
          <w:ilvl w:val="0"/>
          <w:numId w:val="28"/>
        </w:numPr>
        <w:ind w:left="284" w:hanging="284"/>
        <w:rPr>
          <w:rFonts w:asciiTheme="minorHAnsi" w:hAnsiTheme="minorHAnsi" w:cstheme="minorHAnsi"/>
        </w:rPr>
      </w:pPr>
      <w:r>
        <w:rPr>
          <w:rFonts w:asciiTheme="minorHAnsi" w:hAnsiTheme="minorHAnsi" w:cstheme="minorHAnsi"/>
        </w:rPr>
        <w:t>p</w:t>
      </w:r>
      <w:r w:rsidR="006E00CC" w:rsidRPr="005D7A0F">
        <w:rPr>
          <w:rFonts w:asciiTheme="minorHAnsi" w:hAnsiTheme="minorHAnsi" w:cstheme="minorHAnsi"/>
        </w:rPr>
        <w:t>resenting at</w:t>
      </w:r>
      <w:r w:rsidR="001308A0">
        <w:rPr>
          <w:rFonts w:asciiTheme="minorHAnsi" w:hAnsiTheme="minorHAnsi" w:cstheme="minorHAnsi"/>
        </w:rPr>
        <w:t xml:space="preserve"> the </w:t>
      </w:r>
      <w:r w:rsidR="005D7A0F" w:rsidRPr="005D7A0F">
        <w:rPr>
          <w:rFonts w:asciiTheme="minorHAnsi" w:hAnsiTheme="minorHAnsi" w:cstheme="minorHAnsi"/>
        </w:rPr>
        <w:t xml:space="preserve">New Zealand Disability Support Network’s </w:t>
      </w:r>
      <w:r w:rsidR="006E00CC" w:rsidRPr="005D7A0F">
        <w:rPr>
          <w:rFonts w:asciiTheme="minorHAnsi" w:hAnsiTheme="minorHAnsi" w:cstheme="minorHAnsi"/>
        </w:rPr>
        <w:t>Safeguarding Symposium</w:t>
      </w:r>
      <w:r w:rsidR="005D7A0F" w:rsidRPr="005D7A0F">
        <w:rPr>
          <w:rFonts w:asciiTheme="minorHAnsi" w:hAnsiTheme="minorHAnsi" w:cstheme="minorHAnsi"/>
        </w:rPr>
        <w:t xml:space="preserve"> in December </w:t>
      </w:r>
      <w:r w:rsidR="001308A0">
        <w:rPr>
          <w:rFonts w:asciiTheme="minorHAnsi" w:hAnsiTheme="minorHAnsi" w:cstheme="minorHAnsi"/>
        </w:rPr>
        <w:t xml:space="preserve">to </w:t>
      </w:r>
      <w:r w:rsidR="005D7A0F" w:rsidRPr="005D7A0F">
        <w:rPr>
          <w:rFonts w:asciiTheme="minorHAnsi" w:hAnsiTheme="minorHAnsi" w:cstheme="minorHAnsi"/>
        </w:rPr>
        <w:t>an audience of approximately 80 people</w:t>
      </w:r>
      <w:r w:rsidR="001308A0">
        <w:rPr>
          <w:rFonts w:asciiTheme="minorHAnsi" w:hAnsiTheme="minorHAnsi" w:cstheme="minorHAnsi"/>
        </w:rPr>
        <w:t xml:space="preserve">; </w:t>
      </w:r>
    </w:p>
    <w:p w14:paraId="6863B608" w14:textId="0F08DB98" w:rsidR="005D7A0F" w:rsidRPr="005D7A0F" w:rsidRDefault="00657694" w:rsidP="00BE67AB">
      <w:pPr>
        <w:pStyle w:val="ListParagraph"/>
        <w:numPr>
          <w:ilvl w:val="0"/>
          <w:numId w:val="28"/>
        </w:numPr>
        <w:ind w:left="284" w:hanging="284"/>
        <w:rPr>
          <w:rFonts w:asciiTheme="minorHAnsi" w:hAnsiTheme="minorHAnsi" w:cstheme="minorHAnsi"/>
        </w:rPr>
      </w:pPr>
      <w:r>
        <w:rPr>
          <w:rFonts w:asciiTheme="minorHAnsi" w:hAnsiTheme="minorHAnsi" w:cstheme="minorHAnsi"/>
        </w:rPr>
        <w:t>p</w:t>
      </w:r>
      <w:r w:rsidR="0045721D">
        <w:rPr>
          <w:rFonts w:asciiTheme="minorHAnsi" w:hAnsiTheme="minorHAnsi" w:cstheme="minorHAnsi"/>
        </w:rPr>
        <w:t>resenting to 60 staff including social workers and youth workers at the Strive Community Trust</w:t>
      </w:r>
      <w:r w:rsidR="00C51A95">
        <w:rPr>
          <w:rFonts w:asciiTheme="minorHAnsi" w:hAnsiTheme="minorHAnsi" w:cstheme="minorHAnsi"/>
        </w:rPr>
        <w:t>, which supports families/whanau in South Auckland through a number of services to gain the skills they need to take charge of their lives;</w:t>
      </w:r>
      <w:r w:rsidR="0045721D">
        <w:rPr>
          <w:rFonts w:asciiTheme="minorHAnsi" w:hAnsiTheme="minorHAnsi" w:cstheme="minorHAnsi"/>
        </w:rPr>
        <w:t xml:space="preserve"> </w:t>
      </w:r>
      <w:r w:rsidR="00224151">
        <w:rPr>
          <w:rFonts w:asciiTheme="minorHAnsi" w:hAnsiTheme="minorHAnsi" w:cstheme="minorHAnsi"/>
        </w:rPr>
        <w:t xml:space="preserve">and former staff of two, </w:t>
      </w:r>
      <w:r w:rsidR="00C51A95">
        <w:rPr>
          <w:rFonts w:asciiTheme="minorHAnsi" w:hAnsiTheme="minorHAnsi" w:cstheme="minorHAnsi"/>
        </w:rPr>
        <w:t xml:space="preserve">now </w:t>
      </w:r>
      <w:r w:rsidR="00224151">
        <w:rPr>
          <w:rFonts w:asciiTheme="minorHAnsi" w:hAnsiTheme="minorHAnsi" w:cstheme="minorHAnsi"/>
        </w:rPr>
        <w:t>closed, Psychiatric institutions;</w:t>
      </w:r>
    </w:p>
    <w:p w14:paraId="598A4243" w14:textId="2C415EB3" w:rsidR="00BE67AB" w:rsidRPr="001308A0" w:rsidRDefault="00657694" w:rsidP="00BE67AB">
      <w:pPr>
        <w:pStyle w:val="ListParagraph"/>
        <w:numPr>
          <w:ilvl w:val="0"/>
          <w:numId w:val="28"/>
        </w:numPr>
        <w:ind w:left="284" w:hanging="284"/>
        <w:rPr>
          <w:rFonts w:asciiTheme="minorHAnsi" w:hAnsiTheme="minorHAnsi" w:cstheme="minorHAnsi"/>
        </w:rPr>
      </w:pPr>
      <w:r>
        <w:rPr>
          <w:rFonts w:asciiTheme="minorHAnsi" w:hAnsiTheme="minorHAnsi" w:cstheme="minorHAnsi"/>
        </w:rPr>
        <w:t>c</w:t>
      </w:r>
      <w:r w:rsidR="00BE67AB" w:rsidRPr="001308A0">
        <w:rPr>
          <w:rFonts w:asciiTheme="minorHAnsi" w:hAnsiTheme="minorHAnsi" w:cstheme="minorHAnsi"/>
        </w:rPr>
        <w:t>onnecti</w:t>
      </w:r>
      <w:r w:rsidR="001308A0" w:rsidRPr="001308A0">
        <w:rPr>
          <w:rFonts w:asciiTheme="minorHAnsi" w:hAnsiTheme="minorHAnsi" w:cstheme="minorHAnsi"/>
        </w:rPr>
        <w:t>ng with the Porirua Community Law Centre, wh</w:t>
      </w:r>
      <w:r w:rsidR="001308A0">
        <w:rPr>
          <w:rFonts w:asciiTheme="minorHAnsi" w:hAnsiTheme="minorHAnsi" w:cstheme="minorHAnsi"/>
        </w:rPr>
        <w:t>ich has offered to display our P</w:t>
      </w:r>
      <w:r w:rsidR="001308A0" w:rsidRPr="001308A0">
        <w:rPr>
          <w:rFonts w:asciiTheme="minorHAnsi" w:hAnsiTheme="minorHAnsi" w:cstheme="minorHAnsi"/>
        </w:rPr>
        <w:t xml:space="preserve">acific collateral on their website that generates approximately </w:t>
      </w:r>
      <w:r w:rsidR="001308A0">
        <w:rPr>
          <w:rFonts w:asciiTheme="minorHAnsi" w:hAnsiTheme="minorHAnsi" w:cstheme="minorHAnsi"/>
        </w:rPr>
        <w:t>600 views per week and information on the Inquiry where appropriate;</w:t>
      </w:r>
    </w:p>
    <w:p w14:paraId="300E2565" w14:textId="3152065C" w:rsidR="00BE67AB" w:rsidRPr="006E00CC" w:rsidRDefault="00BE67AB" w:rsidP="00BE67AB">
      <w:pPr>
        <w:rPr>
          <w:rFonts w:asciiTheme="minorHAnsi" w:hAnsiTheme="minorHAnsi" w:cstheme="minorHAnsi"/>
        </w:rPr>
      </w:pPr>
      <w:r w:rsidRPr="006E00CC">
        <w:rPr>
          <w:rFonts w:asciiTheme="minorHAnsi" w:hAnsiTheme="minorHAnsi" w:cstheme="minorHAnsi"/>
        </w:rPr>
        <w:lastRenderedPageBreak/>
        <w:t>A key</w:t>
      </w:r>
      <w:r w:rsidR="0045721D">
        <w:rPr>
          <w:rFonts w:asciiTheme="minorHAnsi" w:hAnsiTheme="minorHAnsi" w:cstheme="minorHAnsi"/>
        </w:rPr>
        <w:t xml:space="preserve"> focus for community engagement</w:t>
      </w:r>
      <w:r w:rsidRPr="006E00CC">
        <w:rPr>
          <w:rFonts w:asciiTheme="minorHAnsi" w:hAnsiTheme="minorHAnsi" w:cstheme="minorHAnsi"/>
        </w:rPr>
        <w:t xml:space="preserve"> i</w:t>
      </w:r>
      <w:r w:rsidR="00AE3A8D" w:rsidRPr="006E00CC">
        <w:rPr>
          <w:rFonts w:asciiTheme="minorHAnsi" w:hAnsiTheme="minorHAnsi" w:cstheme="minorHAnsi"/>
        </w:rPr>
        <w:t xml:space="preserve">n the next quarter </w:t>
      </w:r>
      <w:r w:rsidR="0045721D">
        <w:rPr>
          <w:rFonts w:asciiTheme="minorHAnsi" w:hAnsiTheme="minorHAnsi" w:cstheme="minorHAnsi"/>
        </w:rPr>
        <w:t xml:space="preserve">will be </w:t>
      </w:r>
      <w:r w:rsidR="00AE3A8D" w:rsidRPr="006E00CC">
        <w:rPr>
          <w:rFonts w:asciiTheme="minorHAnsi" w:hAnsiTheme="minorHAnsi" w:cstheme="minorHAnsi"/>
        </w:rPr>
        <w:t xml:space="preserve">holding the first </w:t>
      </w:r>
      <w:r w:rsidR="006E00CC">
        <w:rPr>
          <w:rFonts w:asciiTheme="minorHAnsi" w:hAnsiTheme="minorHAnsi" w:cstheme="minorHAnsi"/>
        </w:rPr>
        <w:t xml:space="preserve">of a number of engagement sessions </w:t>
      </w:r>
      <w:r w:rsidR="006E00CC" w:rsidRPr="006E00CC">
        <w:rPr>
          <w:rFonts w:asciiTheme="minorHAnsi" w:hAnsiTheme="minorHAnsi" w:cstheme="minorHAnsi"/>
        </w:rPr>
        <w:t>for the learning disability community</w:t>
      </w:r>
      <w:r w:rsidR="006E00CC">
        <w:rPr>
          <w:rFonts w:asciiTheme="minorHAnsi" w:hAnsiTheme="minorHAnsi" w:cstheme="minorHAnsi"/>
        </w:rPr>
        <w:t xml:space="preserve">;  </w:t>
      </w:r>
      <w:r w:rsidR="006E00CC" w:rsidRPr="006E00CC">
        <w:rPr>
          <w:rFonts w:asciiTheme="minorHAnsi" w:hAnsiTheme="minorHAnsi" w:cstheme="minorHAnsi"/>
        </w:rPr>
        <w:t>launching the “raising awareness pf the Inquiry” programme with a number of large national organisations such as Grey Power, Aged Concern, Family Pl</w:t>
      </w:r>
      <w:r w:rsidR="00A85AB9">
        <w:rPr>
          <w:rFonts w:asciiTheme="minorHAnsi" w:hAnsiTheme="minorHAnsi" w:cstheme="minorHAnsi"/>
        </w:rPr>
        <w:t>anning</w:t>
      </w:r>
      <w:r w:rsidR="006E00CC" w:rsidRPr="006E00CC">
        <w:rPr>
          <w:rFonts w:asciiTheme="minorHAnsi" w:hAnsiTheme="minorHAnsi" w:cstheme="minorHAnsi"/>
        </w:rPr>
        <w:t>, Youth Horizons and Reconnect Services</w:t>
      </w:r>
      <w:r w:rsidR="006E00CC">
        <w:rPr>
          <w:rFonts w:asciiTheme="minorHAnsi" w:hAnsiTheme="minorHAnsi" w:cstheme="minorHAnsi"/>
        </w:rPr>
        <w:t xml:space="preserve"> and </w:t>
      </w:r>
      <w:r w:rsidR="0045721D">
        <w:rPr>
          <w:rFonts w:asciiTheme="minorHAnsi" w:hAnsiTheme="minorHAnsi" w:cstheme="minorHAnsi"/>
        </w:rPr>
        <w:t xml:space="preserve">providing a presence at </w:t>
      </w:r>
      <w:r w:rsidR="006E00CC">
        <w:rPr>
          <w:rFonts w:asciiTheme="minorHAnsi" w:hAnsiTheme="minorHAnsi" w:cstheme="minorHAnsi"/>
        </w:rPr>
        <w:t xml:space="preserve">community </w:t>
      </w:r>
      <w:r w:rsidR="0049194C">
        <w:rPr>
          <w:rFonts w:asciiTheme="minorHAnsi" w:hAnsiTheme="minorHAnsi" w:cstheme="minorHAnsi"/>
        </w:rPr>
        <w:t>events such as the Big Gay Out f</w:t>
      </w:r>
      <w:r w:rsidR="006E00CC">
        <w:rPr>
          <w:rFonts w:asciiTheme="minorHAnsi" w:hAnsiTheme="minorHAnsi" w:cstheme="minorHAnsi"/>
        </w:rPr>
        <w:t xml:space="preserve">estival </w:t>
      </w:r>
      <w:r w:rsidR="0045721D">
        <w:rPr>
          <w:rFonts w:asciiTheme="minorHAnsi" w:hAnsiTheme="minorHAnsi" w:cstheme="minorHAnsi"/>
        </w:rPr>
        <w:t>in February and the Newto</w:t>
      </w:r>
      <w:r w:rsidR="0049194C">
        <w:rPr>
          <w:rFonts w:asciiTheme="minorHAnsi" w:hAnsiTheme="minorHAnsi" w:cstheme="minorHAnsi"/>
        </w:rPr>
        <w:t>w</w:t>
      </w:r>
      <w:r w:rsidR="0045721D">
        <w:rPr>
          <w:rFonts w:asciiTheme="minorHAnsi" w:hAnsiTheme="minorHAnsi" w:cstheme="minorHAnsi"/>
        </w:rPr>
        <w:t xml:space="preserve">n festival in March. </w:t>
      </w:r>
      <w:r w:rsidR="006E00CC" w:rsidRPr="006E00CC">
        <w:rPr>
          <w:rFonts w:asciiTheme="minorHAnsi" w:hAnsiTheme="minorHAnsi" w:cstheme="minorHAnsi"/>
        </w:rPr>
        <w:t xml:space="preserve">  </w:t>
      </w:r>
    </w:p>
    <w:p w14:paraId="7C7B9C14" w14:textId="281C3BD0" w:rsidR="00A85AB9" w:rsidRPr="00A85AB9" w:rsidRDefault="0049194C" w:rsidP="00BE67AB">
      <w:pPr>
        <w:rPr>
          <w:rFonts w:asciiTheme="minorHAnsi" w:hAnsiTheme="minorHAnsi" w:cstheme="minorHAnsi"/>
        </w:rPr>
      </w:pPr>
      <w:r w:rsidRPr="00A85AB9">
        <w:rPr>
          <w:rFonts w:asciiTheme="minorHAnsi" w:hAnsiTheme="minorHAnsi" w:cstheme="minorHAnsi"/>
        </w:rPr>
        <w:t>The Treaty Engagement team</w:t>
      </w:r>
      <w:r w:rsidR="00A85AB9">
        <w:rPr>
          <w:rFonts w:asciiTheme="minorHAnsi" w:hAnsiTheme="minorHAnsi" w:cstheme="minorHAnsi"/>
        </w:rPr>
        <w:t>,</w:t>
      </w:r>
      <w:r w:rsidRPr="00A85AB9">
        <w:rPr>
          <w:rFonts w:asciiTheme="minorHAnsi" w:hAnsiTheme="minorHAnsi" w:cstheme="minorHAnsi"/>
        </w:rPr>
        <w:t xml:space="preserve"> in addition to supporting </w:t>
      </w:r>
      <w:r w:rsidR="00BE67AB" w:rsidRPr="00A85AB9">
        <w:rPr>
          <w:rFonts w:asciiTheme="minorHAnsi" w:hAnsiTheme="minorHAnsi" w:cstheme="minorHAnsi"/>
        </w:rPr>
        <w:t>the Survivor Advisory Group (SAGE) and Te Taumata, the Commission’s Māori Leadership Group</w:t>
      </w:r>
      <w:r w:rsidR="00A85AB9">
        <w:rPr>
          <w:rFonts w:asciiTheme="minorHAnsi" w:hAnsiTheme="minorHAnsi" w:cstheme="minorHAnsi"/>
        </w:rPr>
        <w:t>,</w:t>
      </w:r>
      <w:r w:rsidR="00A85AB9" w:rsidRPr="00A85AB9">
        <w:rPr>
          <w:rFonts w:asciiTheme="minorHAnsi" w:hAnsiTheme="minorHAnsi" w:cstheme="minorHAnsi"/>
        </w:rPr>
        <w:t xml:space="preserve"> </w:t>
      </w:r>
      <w:r w:rsidR="006B09CA">
        <w:rPr>
          <w:rFonts w:asciiTheme="minorHAnsi" w:hAnsiTheme="minorHAnsi" w:cstheme="minorHAnsi"/>
        </w:rPr>
        <w:t xml:space="preserve">and providing expertise internally to support work across the Commission, </w:t>
      </w:r>
      <w:r w:rsidR="00A85AB9" w:rsidRPr="00A85AB9">
        <w:rPr>
          <w:rFonts w:asciiTheme="minorHAnsi" w:hAnsiTheme="minorHAnsi" w:cstheme="minorHAnsi"/>
        </w:rPr>
        <w:t xml:space="preserve">has continued to engage </w:t>
      </w:r>
      <w:r w:rsidR="006B09CA">
        <w:rPr>
          <w:rFonts w:asciiTheme="minorHAnsi" w:hAnsiTheme="minorHAnsi" w:cstheme="minorHAnsi"/>
        </w:rPr>
        <w:t xml:space="preserve">externally </w:t>
      </w:r>
      <w:r w:rsidR="00A85AB9" w:rsidRPr="00A85AB9">
        <w:rPr>
          <w:rFonts w:asciiTheme="minorHAnsi" w:hAnsiTheme="minorHAnsi" w:cstheme="minorHAnsi"/>
        </w:rPr>
        <w:t xml:space="preserve">with </w:t>
      </w:r>
      <w:r w:rsidR="00BE67AB" w:rsidRPr="00A85AB9">
        <w:rPr>
          <w:rFonts w:asciiTheme="minorHAnsi" w:hAnsiTheme="minorHAnsi" w:cstheme="minorHAnsi"/>
        </w:rPr>
        <w:t>iwi and Māori entities</w:t>
      </w:r>
      <w:r w:rsidR="00A85AB9" w:rsidRPr="00A85AB9">
        <w:rPr>
          <w:rFonts w:asciiTheme="minorHAnsi" w:hAnsiTheme="minorHAnsi" w:cstheme="minorHAnsi"/>
        </w:rPr>
        <w:t xml:space="preserve"> </w:t>
      </w:r>
      <w:r w:rsidR="002A7723">
        <w:rPr>
          <w:rFonts w:asciiTheme="minorHAnsi" w:hAnsiTheme="minorHAnsi" w:cstheme="minorHAnsi"/>
        </w:rPr>
        <w:t xml:space="preserve">as well as survivors </w:t>
      </w:r>
      <w:r w:rsidR="0066313E" w:rsidRPr="00A85AB9">
        <w:rPr>
          <w:rFonts w:asciiTheme="minorHAnsi" w:hAnsiTheme="minorHAnsi" w:cstheme="minorHAnsi"/>
        </w:rPr>
        <w:t xml:space="preserve">during the quarter including: </w:t>
      </w:r>
    </w:p>
    <w:p w14:paraId="12AC6461" w14:textId="39F5EE5A" w:rsidR="002A7723" w:rsidRDefault="00A85AB9" w:rsidP="008D3027">
      <w:pPr>
        <w:pStyle w:val="ListParagraph"/>
        <w:numPr>
          <w:ilvl w:val="0"/>
          <w:numId w:val="32"/>
        </w:numPr>
        <w:ind w:left="284" w:hanging="284"/>
        <w:rPr>
          <w:rFonts w:asciiTheme="minorHAnsi" w:hAnsiTheme="minorHAnsi" w:cstheme="minorHAnsi"/>
        </w:rPr>
      </w:pPr>
      <w:r w:rsidRPr="003F5DCC">
        <w:rPr>
          <w:rFonts w:asciiTheme="minorHAnsi" w:hAnsiTheme="minorHAnsi" w:cstheme="minorHAnsi"/>
        </w:rPr>
        <w:t xml:space="preserve">attending the pōwhiri for the opening of </w:t>
      </w:r>
      <w:r w:rsidR="00C51A95" w:rsidRPr="003F5DCC">
        <w:rPr>
          <w:rFonts w:asciiTheme="minorHAnsi" w:hAnsiTheme="minorHAnsi" w:cstheme="minorHAnsi"/>
        </w:rPr>
        <w:t xml:space="preserve">the offices of </w:t>
      </w:r>
      <w:r w:rsidRPr="003F5DCC">
        <w:rPr>
          <w:rFonts w:asciiTheme="minorHAnsi" w:hAnsiTheme="minorHAnsi" w:cstheme="minorHAnsi"/>
        </w:rPr>
        <w:t>Te Rau</w:t>
      </w:r>
      <w:r w:rsidR="002A7723" w:rsidRPr="003F5DCC">
        <w:rPr>
          <w:rFonts w:asciiTheme="minorHAnsi" w:hAnsiTheme="minorHAnsi" w:cstheme="minorHAnsi"/>
        </w:rPr>
        <w:t xml:space="preserve"> </w:t>
      </w:r>
      <w:r w:rsidRPr="003F5DCC">
        <w:rPr>
          <w:rFonts w:asciiTheme="minorHAnsi" w:hAnsiTheme="minorHAnsi" w:cstheme="minorHAnsi"/>
        </w:rPr>
        <w:t xml:space="preserve">Ora Ōtepoti in Dunedin </w:t>
      </w:r>
      <w:r w:rsidR="002A7723" w:rsidRPr="003F5DCC">
        <w:rPr>
          <w:rFonts w:asciiTheme="minorHAnsi" w:hAnsiTheme="minorHAnsi" w:cstheme="minorHAnsi"/>
        </w:rPr>
        <w:t xml:space="preserve">provided an opportunity to hear </w:t>
      </w:r>
      <w:r w:rsidR="00C51A95" w:rsidRPr="003F5DCC">
        <w:rPr>
          <w:rFonts w:asciiTheme="minorHAnsi" w:hAnsiTheme="minorHAnsi" w:cstheme="minorHAnsi"/>
        </w:rPr>
        <w:t xml:space="preserve">from the workforce, </w:t>
      </w:r>
      <w:r w:rsidR="00D96D45">
        <w:rPr>
          <w:rFonts w:asciiTheme="minorHAnsi" w:hAnsiTheme="minorHAnsi" w:cstheme="minorHAnsi"/>
        </w:rPr>
        <w:t xml:space="preserve">including the </w:t>
      </w:r>
      <w:r w:rsidR="00C51A95" w:rsidRPr="003F5DCC">
        <w:rPr>
          <w:rFonts w:asciiTheme="minorHAnsi" w:hAnsiTheme="minorHAnsi" w:cstheme="minorHAnsi"/>
        </w:rPr>
        <w:t>i</w:t>
      </w:r>
      <w:r w:rsidRPr="003F5DCC">
        <w:rPr>
          <w:rFonts w:asciiTheme="minorHAnsi" w:hAnsiTheme="minorHAnsi" w:cstheme="minorHAnsi"/>
        </w:rPr>
        <w:t xml:space="preserve">ssues that Māori continue to experience in accessing support and </w:t>
      </w:r>
      <w:r w:rsidR="002A7723" w:rsidRPr="003F5DCC">
        <w:rPr>
          <w:rFonts w:asciiTheme="minorHAnsi" w:hAnsiTheme="minorHAnsi" w:cstheme="minorHAnsi"/>
        </w:rPr>
        <w:t xml:space="preserve">for Commission staff to </w:t>
      </w:r>
      <w:r w:rsidRPr="003F5DCC">
        <w:rPr>
          <w:rFonts w:asciiTheme="minorHAnsi" w:hAnsiTheme="minorHAnsi" w:cstheme="minorHAnsi"/>
        </w:rPr>
        <w:t>speak ab</w:t>
      </w:r>
      <w:r w:rsidR="002A7723" w:rsidRPr="003F5DCC">
        <w:rPr>
          <w:rFonts w:asciiTheme="minorHAnsi" w:hAnsiTheme="minorHAnsi" w:cstheme="minorHAnsi"/>
        </w:rPr>
        <w:t>o</w:t>
      </w:r>
      <w:r w:rsidRPr="003F5DCC">
        <w:rPr>
          <w:rFonts w:asciiTheme="minorHAnsi" w:hAnsiTheme="minorHAnsi" w:cstheme="minorHAnsi"/>
        </w:rPr>
        <w:t xml:space="preserve">ut the role of the </w:t>
      </w:r>
      <w:r w:rsidR="002A7723" w:rsidRPr="003F5DCC">
        <w:rPr>
          <w:rFonts w:asciiTheme="minorHAnsi" w:hAnsiTheme="minorHAnsi" w:cstheme="minorHAnsi"/>
        </w:rPr>
        <w:t xml:space="preserve">Inquiry and </w:t>
      </w:r>
      <w:r w:rsidRPr="003F5DCC">
        <w:rPr>
          <w:rFonts w:asciiTheme="minorHAnsi" w:hAnsiTheme="minorHAnsi" w:cstheme="minorHAnsi"/>
        </w:rPr>
        <w:t>our efforts to acce</w:t>
      </w:r>
      <w:r w:rsidR="002A7723" w:rsidRPr="003F5DCC">
        <w:rPr>
          <w:rFonts w:asciiTheme="minorHAnsi" w:hAnsiTheme="minorHAnsi" w:cstheme="minorHAnsi"/>
        </w:rPr>
        <w:t>ss services for survivors who engage with the Commission</w:t>
      </w:r>
      <w:r w:rsidR="00C51A95" w:rsidRPr="003F5DCC">
        <w:rPr>
          <w:rFonts w:asciiTheme="minorHAnsi" w:hAnsiTheme="minorHAnsi" w:cstheme="minorHAnsi"/>
        </w:rPr>
        <w:t>. Te Rau Ora aims to improve the Māori Health through leadership education, research and evaluations, health workforce development and innovation and systemic transformation.</w:t>
      </w:r>
      <w:r w:rsidR="002A7723" w:rsidRPr="003F5DCC">
        <w:rPr>
          <w:rFonts w:asciiTheme="minorHAnsi" w:hAnsiTheme="minorHAnsi" w:cstheme="minorHAnsi"/>
        </w:rPr>
        <w:t xml:space="preserve"> </w:t>
      </w:r>
    </w:p>
    <w:p w14:paraId="2A0020F7" w14:textId="7A89B3B0" w:rsidR="00A85AB9" w:rsidRPr="006B09CA" w:rsidRDefault="00657694" w:rsidP="008D3027">
      <w:pPr>
        <w:pStyle w:val="ListParagraph"/>
        <w:numPr>
          <w:ilvl w:val="0"/>
          <w:numId w:val="32"/>
        </w:numPr>
        <w:ind w:left="284" w:hanging="284"/>
        <w:rPr>
          <w:rFonts w:asciiTheme="minorHAnsi" w:hAnsiTheme="minorHAnsi" w:cstheme="minorHAnsi"/>
        </w:rPr>
      </w:pPr>
      <w:r>
        <w:rPr>
          <w:rFonts w:asciiTheme="minorHAnsi" w:hAnsiTheme="minorHAnsi" w:cstheme="minorHAnsi"/>
        </w:rPr>
        <w:t>m</w:t>
      </w:r>
      <w:r w:rsidR="003F5DCC" w:rsidRPr="006B09CA">
        <w:rPr>
          <w:rFonts w:asciiTheme="minorHAnsi" w:hAnsiTheme="minorHAnsi" w:cstheme="minorHAnsi"/>
        </w:rPr>
        <w:t xml:space="preserve">eeting with the Chair and Chief Executive of Te Pūtahitanga o Te Waipounamu Whānau Ora to discuss opportunities to utilise their communications to ensure greater </w:t>
      </w:r>
      <w:r w:rsidR="001F3BCA">
        <w:rPr>
          <w:rFonts w:asciiTheme="minorHAnsi" w:hAnsiTheme="minorHAnsi" w:cstheme="minorHAnsi"/>
        </w:rPr>
        <w:t>c</w:t>
      </w:r>
      <w:r w:rsidR="003F5DCC" w:rsidRPr="006B09CA">
        <w:rPr>
          <w:rFonts w:asciiTheme="minorHAnsi" w:hAnsiTheme="minorHAnsi" w:cstheme="minorHAnsi"/>
        </w:rPr>
        <w:t xml:space="preserve">overage of the Commission’s collateral </w:t>
      </w:r>
      <w:r w:rsidR="006B09CA">
        <w:rPr>
          <w:rFonts w:asciiTheme="minorHAnsi" w:hAnsiTheme="minorHAnsi" w:cstheme="minorHAnsi"/>
        </w:rPr>
        <w:t>across the South I</w:t>
      </w:r>
      <w:r w:rsidR="003F5DCC" w:rsidRPr="006B09CA">
        <w:rPr>
          <w:rFonts w:asciiTheme="minorHAnsi" w:hAnsiTheme="minorHAnsi" w:cstheme="minorHAnsi"/>
        </w:rPr>
        <w:t xml:space="preserve">sland; </w:t>
      </w:r>
    </w:p>
    <w:p w14:paraId="1D4EF39A" w14:textId="34FB3D7E" w:rsidR="00D10946" w:rsidRDefault="00D10946" w:rsidP="008D3027">
      <w:pPr>
        <w:pStyle w:val="ListParagraph"/>
        <w:numPr>
          <w:ilvl w:val="0"/>
          <w:numId w:val="32"/>
        </w:numPr>
        <w:ind w:left="284" w:hanging="284"/>
        <w:rPr>
          <w:rFonts w:asciiTheme="minorHAnsi" w:hAnsiTheme="minorHAnsi" w:cstheme="minorHAnsi"/>
        </w:rPr>
      </w:pPr>
      <w:r>
        <w:rPr>
          <w:rFonts w:asciiTheme="minorHAnsi" w:hAnsiTheme="minorHAnsi" w:cstheme="minorHAnsi"/>
        </w:rPr>
        <w:t>meeting with the Chair and Chief Executive Te Rūnanga o Ngāi Tahu who have indic</w:t>
      </w:r>
      <w:r w:rsidR="004E178D">
        <w:rPr>
          <w:rFonts w:asciiTheme="minorHAnsi" w:hAnsiTheme="minorHAnsi" w:cstheme="minorHAnsi"/>
        </w:rPr>
        <w:t xml:space="preserve">ated </w:t>
      </w:r>
      <w:r>
        <w:rPr>
          <w:rFonts w:asciiTheme="minorHAnsi" w:hAnsiTheme="minorHAnsi" w:cstheme="minorHAnsi"/>
        </w:rPr>
        <w:t xml:space="preserve">a willingness to host </w:t>
      </w:r>
      <w:r w:rsidR="004E178D">
        <w:rPr>
          <w:rFonts w:asciiTheme="minorHAnsi" w:hAnsiTheme="minorHAnsi" w:cstheme="minorHAnsi"/>
        </w:rPr>
        <w:t>Commission activities in their rohe (territory)</w:t>
      </w:r>
      <w:r w:rsidR="00076CAF">
        <w:rPr>
          <w:rFonts w:asciiTheme="minorHAnsi" w:hAnsiTheme="minorHAnsi" w:cstheme="minorHAnsi"/>
        </w:rPr>
        <w:t>;</w:t>
      </w:r>
      <w:r w:rsidR="004E178D">
        <w:rPr>
          <w:rFonts w:asciiTheme="minorHAnsi" w:hAnsiTheme="minorHAnsi" w:cstheme="minorHAnsi"/>
        </w:rPr>
        <w:t xml:space="preserve"> </w:t>
      </w:r>
    </w:p>
    <w:p w14:paraId="405A10ED" w14:textId="78E42173" w:rsidR="003F5DCC" w:rsidRDefault="00657694" w:rsidP="008D3027">
      <w:pPr>
        <w:pStyle w:val="ListParagraph"/>
        <w:numPr>
          <w:ilvl w:val="0"/>
          <w:numId w:val="32"/>
        </w:numPr>
        <w:ind w:left="284" w:hanging="284"/>
        <w:rPr>
          <w:rFonts w:asciiTheme="minorHAnsi" w:hAnsiTheme="minorHAnsi" w:cstheme="minorHAnsi"/>
        </w:rPr>
      </w:pPr>
      <w:r>
        <w:rPr>
          <w:rFonts w:asciiTheme="minorHAnsi" w:hAnsiTheme="minorHAnsi" w:cstheme="minorHAnsi"/>
        </w:rPr>
        <w:t xml:space="preserve">attending Minister Henare’s Forum on the proposal for a Māori Health Authority at Parliament. </w:t>
      </w:r>
    </w:p>
    <w:p w14:paraId="5A5083A8" w14:textId="58B540AB" w:rsidR="00657694" w:rsidRPr="00657694" w:rsidRDefault="004E178D" w:rsidP="00657694">
      <w:pPr>
        <w:rPr>
          <w:rFonts w:asciiTheme="minorHAnsi" w:hAnsiTheme="minorHAnsi" w:cstheme="minorHAnsi"/>
        </w:rPr>
      </w:pPr>
      <w:r>
        <w:rPr>
          <w:rFonts w:asciiTheme="minorHAnsi" w:hAnsiTheme="minorHAnsi" w:cstheme="minorHAnsi"/>
        </w:rPr>
        <w:t>Ac</w:t>
      </w:r>
      <w:r w:rsidR="00D10946">
        <w:rPr>
          <w:rFonts w:asciiTheme="minorHAnsi" w:hAnsiTheme="minorHAnsi" w:cstheme="minorHAnsi"/>
        </w:rPr>
        <w:t xml:space="preserve">tivities planned </w:t>
      </w:r>
      <w:r>
        <w:rPr>
          <w:rFonts w:asciiTheme="minorHAnsi" w:hAnsiTheme="minorHAnsi" w:cstheme="minorHAnsi"/>
        </w:rPr>
        <w:t xml:space="preserve">for the </w:t>
      </w:r>
      <w:r w:rsidR="00D10946">
        <w:rPr>
          <w:rFonts w:asciiTheme="minorHAnsi" w:hAnsiTheme="minorHAnsi" w:cstheme="minorHAnsi"/>
        </w:rPr>
        <w:t>next quarter include attending the Kingitanga Poukai hui</w:t>
      </w:r>
      <w:r>
        <w:rPr>
          <w:rFonts w:asciiTheme="minorHAnsi" w:hAnsiTheme="minorHAnsi" w:cstheme="minorHAnsi"/>
        </w:rPr>
        <w:t xml:space="preserve"> in March </w:t>
      </w:r>
      <w:r w:rsidR="00D10946">
        <w:rPr>
          <w:rFonts w:asciiTheme="minorHAnsi" w:hAnsiTheme="minorHAnsi" w:cstheme="minorHAnsi"/>
        </w:rPr>
        <w:t>to promote the work of the work of the Commission</w:t>
      </w:r>
      <w:r>
        <w:rPr>
          <w:rFonts w:asciiTheme="minorHAnsi" w:hAnsiTheme="minorHAnsi" w:cstheme="minorHAnsi"/>
        </w:rPr>
        <w:t xml:space="preserve"> and </w:t>
      </w:r>
      <w:r w:rsidR="00D10946">
        <w:rPr>
          <w:rFonts w:asciiTheme="minorHAnsi" w:hAnsiTheme="minorHAnsi" w:cstheme="minorHAnsi"/>
        </w:rPr>
        <w:t xml:space="preserve">visiting the </w:t>
      </w:r>
      <w:r w:rsidRPr="004E178D">
        <w:rPr>
          <w:rFonts w:asciiTheme="minorHAnsi" w:hAnsiTheme="minorHAnsi" w:cstheme="minorHAnsi"/>
        </w:rPr>
        <w:t>Muaūpoko</w:t>
      </w:r>
      <w:r w:rsidR="00D10946">
        <w:rPr>
          <w:rFonts w:asciiTheme="minorHAnsi" w:hAnsiTheme="minorHAnsi" w:cstheme="minorHAnsi"/>
        </w:rPr>
        <w:t xml:space="preserve"> Tribal Authority in Levin to follow</w:t>
      </w:r>
      <w:r>
        <w:rPr>
          <w:rFonts w:asciiTheme="minorHAnsi" w:hAnsiTheme="minorHAnsi" w:cstheme="minorHAnsi"/>
        </w:rPr>
        <w:t xml:space="preserve"> up their interest and involveme</w:t>
      </w:r>
      <w:r w:rsidR="00D10946">
        <w:rPr>
          <w:rFonts w:asciiTheme="minorHAnsi" w:hAnsiTheme="minorHAnsi" w:cstheme="minorHAnsi"/>
        </w:rPr>
        <w:t>nt in investigations</w:t>
      </w:r>
      <w:r>
        <w:rPr>
          <w:rFonts w:asciiTheme="minorHAnsi" w:hAnsiTheme="minorHAnsi" w:cstheme="minorHAnsi"/>
        </w:rPr>
        <w:t xml:space="preserve">. </w:t>
      </w:r>
    </w:p>
    <w:p w14:paraId="6BEEB76E" w14:textId="6D51E527" w:rsidR="00A15307" w:rsidRDefault="00BE67AB" w:rsidP="00076CAF">
      <w:pPr>
        <w:rPr>
          <w:rFonts w:asciiTheme="minorHAnsi" w:hAnsiTheme="minorHAnsi" w:cstheme="minorHAnsi"/>
        </w:rPr>
      </w:pPr>
      <w:r w:rsidRPr="004E178D">
        <w:rPr>
          <w:rFonts w:asciiTheme="minorHAnsi" w:hAnsiTheme="minorHAnsi" w:cstheme="minorHAnsi"/>
          <w:u w:val="single"/>
        </w:rPr>
        <w:t>Communications</w:t>
      </w:r>
    </w:p>
    <w:p w14:paraId="3CAEEB66" w14:textId="3FFFED46" w:rsidR="00BE67AB" w:rsidRPr="00A15307" w:rsidRDefault="00A15307" w:rsidP="00076CAF">
      <w:pPr>
        <w:rPr>
          <w:rFonts w:asciiTheme="minorHAnsi" w:hAnsiTheme="minorHAnsi" w:cstheme="minorHAnsi"/>
          <w:highlight w:val="yellow"/>
        </w:rPr>
      </w:pPr>
      <w:r>
        <w:rPr>
          <w:rFonts w:asciiTheme="minorHAnsi" w:hAnsiTheme="minorHAnsi" w:cstheme="minorHAnsi"/>
        </w:rPr>
        <w:t>T</w:t>
      </w:r>
      <w:r w:rsidR="00BE67AB" w:rsidRPr="00076CAF">
        <w:rPr>
          <w:rFonts w:asciiTheme="minorHAnsi" w:hAnsiTheme="minorHAnsi" w:cstheme="minorHAnsi"/>
        </w:rPr>
        <w:t xml:space="preserve">he Commission was mentioned </w:t>
      </w:r>
      <w:r w:rsidR="004E178D" w:rsidRPr="00076CAF">
        <w:rPr>
          <w:rFonts w:asciiTheme="minorHAnsi" w:hAnsiTheme="minorHAnsi" w:cstheme="minorHAnsi"/>
        </w:rPr>
        <w:t>522</w:t>
      </w:r>
      <w:r w:rsidR="00A07959" w:rsidRPr="00076CAF">
        <w:rPr>
          <w:rFonts w:asciiTheme="minorHAnsi" w:hAnsiTheme="minorHAnsi" w:cstheme="minorHAnsi"/>
        </w:rPr>
        <w:t xml:space="preserve"> </w:t>
      </w:r>
      <w:r w:rsidR="00BE67AB" w:rsidRPr="00076CAF">
        <w:rPr>
          <w:rFonts w:asciiTheme="minorHAnsi" w:hAnsiTheme="minorHAnsi" w:cstheme="minorHAnsi"/>
        </w:rPr>
        <w:t xml:space="preserve">times in the media between </w:t>
      </w:r>
      <w:r w:rsidR="004E178D" w:rsidRPr="00076CAF">
        <w:rPr>
          <w:rFonts w:asciiTheme="minorHAnsi" w:hAnsiTheme="minorHAnsi" w:cstheme="minorHAnsi"/>
        </w:rPr>
        <w:t>1 October and 31 December 2020, an increase</w:t>
      </w:r>
      <w:r w:rsidR="00A07959" w:rsidRPr="00076CAF">
        <w:rPr>
          <w:rFonts w:asciiTheme="minorHAnsi" w:hAnsiTheme="minorHAnsi" w:cstheme="minorHAnsi"/>
        </w:rPr>
        <w:t xml:space="preserve"> of 165% </w:t>
      </w:r>
      <w:r w:rsidR="00BE67AB" w:rsidRPr="00076CAF">
        <w:rPr>
          <w:rFonts w:asciiTheme="minorHAnsi" w:hAnsiTheme="minorHAnsi" w:cstheme="minorHAnsi"/>
        </w:rPr>
        <w:t xml:space="preserve">on the previous quarter.  This coverage </w:t>
      </w:r>
      <w:r w:rsidR="00076CAF" w:rsidRPr="00076CAF">
        <w:rPr>
          <w:rFonts w:asciiTheme="minorHAnsi" w:hAnsiTheme="minorHAnsi" w:cstheme="minorHAnsi"/>
        </w:rPr>
        <w:t xml:space="preserve">which was secured across mainstreams media and targeted Māori and pacific media outlets </w:t>
      </w:r>
      <w:r w:rsidR="00BE67AB" w:rsidRPr="00076CAF">
        <w:rPr>
          <w:rFonts w:asciiTheme="minorHAnsi" w:hAnsiTheme="minorHAnsi" w:cstheme="minorHAnsi"/>
        </w:rPr>
        <w:t xml:space="preserve">reached a cumulative potential audience of </w:t>
      </w:r>
      <w:r w:rsidR="00A07959" w:rsidRPr="00076CAF">
        <w:rPr>
          <w:rFonts w:asciiTheme="minorHAnsi" w:hAnsiTheme="minorHAnsi" w:cstheme="minorHAnsi"/>
        </w:rPr>
        <w:t>1</w:t>
      </w:r>
      <w:r w:rsidR="00BE67AB" w:rsidRPr="00076CAF">
        <w:rPr>
          <w:rFonts w:asciiTheme="minorHAnsi" w:hAnsiTheme="minorHAnsi" w:cstheme="minorHAnsi"/>
        </w:rPr>
        <w:t>6.</w:t>
      </w:r>
      <w:r w:rsidR="00A07959" w:rsidRPr="00076CAF">
        <w:rPr>
          <w:rFonts w:asciiTheme="minorHAnsi" w:hAnsiTheme="minorHAnsi" w:cstheme="minorHAnsi"/>
        </w:rPr>
        <w:t>3</w:t>
      </w:r>
      <w:r w:rsidR="00BE67AB" w:rsidRPr="00076CAF">
        <w:rPr>
          <w:rFonts w:asciiTheme="minorHAnsi" w:hAnsiTheme="minorHAnsi" w:cstheme="minorHAnsi"/>
        </w:rPr>
        <w:t xml:space="preserve"> million (and if paid for in advertising would have cost $</w:t>
      </w:r>
      <w:r w:rsidR="00A07959" w:rsidRPr="00076CAF">
        <w:rPr>
          <w:rFonts w:asciiTheme="minorHAnsi" w:hAnsiTheme="minorHAnsi" w:cstheme="minorHAnsi"/>
        </w:rPr>
        <w:t>4.4 million</w:t>
      </w:r>
      <w:r w:rsidR="00076CAF" w:rsidRPr="00076CAF">
        <w:rPr>
          <w:rFonts w:asciiTheme="minorHAnsi" w:hAnsiTheme="minorHAnsi" w:cstheme="minorHAnsi"/>
        </w:rPr>
        <w:t xml:space="preserve">). </w:t>
      </w:r>
    </w:p>
    <w:p w14:paraId="1D897515" w14:textId="6241810F" w:rsidR="00BE67AB" w:rsidRDefault="00AB6C62" w:rsidP="00076CAF">
      <w:pPr>
        <w:spacing w:after="120"/>
        <w:rPr>
          <w:rFonts w:asciiTheme="minorHAnsi" w:hAnsiTheme="minorHAnsi" w:cstheme="minorHAnsi"/>
        </w:rPr>
      </w:pPr>
      <w:r w:rsidRPr="00076CAF">
        <w:rPr>
          <w:rFonts w:asciiTheme="minorHAnsi" w:hAnsiTheme="minorHAnsi" w:cstheme="minorHAnsi"/>
        </w:rPr>
        <w:t>The majority of coverage was in re</w:t>
      </w:r>
      <w:r w:rsidR="00921E63" w:rsidRPr="00076CAF">
        <w:rPr>
          <w:rFonts w:asciiTheme="minorHAnsi" w:hAnsiTheme="minorHAnsi" w:cstheme="minorHAnsi"/>
        </w:rPr>
        <w:t xml:space="preserve">lation to the </w:t>
      </w:r>
      <w:r w:rsidRPr="00076CAF">
        <w:rPr>
          <w:rFonts w:asciiTheme="minorHAnsi" w:hAnsiTheme="minorHAnsi" w:cstheme="minorHAnsi"/>
        </w:rPr>
        <w:t xml:space="preserve">Faith-based </w:t>
      </w:r>
      <w:r w:rsidR="007D41EC">
        <w:rPr>
          <w:rFonts w:asciiTheme="minorHAnsi" w:hAnsiTheme="minorHAnsi" w:cstheme="minorHAnsi"/>
        </w:rPr>
        <w:t>Redress h</w:t>
      </w:r>
      <w:r w:rsidR="00BE67AB" w:rsidRPr="00076CAF">
        <w:rPr>
          <w:rFonts w:asciiTheme="minorHAnsi" w:hAnsiTheme="minorHAnsi" w:cstheme="minorHAnsi"/>
        </w:rPr>
        <w:t>earing</w:t>
      </w:r>
      <w:r w:rsidRPr="00076CAF">
        <w:rPr>
          <w:rFonts w:asciiTheme="minorHAnsi" w:hAnsiTheme="minorHAnsi" w:cstheme="minorHAnsi"/>
        </w:rPr>
        <w:t xml:space="preserve"> (170 mentions</w:t>
      </w:r>
      <w:r w:rsidR="00921E63" w:rsidRPr="00076CAF">
        <w:rPr>
          <w:rFonts w:asciiTheme="minorHAnsi" w:hAnsiTheme="minorHAnsi" w:cstheme="minorHAnsi"/>
        </w:rPr>
        <w:t xml:space="preserve"> in the media</w:t>
      </w:r>
      <w:r w:rsidRPr="00076CAF">
        <w:rPr>
          <w:rFonts w:asciiTheme="minorHAnsi" w:hAnsiTheme="minorHAnsi" w:cstheme="minorHAnsi"/>
        </w:rPr>
        <w:t xml:space="preserve">) and the launch of the Interim Report and </w:t>
      </w:r>
      <w:r w:rsidR="00921E63" w:rsidRPr="00076CAF">
        <w:rPr>
          <w:rFonts w:asciiTheme="minorHAnsi" w:hAnsiTheme="minorHAnsi" w:cstheme="minorHAnsi"/>
        </w:rPr>
        <w:t>associated research reports (276 mentions</w:t>
      </w:r>
      <w:r w:rsidR="00076CAF" w:rsidRPr="00076CAF">
        <w:rPr>
          <w:rFonts w:asciiTheme="minorHAnsi" w:hAnsiTheme="minorHAnsi" w:cstheme="minorHAnsi"/>
        </w:rPr>
        <w:t xml:space="preserve">). </w:t>
      </w:r>
      <w:r w:rsidR="00BE67AB" w:rsidRPr="00076CAF">
        <w:rPr>
          <w:rFonts w:asciiTheme="minorHAnsi" w:hAnsiTheme="minorHAnsi" w:cstheme="minorHAnsi"/>
        </w:rPr>
        <w:t xml:space="preserve"> </w:t>
      </w:r>
    </w:p>
    <w:p w14:paraId="6CC7B875" w14:textId="76405D64" w:rsidR="00076CAF" w:rsidRDefault="00076CAF" w:rsidP="00076CAF">
      <w:pPr>
        <w:spacing w:after="120"/>
        <w:rPr>
          <w:rFonts w:asciiTheme="minorHAnsi" w:hAnsiTheme="minorHAnsi" w:cstheme="minorHAnsi"/>
        </w:rPr>
      </w:pPr>
      <w:r>
        <w:rPr>
          <w:rFonts w:asciiTheme="minorHAnsi" w:hAnsiTheme="minorHAnsi" w:cstheme="minorHAnsi"/>
        </w:rPr>
        <w:t>In addition to supporting</w:t>
      </w:r>
      <w:r w:rsidR="00A15307">
        <w:rPr>
          <w:rFonts w:asciiTheme="minorHAnsi" w:hAnsiTheme="minorHAnsi" w:cstheme="minorHAnsi"/>
        </w:rPr>
        <w:t xml:space="preserve"> the </w:t>
      </w:r>
      <w:r>
        <w:rPr>
          <w:rFonts w:asciiTheme="minorHAnsi" w:hAnsiTheme="minorHAnsi" w:cstheme="minorHAnsi"/>
        </w:rPr>
        <w:t xml:space="preserve">various communication aspects </w:t>
      </w:r>
      <w:r w:rsidR="00A15307">
        <w:rPr>
          <w:rFonts w:asciiTheme="minorHAnsi" w:hAnsiTheme="minorHAnsi" w:cstheme="minorHAnsi"/>
        </w:rPr>
        <w:t xml:space="preserve">associated with the </w:t>
      </w:r>
      <w:r>
        <w:rPr>
          <w:rFonts w:asciiTheme="minorHAnsi" w:hAnsiTheme="minorHAnsi" w:cstheme="minorHAnsi"/>
        </w:rPr>
        <w:t>public hearing during the quarter</w:t>
      </w:r>
      <w:r w:rsidR="00A15307">
        <w:rPr>
          <w:rFonts w:asciiTheme="minorHAnsi" w:hAnsiTheme="minorHAnsi" w:cstheme="minorHAnsi"/>
        </w:rPr>
        <w:t xml:space="preserve"> such as </w:t>
      </w:r>
      <w:r>
        <w:rPr>
          <w:rFonts w:asciiTheme="minorHAnsi" w:hAnsiTheme="minorHAnsi" w:cstheme="minorHAnsi"/>
        </w:rPr>
        <w:t xml:space="preserve">producing and publishing content for the website, media and social media engagement, the Communications Team </w:t>
      </w:r>
      <w:r w:rsidR="00A15307">
        <w:rPr>
          <w:rFonts w:asciiTheme="minorHAnsi" w:hAnsiTheme="minorHAnsi" w:cstheme="minorHAnsi"/>
        </w:rPr>
        <w:t>was also involved in supporting the design and publication of the Interim and Administrative Reports.</w:t>
      </w:r>
    </w:p>
    <w:p w14:paraId="6AA26333" w14:textId="0175533F" w:rsidR="00A15307" w:rsidRPr="00A15307" w:rsidRDefault="002130EF" w:rsidP="00A15307">
      <w:pPr>
        <w:rPr>
          <w:rFonts w:asciiTheme="minorHAnsi" w:hAnsiTheme="minorHAnsi" w:cstheme="minorHAnsi"/>
        </w:rPr>
      </w:pPr>
      <w:r>
        <w:rPr>
          <w:rFonts w:asciiTheme="minorHAnsi" w:hAnsiTheme="minorHAnsi" w:cstheme="minorHAnsi"/>
        </w:rPr>
        <w:t xml:space="preserve">Specific initiatives </w:t>
      </w:r>
      <w:r w:rsidR="00DA669F">
        <w:rPr>
          <w:rFonts w:asciiTheme="minorHAnsi" w:hAnsiTheme="minorHAnsi" w:cstheme="minorHAnsi"/>
        </w:rPr>
        <w:t xml:space="preserve">proposed </w:t>
      </w:r>
      <w:r w:rsidR="00A15307" w:rsidRPr="00A15307">
        <w:rPr>
          <w:rFonts w:asciiTheme="minorHAnsi" w:hAnsiTheme="minorHAnsi" w:cstheme="minorHAnsi"/>
        </w:rPr>
        <w:t xml:space="preserve">in the January to March 2021 quarter include: </w:t>
      </w:r>
    </w:p>
    <w:p w14:paraId="3F7E8BFF" w14:textId="1CBAFBC3" w:rsidR="00201492" w:rsidRDefault="00201492" w:rsidP="00A15307">
      <w:pPr>
        <w:pStyle w:val="ListParagraph"/>
        <w:numPr>
          <w:ilvl w:val="0"/>
          <w:numId w:val="35"/>
        </w:numPr>
        <w:rPr>
          <w:rFonts w:asciiTheme="minorHAnsi" w:hAnsiTheme="minorHAnsi" w:cstheme="minorHAnsi"/>
        </w:rPr>
      </w:pPr>
      <w:r>
        <w:rPr>
          <w:rFonts w:asciiTheme="minorHAnsi" w:hAnsiTheme="minorHAnsi" w:cstheme="minorHAnsi"/>
        </w:rPr>
        <w:t>advancing te reo and easy read versions of the Interim Report;</w:t>
      </w:r>
    </w:p>
    <w:p w14:paraId="386A3F3D" w14:textId="77777777" w:rsidR="00201492" w:rsidRDefault="00201492" w:rsidP="00A15307">
      <w:pPr>
        <w:pStyle w:val="ListParagraph"/>
        <w:numPr>
          <w:ilvl w:val="0"/>
          <w:numId w:val="35"/>
        </w:numPr>
        <w:rPr>
          <w:rFonts w:asciiTheme="minorHAnsi" w:hAnsiTheme="minorHAnsi" w:cstheme="minorHAnsi"/>
        </w:rPr>
      </w:pPr>
      <w:r>
        <w:rPr>
          <w:rFonts w:asciiTheme="minorHAnsi" w:hAnsiTheme="minorHAnsi" w:cstheme="minorHAnsi"/>
        </w:rPr>
        <w:lastRenderedPageBreak/>
        <w:t xml:space="preserve">planning for the launch of a refreshed website; </w:t>
      </w:r>
    </w:p>
    <w:p w14:paraId="22B236DB" w14:textId="77777777" w:rsidR="00201492" w:rsidRDefault="00201492" w:rsidP="00A15307">
      <w:pPr>
        <w:pStyle w:val="ListParagraph"/>
        <w:numPr>
          <w:ilvl w:val="0"/>
          <w:numId w:val="35"/>
        </w:numPr>
        <w:rPr>
          <w:rFonts w:asciiTheme="minorHAnsi" w:hAnsiTheme="minorHAnsi" w:cstheme="minorHAnsi"/>
        </w:rPr>
      </w:pPr>
      <w:r>
        <w:rPr>
          <w:rFonts w:asciiTheme="minorHAnsi" w:hAnsiTheme="minorHAnsi" w:cstheme="minorHAnsi"/>
        </w:rPr>
        <w:t xml:space="preserve">developing and finalising strategies for each investigation; </w:t>
      </w:r>
    </w:p>
    <w:p w14:paraId="14215D21" w14:textId="1BC1D10B" w:rsidR="00201492" w:rsidRDefault="00201492" w:rsidP="00A15307">
      <w:pPr>
        <w:pStyle w:val="ListParagraph"/>
        <w:numPr>
          <w:ilvl w:val="0"/>
          <w:numId w:val="35"/>
        </w:numPr>
        <w:rPr>
          <w:rFonts w:asciiTheme="minorHAnsi" w:hAnsiTheme="minorHAnsi" w:cstheme="minorHAnsi"/>
        </w:rPr>
      </w:pPr>
      <w:r>
        <w:rPr>
          <w:rFonts w:asciiTheme="minorHAnsi" w:hAnsiTheme="minorHAnsi" w:cstheme="minorHAnsi"/>
        </w:rPr>
        <w:t>productions and publication of a series of videos covering key aspects of the Inquiry’s work</w:t>
      </w:r>
      <w:r w:rsidR="00DA669F">
        <w:rPr>
          <w:rFonts w:asciiTheme="minorHAnsi" w:hAnsiTheme="minorHAnsi" w:cstheme="minorHAnsi"/>
        </w:rPr>
        <w:t>;</w:t>
      </w:r>
      <w:r>
        <w:rPr>
          <w:rFonts w:asciiTheme="minorHAnsi" w:hAnsiTheme="minorHAnsi" w:cstheme="minorHAnsi"/>
        </w:rPr>
        <w:t xml:space="preserve"> </w:t>
      </w:r>
    </w:p>
    <w:p w14:paraId="24AE2E04" w14:textId="0084ACA2" w:rsidR="00D92281" w:rsidRDefault="00201492" w:rsidP="00A30EA4">
      <w:pPr>
        <w:pStyle w:val="ListParagraph"/>
        <w:numPr>
          <w:ilvl w:val="0"/>
          <w:numId w:val="35"/>
        </w:numPr>
        <w:rPr>
          <w:rFonts w:asciiTheme="minorHAnsi" w:hAnsiTheme="minorHAnsi" w:cstheme="minorHAnsi"/>
        </w:rPr>
      </w:pPr>
      <w:r>
        <w:rPr>
          <w:rFonts w:asciiTheme="minorHAnsi" w:hAnsiTheme="minorHAnsi" w:cstheme="minorHAnsi"/>
        </w:rPr>
        <w:t xml:space="preserve">providing media and communication support </w:t>
      </w:r>
      <w:r w:rsidR="00DA669F">
        <w:rPr>
          <w:rFonts w:asciiTheme="minorHAnsi" w:hAnsiTheme="minorHAnsi" w:cstheme="minorHAnsi"/>
        </w:rPr>
        <w:t>for Phase two of the F</w:t>
      </w:r>
      <w:r>
        <w:rPr>
          <w:rFonts w:asciiTheme="minorHAnsi" w:hAnsiTheme="minorHAnsi" w:cstheme="minorHAnsi"/>
        </w:rPr>
        <w:t xml:space="preserve">aith-based hearing. </w:t>
      </w:r>
      <w:r w:rsidR="00A30EA4">
        <w:rPr>
          <w:rFonts w:asciiTheme="minorHAnsi" w:hAnsiTheme="minorHAnsi" w:cstheme="minorHAnsi"/>
        </w:rPr>
        <w:br/>
      </w:r>
    </w:p>
    <w:p w14:paraId="1CF6D1D1" w14:textId="196485D4" w:rsidR="00205247" w:rsidRPr="00CF346B" w:rsidRDefault="002130EF" w:rsidP="00205247">
      <w:pPr>
        <w:keepLines w:val="0"/>
        <w:rPr>
          <w:rFonts w:asciiTheme="minorHAnsi" w:hAnsiTheme="minorHAnsi" w:cstheme="minorHAnsi"/>
          <w:b/>
        </w:rPr>
      </w:pPr>
      <w:r w:rsidRPr="00CF346B">
        <w:rPr>
          <w:b/>
          <w:color w:val="000000"/>
        </w:rPr>
        <w:t>Organisational Development</w:t>
      </w:r>
      <w:r w:rsidR="00205247" w:rsidRPr="00CF346B">
        <w:rPr>
          <w:b/>
          <w:color w:val="000000"/>
        </w:rPr>
        <w:t xml:space="preserve"> </w:t>
      </w:r>
    </w:p>
    <w:p w14:paraId="72A7DDF9" w14:textId="644F49A6" w:rsidR="00205247" w:rsidRPr="00205247" w:rsidRDefault="00232643" w:rsidP="00205247">
      <w:pPr>
        <w:keepLines w:val="0"/>
      </w:pPr>
      <w:r>
        <w:rPr>
          <w:color w:val="000000"/>
        </w:rPr>
        <w:t xml:space="preserve">The next quarter will see the progression of </w:t>
      </w:r>
      <w:r w:rsidR="00D92281">
        <w:rPr>
          <w:color w:val="000000"/>
        </w:rPr>
        <w:t xml:space="preserve">several </w:t>
      </w:r>
      <w:r>
        <w:rPr>
          <w:color w:val="000000"/>
        </w:rPr>
        <w:t>key initiatives</w:t>
      </w:r>
      <w:r w:rsidR="00D92281">
        <w:rPr>
          <w:color w:val="000000"/>
        </w:rPr>
        <w:t xml:space="preserve"> in this area</w:t>
      </w:r>
      <w:r>
        <w:rPr>
          <w:color w:val="000000"/>
        </w:rPr>
        <w:t xml:space="preserve">. </w:t>
      </w:r>
      <w:r w:rsidR="005F5640">
        <w:rPr>
          <w:color w:val="000000"/>
        </w:rPr>
        <w:t xml:space="preserve">The first being to create </w:t>
      </w:r>
      <w:r w:rsidR="00205247">
        <w:t>process or journey maps that show how the Commission has embedded tikanga and Te Ao Māori into our mahi</w:t>
      </w:r>
      <w:r>
        <w:t>, using an external provider</w:t>
      </w:r>
      <w:r w:rsidR="00875228">
        <w:t>. </w:t>
      </w:r>
      <w:r w:rsidR="00205247">
        <w:t>The mapping will, for example, help</w:t>
      </w:r>
      <w:r>
        <w:t xml:space="preserve"> the Inquiry </w:t>
      </w:r>
      <w:r w:rsidR="00205247">
        <w:t xml:space="preserve">consider how a Māori survivor might engage with us publicly, be driven to our website and then reach out to the Contact Service to register. Three areas are being mapped - staff (recruitment pathway through to onboarding, induction, training, engagement, off-boarding etc.), survivor engagement that ends with a private session and survivor engagement that ends with witness statement/public hearing. After mapping these process, the Treaty </w:t>
      </w:r>
      <w:r w:rsidR="005F5640">
        <w:t xml:space="preserve">Engagement </w:t>
      </w:r>
      <w:r>
        <w:t xml:space="preserve">Team </w:t>
      </w:r>
      <w:r w:rsidR="00205247">
        <w:t xml:space="preserve">will </w:t>
      </w:r>
      <w:r>
        <w:t xml:space="preserve">then </w:t>
      </w:r>
      <w:r w:rsidR="00205247">
        <w:t>be engaged to review</w:t>
      </w:r>
      <w:r w:rsidR="000D44C4">
        <w:t xml:space="preserve"> </w:t>
      </w:r>
      <w:r w:rsidR="00205247">
        <w:t>if appropriate</w:t>
      </w:r>
      <w:r>
        <w:t>,</w:t>
      </w:r>
      <w:r w:rsidR="00205247">
        <w:t xml:space="preserve"> tikanga is met or offer recommendations for improvement.</w:t>
      </w:r>
    </w:p>
    <w:p w14:paraId="375A070A" w14:textId="68C0A1B7" w:rsidR="000D44C4" w:rsidRDefault="000D44C4" w:rsidP="00205247">
      <w:pPr>
        <w:keepLines w:val="0"/>
      </w:pPr>
      <w:r>
        <w:t xml:space="preserve">The second initiative is a review of Commission’s </w:t>
      </w:r>
      <w:r w:rsidR="005F5640">
        <w:t>practices and process through a di</w:t>
      </w:r>
      <w:r w:rsidR="00232643">
        <w:t>sability lens to ensure we are</w:t>
      </w:r>
      <w:r w:rsidR="005F5640">
        <w:t xml:space="preserve"> </w:t>
      </w:r>
      <w:r w:rsidR="00232643">
        <w:t xml:space="preserve">appropriately </w:t>
      </w:r>
      <w:r>
        <w:t xml:space="preserve">engaging </w:t>
      </w:r>
      <w:r w:rsidR="00CE1B60">
        <w:t xml:space="preserve">with and </w:t>
      </w:r>
      <w:r w:rsidR="00232643">
        <w:t>meeting the requirements of the</w:t>
      </w:r>
      <w:r w:rsidR="005F5640">
        <w:t xml:space="preserve"> disability sector. </w:t>
      </w:r>
      <w:r w:rsidR="00205247">
        <w:t xml:space="preserve"> </w:t>
      </w:r>
    </w:p>
    <w:p w14:paraId="4108CFC2" w14:textId="247A5607" w:rsidR="00D92281" w:rsidRDefault="00D92281" w:rsidP="00205247">
      <w:pPr>
        <w:keepLines w:val="0"/>
      </w:pPr>
      <w:r w:rsidRPr="00CF346B">
        <w:t xml:space="preserve">Finally, </w:t>
      </w:r>
      <w:r w:rsidR="009B0218" w:rsidRPr="00CF346B">
        <w:t xml:space="preserve">responsibility for internal staff and contractor wellbeing has recently been transferred </w:t>
      </w:r>
      <w:r w:rsidRPr="00CF346B">
        <w:t>from the Survivor Accounts group to Support Services</w:t>
      </w:r>
      <w:r w:rsidR="009B0218" w:rsidRPr="00CF346B">
        <w:t xml:space="preserve"> (Human Resources)</w:t>
      </w:r>
      <w:r w:rsidR="009F0013" w:rsidRPr="00CF346B">
        <w:t xml:space="preserve">. The separation of this component of wellbeing from that of survivors was considered appropriate in view of the size of the Secretariat.  </w:t>
      </w:r>
      <w:r w:rsidRPr="00CF346B">
        <w:t>Over the coming quarter an internal Wellbeing Programme and framework</w:t>
      </w:r>
      <w:r w:rsidR="007B3E9C" w:rsidRPr="00CF346B">
        <w:t xml:space="preserve"> will be designed and implemented. </w:t>
      </w:r>
    </w:p>
    <w:p w14:paraId="24017CB7" w14:textId="02F74435" w:rsidR="00BE67AB" w:rsidRPr="000D44C4" w:rsidRDefault="00BE67AB" w:rsidP="00BE67AB">
      <w:r w:rsidRPr="00A30EA4">
        <w:rPr>
          <w:b/>
        </w:rPr>
        <w:t>Risks</w:t>
      </w:r>
      <w:r w:rsidRPr="002B3126">
        <w:rPr>
          <w:b/>
          <w:highlight w:val="yellow"/>
        </w:rPr>
        <w:br/>
      </w:r>
      <w:r w:rsidR="00875228">
        <w:rPr>
          <w:b/>
        </w:rPr>
        <w:br/>
      </w:r>
      <w:r w:rsidRPr="004B3B7A">
        <w:rPr>
          <w:rFonts w:cs="Calibri"/>
          <w:u w:val="single"/>
        </w:rPr>
        <w:t>Security</w:t>
      </w:r>
      <w:r w:rsidRPr="004B3B7A">
        <w:rPr>
          <w:rFonts w:cs="Calibri"/>
        </w:rPr>
        <w:t xml:space="preserve"> </w:t>
      </w:r>
    </w:p>
    <w:p w14:paraId="16E1FCD7" w14:textId="7258F813" w:rsidR="00BE67AB" w:rsidRPr="00906F0A" w:rsidRDefault="002130EF" w:rsidP="00BE67AB">
      <w:r>
        <w:t xml:space="preserve">The safety of our survivors and staff continues to be of paramount importance. </w:t>
      </w:r>
      <w:r w:rsidR="004B041E" w:rsidRPr="00906F0A">
        <w:t xml:space="preserve">A review and update of our security protocols was completed during the quarter. </w:t>
      </w:r>
    </w:p>
    <w:p w14:paraId="76AD7DCC" w14:textId="6BC3D4D4" w:rsidR="00BE67AB" w:rsidRDefault="002130EF" w:rsidP="00BE67AB">
      <w:pPr>
        <w:contextualSpacing/>
        <w:rPr>
          <w:u w:val="single"/>
        </w:rPr>
      </w:pPr>
      <w:r>
        <w:rPr>
          <w:u w:val="single"/>
        </w:rPr>
        <w:t>Privacy</w:t>
      </w:r>
    </w:p>
    <w:p w14:paraId="52C8B729" w14:textId="77777777" w:rsidR="00CD4C07" w:rsidRPr="004B3B7A" w:rsidRDefault="00CD4C07" w:rsidP="00BE67AB">
      <w:pPr>
        <w:contextualSpacing/>
        <w:rPr>
          <w:u w:val="single"/>
        </w:rPr>
      </w:pPr>
    </w:p>
    <w:p w14:paraId="5A1F40F9" w14:textId="0EDCF488" w:rsidR="00823A2F" w:rsidRDefault="002130EF" w:rsidP="00BE67AB">
      <w:r>
        <w:t xml:space="preserve">Protecting personal information, especially that provided by survivors, is critical to maintaining trust and confidence in the Commission’s activities. Following the privacy breach </w:t>
      </w:r>
      <w:r w:rsidRPr="00906F0A">
        <w:t>in October 2020, whereby the personal details of one survivor were sent, in error, to another survivor</w:t>
      </w:r>
      <w:r>
        <w:t>, a</w:t>
      </w:r>
      <w:r w:rsidR="004B041E" w:rsidRPr="00906F0A">
        <w:t>n independent</w:t>
      </w:r>
      <w:r w:rsidR="00EC49DC" w:rsidRPr="00906F0A">
        <w:t xml:space="preserve"> evaluation </w:t>
      </w:r>
      <w:r w:rsidR="004B041E" w:rsidRPr="00906F0A">
        <w:t>of the systems</w:t>
      </w:r>
      <w:r w:rsidR="009A7D32">
        <w:t xml:space="preserve">, practices and </w:t>
      </w:r>
      <w:r w:rsidR="004B041E" w:rsidRPr="00906F0A">
        <w:t xml:space="preserve">processes </w:t>
      </w:r>
      <w:r w:rsidR="009A7D32">
        <w:t xml:space="preserve">in </w:t>
      </w:r>
      <w:r w:rsidR="00EC49DC" w:rsidRPr="00906F0A">
        <w:t xml:space="preserve">the </w:t>
      </w:r>
      <w:r w:rsidR="004B041E" w:rsidRPr="00906F0A">
        <w:t>Survivors Accounts</w:t>
      </w:r>
      <w:r w:rsidR="00EC49DC" w:rsidRPr="00906F0A">
        <w:t xml:space="preserve"> </w:t>
      </w:r>
      <w:r w:rsidR="009A7D32">
        <w:t xml:space="preserve">Group </w:t>
      </w:r>
      <w:r>
        <w:t>was undertaken</w:t>
      </w:r>
    </w:p>
    <w:p w14:paraId="2416B816" w14:textId="4906C743" w:rsidR="00025E8A" w:rsidRDefault="00EC49DC" w:rsidP="00BE67AB">
      <w:r w:rsidRPr="00906F0A">
        <w:lastRenderedPageBreak/>
        <w:t xml:space="preserve">The resulting report </w:t>
      </w:r>
      <w:r w:rsidR="00823A2F">
        <w:t xml:space="preserve">was completed in January 2021 and </w:t>
      </w:r>
      <w:r w:rsidRPr="00906F0A">
        <w:t>ma</w:t>
      </w:r>
      <w:r w:rsidR="00D71DBB">
        <w:t>kes recommendations</w:t>
      </w:r>
      <w:r w:rsidR="00823A2F">
        <w:t xml:space="preserve"> </w:t>
      </w:r>
      <w:r w:rsidR="00C26F72">
        <w:t>on the</w:t>
      </w:r>
      <w:r w:rsidR="009A7D32">
        <w:t xml:space="preserve"> </w:t>
      </w:r>
      <w:r w:rsidR="00D96DCD">
        <w:t>actions</w:t>
      </w:r>
      <w:r w:rsidR="009A7D32">
        <w:t xml:space="preserve"> the Commission should consider undertaking </w:t>
      </w:r>
      <w:r w:rsidR="00D96DCD">
        <w:t xml:space="preserve">to mitigate the risk </w:t>
      </w:r>
      <w:r w:rsidR="009A7D32">
        <w:t>of a privacy breach in the future.</w:t>
      </w:r>
      <w:r w:rsidR="00823A2F">
        <w:t xml:space="preserve">  A</w:t>
      </w:r>
      <w:r w:rsidR="009A7D32">
        <w:t xml:space="preserve">s a </w:t>
      </w:r>
      <w:r w:rsidR="00823A2F">
        <w:t xml:space="preserve">number of the recommendations </w:t>
      </w:r>
      <w:r w:rsidR="009A7D32">
        <w:t xml:space="preserve">impact the wider </w:t>
      </w:r>
      <w:r w:rsidRPr="00906F0A">
        <w:t>Commission</w:t>
      </w:r>
      <w:r w:rsidR="00D96DCD">
        <w:t xml:space="preserve"> </w:t>
      </w:r>
      <w:r w:rsidR="009A7D32">
        <w:t xml:space="preserve">a </w:t>
      </w:r>
      <w:r w:rsidR="002130EF">
        <w:t>p</w:t>
      </w:r>
      <w:r w:rsidR="00823A2F">
        <w:t xml:space="preserve">roject team </w:t>
      </w:r>
      <w:r w:rsidR="00906F0A" w:rsidRPr="00906F0A">
        <w:t xml:space="preserve">will be established to </w:t>
      </w:r>
      <w:r w:rsidR="00906F0A">
        <w:t>undertake</w:t>
      </w:r>
      <w:r w:rsidR="009A7D32">
        <w:t xml:space="preserve"> </w:t>
      </w:r>
      <w:r w:rsidR="00906F0A">
        <w:t xml:space="preserve">a </w:t>
      </w:r>
      <w:r w:rsidR="00276964" w:rsidRPr="00906F0A">
        <w:t xml:space="preserve">programme of improvement </w:t>
      </w:r>
      <w:r w:rsidR="00906F0A">
        <w:t>based on the</w:t>
      </w:r>
      <w:r w:rsidR="00A30EA4">
        <w:t xml:space="preserve"> </w:t>
      </w:r>
      <w:r w:rsidR="00906F0A">
        <w:t>recommendations</w:t>
      </w:r>
      <w:r w:rsidR="00D71DBB">
        <w:t xml:space="preserve">. This </w:t>
      </w:r>
      <w:r w:rsidR="009A7D32">
        <w:t xml:space="preserve">work will be a </w:t>
      </w:r>
      <w:r w:rsidR="00D71DBB">
        <w:t xml:space="preserve">priority in the next quarter. </w:t>
      </w:r>
      <w:r w:rsidR="00906F0A">
        <w:t xml:space="preserve"> </w:t>
      </w:r>
    </w:p>
    <w:p w14:paraId="029A9DA3" w14:textId="310DEDCB" w:rsidR="00B61F26" w:rsidRDefault="00B61F26">
      <w:pPr>
        <w:keepLines w:val="0"/>
        <w:rPr>
          <w:b/>
        </w:rPr>
      </w:pPr>
    </w:p>
    <w:p w14:paraId="5FC9A86D" w14:textId="564F528F" w:rsidR="00D96DCD" w:rsidRDefault="00D96DCD">
      <w:pPr>
        <w:keepLines w:val="0"/>
      </w:pPr>
    </w:p>
    <w:p w14:paraId="43CDE212" w14:textId="77777777" w:rsidR="00BE67AB" w:rsidRDefault="00BE67AB">
      <w:pPr>
        <w:keepLines w:val="0"/>
        <w:rPr>
          <w:rFonts w:cs="Arial"/>
          <w:b/>
          <w:bCs/>
          <w:color w:val="1F546B" w:themeColor="text2"/>
          <w:kern w:val="32"/>
          <w:sz w:val="52"/>
          <w:szCs w:val="32"/>
        </w:rPr>
      </w:pPr>
      <w:r>
        <w:br w:type="page"/>
      </w:r>
    </w:p>
    <w:p w14:paraId="4C66973E" w14:textId="77777777" w:rsidR="00BE67AB" w:rsidRPr="00BE67AB" w:rsidRDefault="00BE67AB" w:rsidP="00BE67AB">
      <w:pPr>
        <w:pStyle w:val="Heading1"/>
      </w:pPr>
      <w:r w:rsidRPr="00BE67AB">
        <w:lastRenderedPageBreak/>
        <w:t xml:space="preserve">Key performance indicators </w:t>
      </w:r>
    </w:p>
    <w:p w14:paraId="4A155B2A" w14:textId="2F6E2054" w:rsidR="00664521" w:rsidRPr="00664521" w:rsidRDefault="00BE67AB" w:rsidP="00664521">
      <w:pPr>
        <w:rPr>
          <w:rFonts w:cs="Arial"/>
          <w:b/>
          <w:bCs/>
          <w:color w:val="1F536A"/>
          <w:sz w:val="36"/>
          <w:szCs w:val="36"/>
        </w:rPr>
      </w:pPr>
      <w:r w:rsidRPr="52C751B9">
        <w:rPr>
          <w:rFonts w:cs="Arial"/>
          <w:b/>
          <w:bCs/>
          <w:color w:val="1F536A"/>
          <w:sz w:val="36"/>
          <w:szCs w:val="36"/>
        </w:rPr>
        <w:t xml:space="preserve">Organisational Delivery </w:t>
      </w:r>
      <w:r w:rsidR="00834B76">
        <w:br/>
      </w:r>
      <w:r w:rsidR="00664521">
        <w:br/>
        <w:t>Interim Report</w:t>
      </w:r>
    </w:p>
    <w:p w14:paraId="22656982" w14:textId="37987F9C" w:rsidR="00664521" w:rsidRDefault="00664521" w:rsidP="00664521">
      <w:r>
        <w:t>The Inquiry is to provide an interim report on its work, in writing, by 28 December 2020. The report will be in two parts – a substantive interim report and an administrative interim report.</w:t>
      </w:r>
    </w:p>
    <w:tbl>
      <w:tblPr>
        <w:tblStyle w:val="DIATable"/>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497"/>
        <w:gridCol w:w="1309"/>
      </w:tblGrid>
      <w:tr w:rsidR="00664521" w:rsidRPr="001B0263" w14:paraId="64CBB025" w14:textId="77777777" w:rsidTr="00A172F7">
        <w:trPr>
          <w:cnfStyle w:val="100000000000" w:firstRow="1" w:lastRow="0" w:firstColumn="0" w:lastColumn="0" w:oddVBand="0" w:evenVBand="0" w:oddHBand="0" w:evenHBand="0" w:firstRowFirstColumn="0" w:firstRowLastColumn="0" w:lastRowFirstColumn="0" w:lastRowLastColumn="0"/>
        </w:trPr>
        <w:tc>
          <w:tcPr>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78D5F65" w14:textId="759C1734" w:rsidR="00664521" w:rsidRPr="001B0263" w:rsidRDefault="00664521"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5915DE2" w14:textId="19DCA921" w:rsidR="00664521" w:rsidRPr="001B0263" w:rsidRDefault="00664521" w:rsidP="00E56462">
            <w:pPr>
              <w:spacing w:before="40" w:after="40" w:line="259" w:lineRule="auto"/>
              <w:jc w:val="center"/>
              <w:rPr>
                <w:color w:val="auto"/>
                <w:sz w:val="24"/>
                <w:highlight w:val="yellow"/>
              </w:rPr>
            </w:pPr>
            <w:r w:rsidRPr="001B0263">
              <w:rPr>
                <w:bCs/>
                <w:color w:val="auto"/>
                <w:sz w:val="24"/>
              </w:rPr>
              <w:t xml:space="preserve">Status </w:t>
            </w:r>
          </w:p>
        </w:tc>
      </w:tr>
      <w:tr w:rsidR="00664521" w:rsidRPr="001B0263" w14:paraId="4D17DD20" w14:textId="77777777" w:rsidTr="00A172F7">
        <w:tc>
          <w:tcPr>
            <w:tcW w:w="7655" w:type="dxa"/>
            <w:shd w:val="clear" w:color="auto" w:fill="auto"/>
          </w:tcPr>
          <w:p w14:paraId="75315DD2" w14:textId="5AB35A34" w:rsidR="00664521" w:rsidRPr="001B0263" w:rsidRDefault="00664521" w:rsidP="00E56462">
            <w:pPr>
              <w:spacing w:before="40" w:after="40" w:line="259" w:lineRule="auto"/>
              <w:rPr>
                <w:bCs/>
                <w:sz w:val="24"/>
              </w:rPr>
            </w:pPr>
            <w:r w:rsidRPr="001B0263">
              <w:rPr>
                <w:bCs/>
                <w:sz w:val="24"/>
              </w:rPr>
              <w:t xml:space="preserve">Substantive Interim Report </w:t>
            </w:r>
          </w:p>
        </w:tc>
        <w:tc>
          <w:tcPr>
            <w:tcW w:w="1276" w:type="dxa"/>
            <w:shd w:val="clear" w:color="auto" w:fill="auto"/>
          </w:tcPr>
          <w:p w14:paraId="6999D1F0" w14:textId="4B8ABFE2" w:rsidR="00664521" w:rsidRPr="001B0263" w:rsidRDefault="00664521" w:rsidP="00E56462">
            <w:pPr>
              <w:spacing w:before="40" w:after="40"/>
              <w:jc w:val="center"/>
              <w:rPr>
                <w:rFonts w:asciiTheme="minorHAnsi" w:eastAsia="Elephant" w:hAnsiTheme="minorHAnsi" w:cstheme="minorHAnsi"/>
                <w:b/>
                <w:color w:val="00B050"/>
                <w:sz w:val="24"/>
              </w:rPr>
            </w:pPr>
            <w:r w:rsidRPr="001B0263">
              <w:rPr>
                <w:rFonts w:asciiTheme="minorHAnsi" w:eastAsia="Elephant" w:hAnsiTheme="minorHAnsi" w:cstheme="minorHAnsi"/>
                <w:b/>
                <w:sz w:val="24"/>
              </w:rPr>
              <w:t xml:space="preserve">Completed </w:t>
            </w:r>
          </w:p>
        </w:tc>
      </w:tr>
      <w:tr w:rsidR="00664521" w:rsidRPr="001B0263" w14:paraId="6F056A51" w14:textId="77777777" w:rsidTr="00A172F7">
        <w:trPr>
          <w:gridAfter w:val="1"/>
          <w:wAfter w:w="1276" w:type="dxa"/>
        </w:trPr>
        <w:tc>
          <w:tcPr>
            <w:tcW w:w="7655" w:type="dxa"/>
          </w:tcPr>
          <w:p w14:paraId="16950C4C" w14:textId="7723B8F5" w:rsidR="00664521" w:rsidRPr="001B0263" w:rsidRDefault="00664521" w:rsidP="00E56462">
            <w:pPr>
              <w:spacing w:before="40" w:after="40"/>
              <w:rPr>
                <w:sz w:val="24"/>
              </w:rPr>
            </w:pPr>
            <w:r w:rsidRPr="001B0263">
              <w:rPr>
                <w:sz w:val="24"/>
              </w:rPr>
              <w:t xml:space="preserve">Comments: </w:t>
            </w:r>
            <w:r w:rsidR="00CE668F" w:rsidRPr="001B0263">
              <w:rPr>
                <w:sz w:val="24"/>
              </w:rPr>
              <w:t>T</w:t>
            </w:r>
            <w:r w:rsidRPr="001B0263">
              <w:rPr>
                <w:sz w:val="24"/>
              </w:rPr>
              <w:t xml:space="preserve">he substantive interim report, </w:t>
            </w:r>
            <w:r w:rsidRPr="001B0263">
              <w:rPr>
                <w:rFonts w:asciiTheme="minorHAnsi" w:hAnsiTheme="minorHAnsi" w:cstheme="minorHAnsi"/>
                <w:color w:val="001C2E"/>
                <w:sz w:val="24"/>
                <w:shd w:val="clear" w:color="auto" w:fill="FFFFFF"/>
              </w:rPr>
              <w:t>Tāwharautia: Pūrongo o te Wā</w:t>
            </w:r>
            <w:r w:rsidRPr="001B0263">
              <w:rPr>
                <w:rFonts w:ascii="Segoe UI" w:hAnsi="Segoe UI" w:cs="Segoe UI"/>
                <w:color w:val="001C2E"/>
                <w:sz w:val="24"/>
                <w:shd w:val="clear" w:color="auto" w:fill="FFFFFF"/>
              </w:rPr>
              <w:t>, </w:t>
            </w:r>
            <w:r w:rsidRPr="001B0263">
              <w:rPr>
                <w:sz w:val="24"/>
              </w:rPr>
              <w:t xml:space="preserve">was </w:t>
            </w:r>
            <w:r w:rsidR="00CE668F" w:rsidRPr="001B0263">
              <w:rPr>
                <w:sz w:val="24"/>
              </w:rPr>
              <w:t xml:space="preserve">presented to the </w:t>
            </w:r>
            <w:r w:rsidRPr="001B0263">
              <w:rPr>
                <w:sz w:val="24"/>
              </w:rPr>
              <w:t xml:space="preserve">Governor-General on 4 December 2020, meeting the requirements of clause 35 (1) of the terms of reference.  The </w:t>
            </w:r>
            <w:r w:rsidR="000C2E09" w:rsidRPr="001B0263">
              <w:rPr>
                <w:sz w:val="24"/>
              </w:rPr>
              <w:t xml:space="preserve">report was </w:t>
            </w:r>
            <w:r w:rsidRPr="001B0263">
              <w:rPr>
                <w:sz w:val="24"/>
              </w:rPr>
              <w:t>publicly released on 16 December 2020.</w:t>
            </w:r>
          </w:p>
        </w:tc>
      </w:tr>
    </w:tbl>
    <w:p w14:paraId="3DCC93CC" w14:textId="77777777" w:rsidR="00664521" w:rsidRPr="001B0263" w:rsidRDefault="00664521" w:rsidP="00E56462">
      <w:pPr>
        <w:spacing w:before="40" w:after="40"/>
      </w:pPr>
    </w:p>
    <w:tbl>
      <w:tblPr>
        <w:tblStyle w:val="DIATable"/>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497"/>
        <w:gridCol w:w="1309"/>
      </w:tblGrid>
      <w:tr w:rsidR="00664521" w:rsidRPr="001B0263" w14:paraId="59991960" w14:textId="77777777" w:rsidTr="00A172F7">
        <w:trPr>
          <w:cnfStyle w:val="100000000000" w:firstRow="1" w:lastRow="0" w:firstColumn="0" w:lastColumn="0" w:oddVBand="0" w:evenVBand="0" w:oddHBand="0" w:evenHBand="0" w:firstRowFirstColumn="0" w:firstRowLastColumn="0" w:lastRowFirstColumn="0" w:lastRowLastColumn="0"/>
        </w:trPr>
        <w:tc>
          <w:tcPr>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6C4EC203" w14:textId="3C9685E9" w:rsidR="00664521" w:rsidRPr="001B0263" w:rsidRDefault="00664521"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475E32E" w14:textId="62DB807A" w:rsidR="00664521" w:rsidRPr="001B0263" w:rsidRDefault="00664521" w:rsidP="00E56462">
            <w:pPr>
              <w:spacing w:before="40" w:after="40" w:line="259" w:lineRule="auto"/>
              <w:jc w:val="center"/>
              <w:rPr>
                <w:color w:val="auto"/>
                <w:sz w:val="24"/>
                <w:highlight w:val="yellow"/>
              </w:rPr>
            </w:pPr>
            <w:r w:rsidRPr="001B0263">
              <w:rPr>
                <w:bCs/>
                <w:color w:val="auto"/>
                <w:sz w:val="24"/>
              </w:rPr>
              <w:t xml:space="preserve">Status  </w:t>
            </w:r>
          </w:p>
        </w:tc>
      </w:tr>
      <w:tr w:rsidR="00664521" w:rsidRPr="001B0263" w14:paraId="5ED86F11" w14:textId="77777777" w:rsidTr="00A172F7">
        <w:tc>
          <w:tcPr>
            <w:tcW w:w="7655" w:type="dxa"/>
            <w:shd w:val="clear" w:color="auto" w:fill="auto"/>
          </w:tcPr>
          <w:p w14:paraId="616F6485" w14:textId="2D98621F" w:rsidR="00664521" w:rsidRPr="001B0263" w:rsidRDefault="00664521" w:rsidP="00E56462">
            <w:pPr>
              <w:spacing w:before="40" w:after="40" w:line="259" w:lineRule="auto"/>
              <w:rPr>
                <w:bCs/>
                <w:sz w:val="24"/>
              </w:rPr>
            </w:pPr>
            <w:r w:rsidRPr="001B0263">
              <w:rPr>
                <w:bCs/>
                <w:sz w:val="24"/>
              </w:rPr>
              <w:t xml:space="preserve">Administrative Report </w:t>
            </w:r>
          </w:p>
        </w:tc>
        <w:tc>
          <w:tcPr>
            <w:tcW w:w="1276" w:type="dxa"/>
            <w:shd w:val="clear" w:color="auto" w:fill="auto"/>
          </w:tcPr>
          <w:p w14:paraId="2F22A31D" w14:textId="3B0E0E3A" w:rsidR="00664521" w:rsidRPr="001B0263" w:rsidRDefault="00664521" w:rsidP="00E56462">
            <w:pPr>
              <w:spacing w:before="40" w:after="40"/>
              <w:jc w:val="center"/>
              <w:rPr>
                <w:rFonts w:asciiTheme="minorHAnsi" w:eastAsia="Elephant" w:hAnsiTheme="minorHAnsi" w:cstheme="minorHAnsi"/>
                <w:b/>
                <w:sz w:val="24"/>
              </w:rPr>
            </w:pPr>
            <w:r w:rsidRPr="001B0263">
              <w:rPr>
                <w:rFonts w:asciiTheme="minorHAnsi" w:eastAsia="Elephant" w:hAnsiTheme="minorHAnsi" w:cstheme="minorHAnsi"/>
                <w:b/>
                <w:sz w:val="24"/>
              </w:rPr>
              <w:t>Completed</w:t>
            </w:r>
          </w:p>
        </w:tc>
      </w:tr>
      <w:tr w:rsidR="00664521" w:rsidRPr="001B0263" w14:paraId="4F1298F0" w14:textId="77777777" w:rsidTr="00A172F7">
        <w:trPr>
          <w:gridAfter w:val="1"/>
          <w:wAfter w:w="1276" w:type="dxa"/>
        </w:trPr>
        <w:tc>
          <w:tcPr>
            <w:tcW w:w="7655" w:type="dxa"/>
          </w:tcPr>
          <w:p w14:paraId="3029CFB8" w14:textId="49138ADD" w:rsidR="00664521" w:rsidRPr="001B0263" w:rsidRDefault="00664521" w:rsidP="00E56462">
            <w:pPr>
              <w:spacing w:before="40" w:after="40"/>
              <w:rPr>
                <w:sz w:val="24"/>
              </w:rPr>
            </w:pPr>
            <w:r w:rsidRPr="001B0263">
              <w:rPr>
                <w:sz w:val="24"/>
              </w:rPr>
              <w:t xml:space="preserve">Comments: </w:t>
            </w:r>
            <w:r w:rsidR="00CE668F" w:rsidRPr="001B0263">
              <w:rPr>
                <w:sz w:val="24"/>
              </w:rPr>
              <w:t xml:space="preserve">The Administrative Report was provided to the Minister of Internal Affairs on </w:t>
            </w:r>
            <w:r w:rsidR="009A4CED" w:rsidRPr="001B0263">
              <w:rPr>
                <w:sz w:val="24"/>
              </w:rPr>
              <w:t>3 December 2020.</w:t>
            </w:r>
          </w:p>
        </w:tc>
      </w:tr>
    </w:tbl>
    <w:p w14:paraId="4EAFD94B" w14:textId="7359A412" w:rsidR="00BE67AB" w:rsidRDefault="00BE67AB" w:rsidP="00BE67AB">
      <w:pPr>
        <w:keepLines w:val="0"/>
        <w:rPr>
          <w:b/>
          <w:bCs/>
          <w:i/>
          <w:color w:val="1F546B" w:themeColor="text2"/>
          <w:szCs w:val="28"/>
        </w:rPr>
      </w:pPr>
      <w:r>
        <w:br w:type="page"/>
      </w:r>
    </w:p>
    <w:p w14:paraId="4B2FF800" w14:textId="0364FA82" w:rsidR="00BE67AB" w:rsidRDefault="00BE67AB" w:rsidP="00BE67AB">
      <w:pPr>
        <w:pStyle w:val="Heading4"/>
      </w:pPr>
      <w:r w:rsidRPr="35243F86">
        <w:lastRenderedPageBreak/>
        <w:t>Investigations</w:t>
      </w:r>
      <w:r>
        <w:t xml:space="preserve"> and Public Hearings </w:t>
      </w:r>
      <w:r w:rsidRPr="35243F86">
        <w:t xml:space="preserve"> </w:t>
      </w:r>
    </w:p>
    <w:p w14:paraId="421B0056" w14:textId="4B69BDB6" w:rsidR="00FA3D61" w:rsidRDefault="00BE67AB" w:rsidP="00BE67AB">
      <w:pPr>
        <w:rPr>
          <w:rFonts w:eastAsia="Calibri" w:cs="Calibri"/>
        </w:rPr>
      </w:pPr>
      <w:r>
        <w:rPr>
          <w:rFonts w:eastAsia="Calibri" w:cs="Calibri"/>
        </w:rPr>
        <w:t xml:space="preserve">Nine </w:t>
      </w:r>
      <w:r w:rsidRPr="35243F86">
        <w:rPr>
          <w:rFonts w:eastAsia="Calibri" w:cs="Calibri"/>
        </w:rPr>
        <w:t>investigation</w:t>
      </w:r>
      <w:r>
        <w:rPr>
          <w:rFonts w:eastAsia="Calibri" w:cs="Calibri"/>
        </w:rPr>
        <w:t>s were launched in 2020/21.</w:t>
      </w:r>
      <w:r w:rsidRPr="35243F86">
        <w:rPr>
          <w:rFonts w:eastAsia="Calibri" w:cs="Calibri"/>
        </w:rPr>
        <w:t xml:space="preserve"> </w:t>
      </w:r>
      <w:r>
        <w:rPr>
          <w:rFonts w:eastAsia="Calibri" w:cs="Calibri"/>
        </w:rPr>
        <w:t>All of these investigations</w:t>
      </w:r>
      <w:r w:rsidRPr="35243F86">
        <w:rPr>
          <w:rFonts w:eastAsia="Calibri" w:cs="Calibri"/>
        </w:rPr>
        <w:t xml:space="preserve"> </w:t>
      </w:r>
      <w:r>
        <w:rPr>
          <w:rFonts w:eastAsia="Calibri" w:cs="Calibri"/>
        </w:rPr>
        <w:t>will</w:t>
      </w:r>
      <w:r w:rsidRPr="35243F86">
        <w:rPr>
          <w:rFonts w:eastAsia="Calibri" w:cs="Calibri"/>
        </w:rPr>
        <w:t xml:space="preserve"> extend </w:t>
      </w:r>
      <w:r>
        <w:rPr>
          <w:rFonts w:eastAsia="Calibri" w:cs="Calibri"/>
        </w:rPr>
        <w:t xml:space="preserve">beyond the </w:t>
      </w:r>
      <w:r w:rsidRPr="35243F86">
        <w:rPr>
          <w:rFonts w:eastAsia="Calibri" w:cs="Calibri"/>
        </w:rPr>
        <w:t xml:space="preserve">2020/21 </w:t>
      </w:r>
      <w:r>
        <w:rPr>
          <w:rFonts w:eastAsia="Calibri" w:cs="Calibri"/>
        </w:rPr>
        <w:t xml:space="preserve">financial </w:t>
      </w:r>
      <w:r w:rsidRPr="35243F86">
        <w:rPr>
          <w:rFonts w:eastAsia="Calibri" w:cs="Calibri"/>
        </w:rPr>
        <w:t>year</w:t>
      </w:r>
      <w:r>
        <w:rPr>
          <w:rFonts w:eastAsia="Calibri" w:cs="Calibri"/>
        </w:rPr>
        <w:t>. Public hearings on Redress (State and faith-based) and abuse in Psychiatric care (Lake Alice Child and Adolescent Unit), and State children’s residential care are scheduled for 2020/21. Reporting against each investigation will occur progressively as they are established.</w:t>
      </w: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39A7AB29"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E75BBFB" w14:textId="003324C0"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6A054999" w14:textId="77777777" w:rsidTr="00A172F7">
        <w:tc>
          <w:tcPr>
            <w:tcW w:w="8956" w:type="dxa"/>
            <w:shd w:val="clear" w:color="auto" w:fill="auto"/>
          </w:tcPr>
          <w:p w14:paraId="705E0993" w14:textId="7640687A" w:rsidR="006651F3" w:rsidRPr="001B0263" w:rsidRDefault="00CD4C07" w:rsidP="00E56462">
            <w:pPr>
              <w:spacing w:before="40" w:after="40" w:line="259" w:lineRule="auto"/>
              <w:rPr>
                <w:bCs/>
                <w:strike/>
                <w:sz w:val="24"/>
              </w:rPr>
            </w:pPr>
            <w:r w:rsidRPr="001B0263">
              <w:rPr>
                <w:bCs/>
                <w:sz w:val="24"/>
              </w:rPr>
              <w:t>Investigations and Public Hearings overall</w:t>
            </w:r>
          </w:p>
        </w:tc>
      </w:tr>
      <w:tr w:rsidR="006651F3" w:rsidRPr="001B0263" w14:paraId="11AB9D6E" w14:textId="77777777" w:rsidTr="00A172F7">
        <w:tc>
          <w:tcPr>
            <w:tcW w:w="8956" w:type="dxa"/>
          </w:tcPr>
          <w:p w14:paraId="22E5DD23" w14:textId="29D959CE" w:rsidR="00CD4C07" w:rsidRPr="001B0263" w:rsidRDefault="00CD4C07" w:rsidP="00E56462">
            <w:pPr>
              <w:spacing w:before="40" w:after="40" w:line="259" w:lineRule="auto"/>
              <w:rPr>
                <w:bCs/>
                <w:sz w:val="24"/>
              </w:rPr>
            </w:pPr>
            <w:r w:rsidRPr="001B0263">
              <w:rPr>
                <w:bCs/>
                <w:sz w:val="24"/>
              </w:rPr>
              <w:t xml:space="preserve">Comment: The investigations workstreams are continuing to make progress.  The teams are now resourced to start the delivery of the investigation plans which will enable them to maintain and increase momentum during 2021.  </w:t>
            </w:r>
          </w:p>
          <w:p w14:paraId="67615650" w14:textId="77777777" w:rsidR="00CD4C07" w:rsidRPr="001B0263" w:rsidRDefault="00CD4C07" w:rsidP="00E56462">
            <w:pPr>
              <w:spacing w:before="40" w:after="40" w:line="259" w:lineRule="auto"/>
              <w:rPr>
                <w:bCs/>
                <w:sz w:val="24"/>
              </w:rPr>
            </w:pPr>
            <w:r w:rsidRPr="001B0263">
              <w:rPr>
                <w:bCs/>
                <w:sz w:val="24"/>
              </w:rPr>
              <w:t>The nine launched investigations are in the process of obtaining their documentary or witness evidence which will be a continuing piece of work as the Inquiry develops.  The investigations are currently expanding their witness lists which can be time consuming given the volume of people they need to interview, and how hard those people are to locate for some investigations.</w:t>
            </w:r>
          </w:p>
          <w:p w14:paraId="1C3929A9" w14:textId="615A6DF6" w:rsidR="00CD4C07" w:rsidRPr="001B0263" w:rsidRDefault="00CD4C07" w:rsidP="00E56462">
            <w:pPr>
              <w:spacing w:before="40" w:after="40" w:line="259" w:lineRule="auto"/>
              <w:rPr>
                <w:bCs/>
                <w:sz w:val="24"/>
              </w:rPr>
            </w:pPr>
            <w:r w:rsidRPr="001B0263">
              <w:rPr>
                <w:bCs/>
                <w:sz w:val="24"/>
              </w:rPr>
              <w:t>The Investigations team are working in partnership with the Community Engagement team in developing different methods of finding hard to engage (reach) witnesses to ensure relevant witnesses are identified and approached.  We anticipate a surge in Māori and Pacific witnesses, and witnesses with disabilities coming forward as the year progresses.</w:t>
            </w:r>
          </w:p>
          <w:p w14:paraId="63F38E6B" w14:textId="65508129" w:rsidR="006651F3" w:rsidRPr="001B0263" w:rsidRDefault="00CD4C07" w:rsidP="00E56462">
            <w:pPr>
              <w:spacing w:before="40" w:after="40" w:line="259" w:lineRule="auto"/>
              <w:rPr>
                <w:sz w:val="24"/>
              </w:rPr>
            </w:pPr>
            <w:r w:rsidRPr="001B0263">
              <w:rPr>
                <w:bCs/>
                <w:sz w:val="24"/>
              </w:rPr>
              <w:t>The State Care redress hearings have concluded, and the forward-looking phase has begun with significant planning meetings being undertaken.  The Faith-based redress survivor hearings concluded before the Christmas break.  The teams are deep into preparation for the institutional phase 2 hearings in March 2021.  Witnesses have been identified and thematic analysis is underway of the evidence received.</w:t>
            </w:r>
          </w:p>
        </w:tc>
      </w:tr>
    </w:tbl>
    <w:p w14:paraId="7FC3306A" w14:textId="77777777" w:rsidR="00BE67AB" w:rsidRPr="001B0263" w:rsidRDefault="00BE67AB" w:rsidP="00E56462">
      <w:pPr>
        <w:spacing w:before="40" w:after="40"/>
        <w:rPr>
          <w:rFonts w:eastAsia="Calibri" w:cs="Calibri"/>
        </w:rPr>
      </w:pPr>
    </w:p>
    <w:tbl>
      <w:tblPr>
        <w:tblStyle w:val="DIATable"/>
        <w:tblW w:w="8956" w:type="dxa"/>
        <w:tblInd w:w="-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3C82300A"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E256032" w14:textId="45157ACB"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2E248260" w14:textId="77777777" w:rsidTr="00A172F7">
        <w:tc>
          <w:tcPr>
            <w:tcW w:w="8956" w:type="dxa"/>
            <w:shd w:val="clear" w:color="auto" w:fill="auto"/>
          </w:tcPr>
          <w:p w14:paraId="6979B77D" w14:textId="00184BBC" w:rsidR="006651F3" w:rsidRPr="001B0263" w:rsidRDefault="006651F3" w:rsidP="00E56462">
            <w:pPr>
              <w:spacing w:before="40" w:after="40" w:line="259" w:lineRule="auto"/>
              <w:rPr>
                <w:bCs/>
                <w:sz w:val="24"/>
              </w:rPr>
            </w:pPr>
            <w:r w:rsidRPr="001B0263">
              <w:rPr>
                <w:rFonts w:eastAsia="Calibri" w:cs="Calibri"/>
                <w:color w:val="000000" w:themeColor="text1"/>
                <w:sz w:val="24"/>
              </w:rPr>
              <w:t>Redress investigation (State and faith-based)</w:t>
            </w:r>
          </w:p>
        </w:tc>
      </w:tr>
      <w:tr w:rsidR="006651F3" w:rsidRPr="001B0263" w14:paraId="5B88C528" w14:textId="77777777" w:rsidTr="00A172F7">
        <w:tc>
          <w:tcPr>
            <w:tcW w:w="8956" w:type="dxa"/>
            <w:shd w:val="clear" w:color="auto" w:fill="auto"/>
          </w:tcPr>
          <w:p w14:paraId="2AB6065F" w14:textId="4CEDAD27" w:rsidR="006651F3" w:rsidRPr="001B0263" w:rsidRDefault="00CD4C07" w:rsidP="00E56462">
            <w:pPr>
              <w:spacing w:before="40" w:after="40" w:line="259" w:lineRule="auto"/>
              <w:rPr>
                <w:rFonts w:eastAsia="Calibri" w:cs="Calibri"/>
                <w:color w:val="000000" w:themeColor="text1"/>
                <w:sz w:val="24"/>
              </w:rPr>
            </w:pPr>
            <w:r w:rsidRPr="001B0263">
              <w:rPr>
                <w:sz w:val="24"/>
              </w:rPr>
              <w:t xml:space="preserve">Comment: </w:t>
            </w:r>
            <w:r w:rsidRPr="001B0263">
              <w:rPr>
                <w:bCs/>
                <w:sz w:val="24"/>
              </w:rPr>
              <w:t>State Redress hearings have concluded, and the team has changed focus onto its forward-looking work and report writing.  Phase 1 of Faith-based redress hearings have concluded, and Phase 2 will commence 15 March.  At the conclusion of these hearings, the team will then start to focus on roundtables and reporting.</w:t>
            </w:r>
            <w:r w:rsidR="006651F3" w:rsidRPr="001B0263">
              <w:rPr>
                <w:bCs/>
                <w:sz w:val="24"/>
              </w:rPr>
              <w:t xml:space="preserve"> </w:t>
            </w:r>
          </w:p>
        </w:tc>
      </w:tr>
    </w:tbl>
    <w:p w14:paraId="290064F4" w14:textId="77777777" w:rsidR="00BE67AB" w:rsidRPr="001B0263"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0038067F"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F2D9AD1" w14:textId="64149B8E"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r>
          </w:p>
        </w:tc>
      </w:tr>
      <w:tr w:rsidR="006651F3" w:rsidRPr="001B0263" w14:paraId="7387B728" w14:textId="77777777" w:rsidTr="00A172F7">
        <w:trPr>
          <w:trHeight w:val="432"/>
        </w:trPr>
        <w:tc>
          <w:tcPr>
            <w:tcW w:w="8956" w:type="dxa"/>
            <w:shd w:val="clear" w:color="auto" w:fill="auto"/>
          </w:tcPr>
          <w:p w14:paraId="005DEB7D" w14:textId="2C8D9B63" w:rsidR="006651F3" w:rsidRPr="001B0263" w:rsidRDefault="006651F3" w:rsidP="00E56462">
            <w:pPr>
              <w:spacing w:before="40" w:after="40" w:line="259" w:lineRule="auto"/>
              <w:rPr>
                <w:bCs/>
                <w:sz w:val="24"/>
              </w:rPr>
            </w:pPr>
            <w:r w:rsidRPr="001B0263">
              <w:rPr>
                <w:rFonts w:eastAsia="Calibri" w:cs="Calibri"/>
                <w:color w:val="000000" w:themeColor="text1"/>
                <w:sz w:val="24"/>
              </w:rPr>
              <w:t>Māori experience of care</w:t>
            </w:r>
          </w:p>
        </w:tc>
      </w:tr>
      <w:tr w:rsidR="006651F3" w:rsidRPr="001B0263" w14:paraId="78292455" w14:textId="77777777" w:rsidTr="00A172F7">
        <w:tc>
          <w:tcPr>
            <w:tcW w:w="8956" w:type="dxa"/>
            <w:shd w:val="clear" w:color="auto" w:fill="auto"/>
          </w:tcPr>
          <w:p w14:paraId="388A6684" w14:textId="40E5F583" w:rsidR="006651F3" w:rsidRPr="001B0263" w:rsidRDefault="00CD4C07" w:rsidP="00E56462">
            <w:pPr>
              <w:spacing w:before="40" w:after="40" w:line="259" w:lineRule="auto"/>
              <w:rPr>
                <w:rFonts w:eastAsia="Calibri" w:cs="Calibri"/>
                <w:b/>
                <w:color w:val="000000" w:themeColor="text1"/>
                <w:sz w:val="24"/>
              </w:rPr>
            </w:pPr>
            <w:r w:rsidRPr="001B0263">
              <w:rPr>
                <w:bCs/>
                <w:sz w:val="24"/>
              </w:rPr>
              <w:t xml:space="preserve"> Comment: The Maori investigation now has its overall investigation scope published.  The in-house team has been recruited and is now in place, however further resourcing will be required in due course.  A public hearing has been tentatively booked to start 6 September and will run for two weeks.</w:t>
            </w:r>
          </w:p>
        </w:tc>
      </w:tr>
    </w:tbl>
    <w:p w14:paraId="21CB0725" w14:textId="69F6FED3" w:rsidR="00E56462" w:rsidRPr="001B0263" w:rsidRDefault="00E56462">
      <w:pPr>
        <w:keepLines w:val="0"/>
        <w:rPr>
          <w:rFonts w:eastAsia="Calibri" w:cs="Calibri"/>
        </w:rPr>
      </w:pPr>
      <w:r w:rsidRPr="001B0263">
        <w:rPr>
          <w:rFonts w:eastAsia="Calibri" w:cs="Calibri"/>
        </w:rPr>
        <w:br w:type="page"/>
      </w:r>
    </w:p>
    <w:p w14:paraId="0764E9FC" w14:textId="77777777" w:rsidR="00BE67AB" w:rsidRPr="001B0263" w:rsidRDefault="00BE67AB" w:rsidP="00E56462">
      <w:pPr>
        <w:keepLines w:val="0"/>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4B82F23D"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56A7036A" w14:textId="05A08EB3"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548B519C" w14:textId="77777777" w:rsidTr="00A172F7">
        <w:tc>
          <w:tcPr>
            <w:tcW w:w="8956" w:type="dxa"/>
            <w:shd w:val="clear" w:color="auto" w:fill="auto"/>
          </w:tcPr>
          <w:p w14:paraId="7993DB7C" w14:textId="4C97A546" w:rsidR="006651F3" w:rsidRPr="001B0263" w:rsidRDefault="006651F3" w:rsidP="00E56462">
            <w:pPr>
              <w:spacing w:before="40" w:after="40" w:line="259" w:lineRule="auto"/>
              <w:rPr>
                <w:bCs/>
                <w:sz w:val="24"/>
              </w:rPr>
            </w:pPr>
            <w:r w:rsidRPr="001B0263">
              <w:rPr>
                <w:rFonts w:eastAsia="Calibri" w:cs="Calibri"/>
                <w:color w:val="000000" w:themeColor="text1"/>
                <w:sz w:val="24"/>
              </w:rPr>
              <w:t>Pacific People’s experience of care</w:t>
            </w:r>
          </w:p>
        </w:tc>
      </w:tr>
      <w:tr w:rsidR="006651F3" w:rsidRPr="001B0263" w14:paraId="7BDC2DD1" w14:textId="77777777" w:rsidTr="00A172F7">
        <w:tc>
          <w:tcPr>
            <w:tcW w:w="8956" w:type="dxa"/>
            <w:shd w:val="clear" w:color="auto" w:fill="auto"/>
          </w:tcPr>
          <w:p w14:paraId="7FC6A1F6" w14:textId="2A6E2901" w:rsidR="006651F3" w:rsidRPr="001B0263" w:rsidRDefault="00CD4C07" w:rsidP="00E56462">
            <w:pPr>
              <w:spacing w:before="40" w:after="40" w:line="259" w:lineRule="auto"/>
              <w:rPr>
                <w:rFonts w:eastAsia="Calibri" w:cs="Calibri"/>
                <w:color w:val="000000" w:themeColor="text1"/>
                <w:sz w:val="24"/>
              </w:rPr>
            </w:pPr>
            <w:r w:rsidRPr="001B0263">
              <w:rPr>
                <w:bCs/>
                <w:sz w:val="24"/>
              </w:rPr>
              <w:t>Comment: The Pacific People’s investigation scope has now been published; the team is currently working with the Community Engagement team to establish relationships with the survivor networks.  A public hearing will be held from 19 July, and the team is currently exploring having the hearing held at Fale o Samoa.</w:t>
            </w:r>
          </w:p>
        </w:tc>
      </w:tr>
    </w:tbl>
    <w:p w14:paraId="48D6AA28" w14:textId="77777777" w:rsidR="00BE67AB" w:rsidRPr="001B0263"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121AAEF0"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6E4A9B6B" w14:textId="7B8F2305"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3106CDB0" w14:textId="77777777" w:rsidTr="00A172F7">
        <w:tc>
          <w:tcPr>
            <w:tcW w:w="8956" w:type="dxa"/>
            <w:shd w:val="clear" w:color="auto" w:fill="auto"/>
          </w:tcPr>
          <w:p w14:paraId="24B5DA4C" w14:textId="1623E980" w:rsidR="006651F3" w:rsidRPr="001B0263" w:rsidRDefault="006651F3" w:rsidP="00E56462">
            <w:pPr>
              <w:spacing w:before="40" w:after="40" w:line="259" w:lineRule="auto"/>
              <w:rPr>
                <w:bCs/>
                <w:sz w:val="24"/>
              </w:rPr>
            </w:pPr>
            <w:r w:rsidRPr="001B0263">
              <w:rPr>
                <w:rFonts w:eastAsia="Calibri" w:cs="Calibri"/>
                <w:color w:val="000000" w:themeColor="text1"/>
                <w:sz w:val="24"/>
              </w:rPr>
              <w:t>Disability investigations (disability care settings and experiences of disabled people in care)</w:t>
            </w:r>
          </w:p>
        </w:tc>
      </w:tr>
      <w:tr w:rsidR="006651F3" w:rsidRPr="001B0263" w14:paraId="5A8E4BCB" w14:textId="77777777" w:rsidTr="00A172F7">
        <w:tc>
          <w:tcPr>
            <w:tcW w:w="8956" w:type="dxa"/>
            <w:shd w:val="clear" w:color="auto" w:fill="auto"/>
          </w:tcPr>
          <w:p w14:paraId="6D0D9D1F" w14:textId="7EFD892B" w:rsidR="006651F3" w:rsidRPr="001B0263" w:rsidRDefault="00CD4C07" w:rsidP="00E56462">
            <w:pPr>
              <w:spacing w:before="40" w:after="40" w:line="259" w:lineRule="auto"/>
              <w:rPr>
                <w:rFonts w:eastAsia="Calibri" w:cs="Calibri"/>
                <w:color w:val="000000" w:themeColor="text1"/>
                <w:sz w:val="24"/>
              </w:rPr>
            </w:pPr>
            <w:r w:rsidRPr="001B0263">
              <w:rPr>
                <w:bCs/>
                <w:sz w:val="24"/>
              </w:rPr>
              <w:t>Comment: The two Disability investigations scope documents have been published.  The investigations are still in their planning stage, and are about to issue several s20 notices, and have drawn up various witness lists to interview.</w:t>
            </w:r>
          </w:p>
        </w:tc>
      </w:tr>
    </w:tbl>
    <w:p w14:paraId="1FFE86C3" w14:textId="77777777" w:rsidR="00BE67AB" w:rsidRPr="001B0263"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7D021869"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2849C6B" w14:textId="3D3F6749"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394C869F" w14:textId="77777777" w:rsidTr="00A172F7">
        <w:tc>
          <w:tcPr>
            <w:tcW w:w="8956" w:type="dxa"/>
            <w:shd w:val="clear" w:color="auto" w:fill="auto"/>
          </w:tcPr>
          <w:p w14:paraId="546F63DD" w14:textId="6E186FBF" w:rsidR="006651F3" w:rsidRPr="001B0263" w:rsidRDefault="006651F3" w:rsidP="00E56462">
            <w:pPr>
              <w:spacing w:before="40" w:after="40" w:line="259" w:lineRule="auto"/>
              <w:rPr>
                <w:bCs/>
                <w:sz w:val="24"/>
              </w:rPr>
            </w:pPr>
            <w:r w:rsidRPr="001B0263">
              <w:rPr>
                <w:rFonts w:eastAsia="Calibri" w:cs="Calibri"/>
                <w:color w:val="000000" w:themeColor="text1"/>
                <w:sz w:val="24"/>
              </w:rPr>
              <w:t>Psychiatric care investigation</w:t>
            </w:r>
          </w:p>
        </w:tc>
      </w:tr>
      <w:tr w:rsidR="006651F3" w:rsidRPr="001B0263" w14:paraId="5A0BD5DD" w14:textId="77777777" w:rsidTr="00A172F7">
        <w:trPr>
          <w:trHeight w:val="785"/>
        </w:trPr>
        <w:tc>
          <w:tcPr>
            <w:tcW w:w="8956" w:type="dxa"/>
            <w:shd w:val="clear" w:color="auto" w:fill="auto"/>
          </w:tcPr>
          <w:p w14:paraId="47D55562" w14:textId="363B4D4F" w:rsidR="006651F3" w:rsidRPr="001B0263" w:rsidRDefault="00CD4C07" w:rsidP="00E56462">
            <w:pPr>
              <w:spacing w:before="40" w:after="40" w:line="259" w:lineRule="auto"/>
              <w:rPr>
                <w:rFonts w:eastAsia="Calibri" w:cs="Calibri"/>
                <w:color w:val="000000" w:themeColor="text1"/>
                <w:sz w:val="24"/>
              </w:rPr>
            </w:pPr>
            <w:r w:rsidRPr="001B0263">
              <w:rPr>
                <w:rFonts w:eastAsia="Calibri" w:cs="Calibri"/>
                <w:color w:val="000000" w:themeColor="text1"/>
                <w:sz w:val="24"/>
              </w:rPr>
              <w:t xml:space="preserve">Comment: </w:t>
            </w:r>
            <w:r w:rsidRPr="001B0263">
              <w:rPr>
                <w:bCs/>
                <w:sz w:val="24"/>
              </w:rPr>
              <w:t>The Psychiatric investigation has published its investigation scope, and a case study scope on Lake Alice Child and Adolescent Unit.  Preparation and evidence gathering is well advanced and the Lake Alice public hearing will proceed on 14 June.</w:t>
            </w:r>
          </w:p>
        </w:tc>
      </w:tr>
    </w:tbl>
    <w:p w14:paraId="131854C8" w14:textId="77777777" w:rsidR="00BE67AB" w:rsidRPr="001B0263"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715DCD76"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77939CD" w14:textId="446A27B9" w:rsidR="006651F3" w:rsidRPr="001B0263" w:rsidRDefault="006651F3" w:rsidP="00E56462">
            <w:pPr>
              <w:spacing w:before="40" w:after="40" w:line="259" w:lineRule="auto"/>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11C239CA" w14:textId="77777777" w:rsidTr="00A172F7">
        <w:tc>
          <w:tcPr>
            <w:tcW w:w="8956" w:type="dxa"/>
            <w:shd w:val="clear" w:color="auto" w:fill="auto"/>
          </w:tcPr>
          <w:p w14:paraId="36A02692" w14:textId="4190F500" w:rsidR="006651F3" w:rsidRPr="001B0263" w:rsidRDefault="006651F3" w:rsidP="00E56462">
            <w:pPr>
              <w:spacing w:before="40" w:after="40" w:line="259" w:lineRule="auto"/>
              <w:rPr>
                <w:bCs/>
                <w:sz w:val="24"/>
              </w:rPr>
            </w:pPr>
            <w:r w:rsidRPr="001B0263">
              <w:rPr>
                <w:rFonts w:eastAsia="Calibri" w:cs="Calibri"/>
                <w:color w:val="000000" w:themeColor="text1"/>
                <w:sz w:val="24"/>
              </w:rPr>
              <w:t xml:space="preserve">State children’s residential </w:t>
            </w:r>
            <w:r w:rsidR="00CD4C07" w:rsidRPr="001B0263">
              <w:rPr>
                <w:rFonts w:eastAsia="Calibri" w:cs="Calibri"/>
                <w:color w:val="000000" w:themeColor="text1"/>
                <w:sz w:val="24"/>
              </w:rPr>
              <w:t>c</w:t>
            </w:r>
            <w:r w:rsidRPr="001B0263">
              <w:rPr>
                <w:rFonts w:eastAsia="Calibri" w:cs="Calibri"/>
                <w:color w:val="000000" w:themeColor="text1"/>
                <w:sz w:val="24"/>
              </w:rPr>
              <w:t xml:space="preserve">are investigation </w:t>
            </w:r>
          </w:p>
        </w:tc>
      </w:tr>
      <w:tr w:rsidR="006651F3" w:rsidRPr="001B0263" w14:paraId="7626D1D1" w14:textId="77777777" w:rsidTr="00A172F7">
        <w:tc>
          <w:tcPr>
            <w:tcW w:w="8956" w:type="dxa"/>
            <w:shd w:val="clear" w:color="auto" w:fill="auto"/>
          </w:tcPr>
          <w:p w14:paraId="632FC037" w14:textId="11B8D8BD" w:rsidR="006651F3" w:rsidRPr="001B0263" w:rsidRDefault="00CD4C07" w:rsidP="00E56462">
            <w:pPr>
              <w:spacing w:before="40" w:after="40" w:line="259" w:lineRule="auto"/>
              <w:rPr>
                <w:rFonts w:eastAsia="Calibri" w:cs="Calibri"/>
                <w:color w:val="000000" w:themeColor="text1"/>
                <w:sz w:val="24"/>
              </w:rPr>
            </w:pPr>
            <w:r w:rsidRPr="001B0263">
              <w:rPr>
                <w:rFonts w:eastAsia="Calibri" w:cs="Calibri"/>
                <w:color w:val="000000" w:themeColor="text1"/>
                <w:sz w:val="24"/>
              </w:rPr>
              <w:t>Comment: The Children’s Residential Care investigation has published its investigation scope.  The investigation has received a large tranche of evidence from the Crown.  Significant numbers of witness statements have been obtained and preliminary witness selections have been made for the public hearing due to start on 3 May.</w:t>
            </w:r>
            <w:r w:rsidR="006651F3" w:rsidRPr="001B0263">
              <w:rPr>
                <w:rFonts w:eastAsia="Calibri" w:cs="Calibri"/>
                <w:color w:val="000000" w:themeColor="text1"/>
                <w:sz w:val="24"/>
              </w:rPr>
              <w:t xml:space="preserve"> </w:t>
            </w:r>
          </w:p>
        </w:tc>
      </w:tr>
    </w:tbl>
    <w:p w14:paraId="4A4C4293" w14:textId="77777777" w:rsidR="00BE67AB" w:rsidRPr="001B0263"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752C1276"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6AA2E0C9" w14:textId="3782B3A2" w:rsidR="006651F3" w:rsidRPr="001B0263" w:rsidRDefault="006651F3" w:rsidP="00E56462">
            <w:pPr>
              <w:spacing w:before="40" w:after="40"/>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5EDB8C38" w14:textId="77777777" w:rsidTr="00A172F7">
        <w:tc>
          <w:tcPr>
            <w:tcW w:w="8956" w:type="dxa"/>
            <w:shd w:val="clear" w:color="auto" w:fill="auto"/>
          </w:tcPr>
          <w:p w14:paraId="36CD22D1" w14:textId="5D2544A3" w:rsidR="006651F3" w:rsidRPr="001B0263" w:rsidRDefault="006651F3" w:rsidP="00E56462">
            <w:pPr>
              <w:spacing w:before="40" w:after="40"/>
              <w:rPr>
                <w:bCs/>
                <w:sz w:val="24"/>
              </w:rPr>
            </w:pPr>
            <w:r w:rsidRPr="001B0263">
              <w:rPr>
                <w:rFonts w:eastAsia="Calibri" w:cs="Calibri"/>
                <w:color w:val="000000" w:themeColor="text1"/>
                <w:sz w:val="24"/>
              </w:rPr>
              <w:t xml:space="preserve">Catholic Church investigation </w:t>
            </w:r>
          </w:p>
        </w:tc>
      </w:tr>
      <w:tr w:rsidR="006651F3" w:rsidRPr="001B0263" w14:paraId="16A9E5FA" w14:textId="77777777" w:rsidTr="00A172F7">
        <w:tc>
          <w:tcPr>
            <w:tcW w:w="8956" w:type="dxa"/>
            <w:shd w:val="clear" w:color="auto" w:fill="auto"/>
          </w:tcPr>
          <w:p w14:paraId="279F30AA" w14:textId="65E9E631" w:rsidR="006651F3" w:rsidRPr="001B0263" w:rsidRDefault="00CD4C07" w:rsidP="00E56462">
            <w:pPr>
              <w:spacing w:before="40" w:after="40"/>
              <w:rPr>
                <w:rFonts w:eastAsia="Calibri" w:cs="Calibri"/>
                <w:color w:val="000000" w:themeColor="text1"/>
                <w:sz w:val="24"/>
              </w:rPr>
            </w:pPr>
            <w:r w:rsidRPr="001B0263">
              <w:rPr>
                <w:bCs/>
                <w:sz w:val="24"/>
              </w:rPr>
              <w:t>Comment: The Catholic Church investigation team is focused on preparing for Phase 2 of the faith-based redress hearings which is being heard from 15 March.  The team is also gathering evidence on the Marylands case study which is being heard in October.</w:t>
            </w:r>
          </w:p>
        </w:tc>
      </w:tr>
    </w:tbl>
    <w:p w14:paraId="1A3EF998" w14:textId="4DBEF225" w:rsidR="001B0263" w:rsidRDefault="001B0263" w:rsidP="00E56462">
      <w:pPr>
        <w:keepLines w:val="0"/>
        <w:spacing w:before="40" w:after="40"/>
        <w:rPr>
          <w:rFonts w:eastAsia="Calibri" w:cs="Calibri"/>
        </w:rPr>
      </w:pPr>
    </w:p>
    <w:p w14:paraId="315C4983" w14:textId="77777777" w:rsidR="001B0263" w:rsidRDefault="001B0263">
      <w:pPr>
        <w:keepLines w:val="0"/>
        <w:rPr>
          <w:rFonts w:eastAsia="Calibri" w:cs="Calibri"/>
        </w:rPr>
      </w:pPr>
      <w:r>
        <w:rPr>
          <w:rFonts w:eastAsia="Calibri" w:cs="Calibri"/>
        </w:rPr>
        <w:br w:type="page"/>
      </w:r>
    </w:p>
    <w:p w14:paraId="4F38B685" w14:textId="77777777" w:rsidR="00A172F7" w:rsidRPr="001B0263" w:rsidRDefault="00A172F7" w:rsidP="00E56462">
      <w:pPr>
        <w:keepLines w:val="0"/>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rsidRPr="001B0263" w14:paraId="1A5EF52D" w14:textId="77777777" w:rsidTr="00A172F7">
        <w:trPr>
          <w:cnfStyle w:val="100000000000" w:firstRow="1" w:lastRow="0" w:firstColumn="0" w:lastColumn="0" w:oddVBand="0" w:evenVBand="0" w:oddHBand="0" w:evenHBand="0" w:firstRowFirstColumn="0" w:firstRowLastColumn="0" w:lastRowFirstColumn="0" w:lastRowLastColumn="0"/>
          <w:trHeight w:val="259"/>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69DFAC5" w14:textId="2C321602" w:rsidR="006651F3" w:rsidRPr="001B0263" w:rsidRDefault="006651F3" w:rsidP="00E56462">
            <w:pPr>
              <w:spacing w:before="40" w:after="40"/>
              <w:rPr>
                <w:color w:val="auto"/>
                <w:sz w:val="24"/>
                <w:highlight w:val="yellow"/>
              </w:rPr>
            </w:pPr>
            <w:r w:rsidRPr="001B0263">
              <w:rPr>
                <w:bCs/>
                <w:color w:val="auto"/>
                <w:sz w:val="24"/>
              </w:rPr>
              <w:t xml:space="preserve">How we will monitor our performance </w:t>
            </w:r>
            <w:r w:rsidRPr="001B0263">
              <w:rPr>
                <w:bCs/>
                <w:color w:val="auto"/>
                <w:sz w:val="24"/>
              </w:rPr>
              <w:tab/>
              <w:t xml:space="preserve">                            </w:t>
            </w:r>
          </w:p>
        </w:tc>
      </w:tr>
      <w:tr w:rsidR="006651F3" w:rsidRPr="001B0263" w14:paraId="3B20433C" w14:textId="77777777" w:rsidTr="00A172F7">
        <w:tc>
          <w:tcPr>
            <w:tcW w:w="8956" w:type="dxa"/>
            <w:shd w:val="clear" w:color="auto" w:fill="auto"/>
          </w:tcPr>
          <w:p w14:paraId="47F07944" w14:textId="1C6514A3" w:rsidR="006651F3" w:rsidRPr="001B0263" w:rsidRDefault="006651F3" w:rsidP="00E56462">
            <w:pPr>
              <w:spacing w:before="40" w:after="40"/>
              <w:rPr>
                <w:bCs/>
                <w:sz w:val="24"/>
              </w:rPr>
            </w:pPr>
            <w:r w:rsidRPr="001B0263">
              <w:rPr>
                <w:rFonts w:eastAsia="Calibri" w:cs="Calibri"/>
                <w:color w:val="000000" w:themeColor="text1"/>
                <w:sz w:val="24"/>
              </w:rPr>
              <w:t xml:space="preserve">Anglican Church investigation </w:t>
            </w:r>
          </w:p>
        </w:tc>
      </w:tr>
      <w:tr w:rsidR="006651F3" w:rsidRPr="001B0263" w14:paraId="377D8C57" w14:textId="77777777" w:rsidTr="00A172F7">
        <w:tc>
          <w:tcPr>
            <w:tcW w:w="8956" w:type="dxa"/>
            <w:shd w:val="clear" w:color="auto" w:fill="auto"/>
          </w:tcPr>
          <w:p w14:paraId="5FC02B90" w14:textId="6F3F2F6D" w:rsidR="006651F3" w:rsidRPr="001B0263" w:rsidRDefault="00CD4C07" w:rsidP="00E56462">
            <w:pPr>
              <w:spacing w:before="40" w:after="40"/>
              <w:rPr>
                <w:rFonts w:eastAsia="Calibri" w:cs="Calibri"/>
                <w:color w:val="000000" w:themeColor="text1"/>
                <w:sz w:val="24"/>
              </w:rPr>
            </w:pPr>
            <w:r w:rsidRPr="001B0263">
              <w:rPr>
                <w:rFonts w:eastAsia="Calibri" w:cs="Calibri"/>
                <w:color w:val="000000" w:themeColor="text1"/>
                <w:sz w:val="24"/>
              </w:rPr>
              <w:t xml:space="preserve">Comment: </w:t>
            </w:r>
            <w:r w:rsidRPr="001B0263">
              <w:rPr>
                <w:bCs/>
                <w:sz w:val="24"/>
              </w:rPr>
              <w:t>The Anglican Investigation is focused on preparing for Phase 2 of the faith-based redress hearings which is being heard from 15 March.  The team is in the process of proposing options for a further case study to Commissioners and are due to have this case study heard in Jan 2022.</w:t>
            </w:r>
          </w:p>
        </w:tc>
      </w:tr>
    </w:tbl>
    <w:p w14:paraId="3AA413D9" w14:textId="68D4B214" w:rsidR="00664521" w:rsidRPr="009C6A4E" w:rsidRDefault="00091F63" w:rsidP="009C6A4E">
      <w:pPr>
        <w:rPr>
          <w:rFonts w:eastAsia="Calibri" w:cs="Calibri"/>
        </w:rPr>
      </w:pPr>
      <w:r>
        <w:rPr>
          <w:b/>
          <w:bCs/>
          <w:i/>
          <w:color w:val="1F546B" w:themeColor="text2"/>
          <w:szCs w:val="28"/>
        </w:rPr>
        <w:br/>
      </w:r>
      <w:r w:rsidR="00BE67AB" w:rsidRPr="00391B9D">
        <w:rPr>
          <w:b/>
          <w:bCs/>
          <w:i/>
          <w:color w:val="1F546B" w:themeColor="text2"/>
          <w:szCs w:val="28"/>
        </w:rPr>
        <w:t>Research and Policy</w:t>
      </w:r>
      <w:r w:rsidR="00BE67AB">
        <w:rPr>
          <w:b/>
          <w:bCs/>
          <w:i/>
          <w:color w:val="1F546B" w:themeColor="text2"/>
          <w:szCs w:val="28"/>
        </w:rPr>
        <w:br/>
      </w:r>
      <w:r w:rsidR="00BE67AB">
        <w:br/>
        <w:t>This work is focussed on delivering research products to support the investigations and hearings workstreams. Other discrete research and policy work will sit outside the Investigations and Hearings streams. This work will include research and briefings, round tables, Commissioner information sessions, written reports – both internal and commissioned - and other information needs to support Commissioners.</w:t>
      </w:r>
      <w:r w:rsidR="00BE67AB" w:rsidRPr="00A0793F">
        <w:rPr>
          <w:rFonts w:eastAsia="Calibri" w:cs="Calibri"/>
        </w:rPr>
        <w:t xml:space="preserve"> </w:t>
      </w:r>
      <w:r w:rsidR="00BE67AB">
        <w:rPr>
          <w:rFonts w:eastAsia="Calibri" w:cs="Calibri"/>
        </w:rPr>
        <w:t>Separate reporting against each stream of the policy work programme – core and investigative - will occur progressively as they are established.</w:t>
      </w:r>
    </w:p>
    <w:tbl>
      <w:tblPr>
        <w:tblStyle w:val="DIATable"/>
        <w:tblW w:w="9072"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72"/>
      </w:tblGrid>
      <w:tr w:rsidR="008F0B59" w:rsidRPr="00061335" w14:paraId="7B4D291F" w14:textId="77777777" w:rsidTr="00A172F7">
        <w:trPr>
          <w:cnfStyle w:val="100000000000" w:firstRow="1" w:lastRow="0" w:firstColumn="0" w:lastColumn="0" w:oddVBand="0" w:evenVBand="0" w:oddHBand="0" w:evenHBand="0" w:firstRowFirstColumn="0" w:firstRowLastColumn="0" w:lastRowFirstColumn="0" w:lastRowLastColumn="0"/>
        </w:trPr>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439A49A4" w14:textId="1883217F" w:rsidR="008F0B59" w:rsidRPr="001B0263" w:rsidRDefault="008F0B59" w:rsidP="000C2E09">
            <w:pPr>
              <w:spacing w:line="259" w:lineRule="auto"/>
              <w:rPr>
                <w:rFonts w:asciiTheme="minorHAnsi" w:hAnsiTheme="minorHAnsi" w:cstheme="minorHAnsi"/>
                <w:color w:val="auto"/>
                <w:sz w:val="24"/>
                <w:highlight w:val="yellow"/>
              </w:rPr>
            </w:pPr>
            <w:r w:rsidRPr="001B0263">
              <w:rPr>
                <w:rFonts w:asciiTheme="minorHAnsi" w:hAnsiTheme="minorHAnsi" w:cstheme="minorHAnsi"/>
                <w:bCs/>
                <w:color w:val="auto"/>
                <w:sz w:val="24"/>
              </w:rPr>
              <w:t xml:space="preserve">How we will monitor our performance </w:t>
            </w:r>
            <w:r w:rsidRPr="001B0263">
              <w:rPr>
                <w:rFonts w:asciiTheme="minorHAnsi" w:hAnsiTheme="minorHAnsi" w:cstheme="minorHAnsi"/>
                <w:bCs/>
                <w:color w:val="auto"/>
                <w:sz w:val="24"/>
              </w:rPr>
              <w:tab/>
              <w:t xml:space="preserve">                            </w:t>
            </w:r>
          </w:p>
        </w:tc>
      </w:tr>
      <w:tr w:rsidR="008F0B59" w:rsidRPr="00061335" w14:paraId="3B822040" w14:textId="77777777" w:rsidTr="00A172F7">
        <w:tc>
          <w:tcPr>
            <w:tcW w:w="9072" w:type="dxa"/>
          </w:tcPr>
          <w:p w14:paraId="7BD5C01D" w14:textId="468DEE15" w:rsidR="00CD4C07" w:rsidRPr="001B0263" w:rsidRDefault="00CD4C07" w:rsidP="00CD4C07">
            <w:pPr>
              <w:spacing w:line="259" w:lineRule="auto"/>
              <w:rPr>
                <w:bCs/>
                <w:sz w:val="24"/>
              </w:rPr>
            </w:pPr>
            <w:r w:rsidRPr="001B0263">
              <w:rPr>
                <w:bCs/>
                <w:sz w:val="24"/>
              </w:rPr>
              <w:t xml:space="preserve">Comment: Progress on delivering the Research and Policy </w:t>
            </w:r>
            <w:r w:rsidR="001B0263" w:rsidRPr="001B0263">
              <w:rPr>
                <w:bCs/>
                <w:sz w:val="24"/>
              </w:rPr>
              <w:t xml:space="preserve">(R&amp;P) </w:t>
            </w:r>
            <w:r w:rsidRPr="001B0263">
              <w:rPr>
                <w:bCs/>
                <w:sz w:val="24"/>
              </w:rPr>
              <w:t>high-level work plan is being monitored weekly by the Research and Policy leadership team (Head, Managers, and Principals), and monthly by the Research and Policy Steering Committee (R&amp;PSC).</w:t>
            </w:r>
          </w:p>
          <w:p w14:paraId="70A315A4" w14:textId="5238106B" w:rsidR="008F0B59" w:rsidRPr="001B0263" w:rsidRDefault="00CD4C07" w:rsidP="00CD4C07">
            <w:pPr>
              <w:rPr>
                <w:rFonts w:asciiTheme="minorHAnsi" w:hAnsiTheme="minorHAnsi" w:cstheme="minorHAnsi"/>
                <w:sz w:val="24"/>
              </w:rPr>
            </w:pPr>
            <w:r w:rsidRPr="001B0263">
              <w:rPr>
                <w:bCs/>
                <w:sz w:val="24"/>
              </w:rPr>
              <w:t>Overall the R&amp;P high level work plan is progressing, however FTE shortages in both the Research and Policy Teams will see slowing of immediate future work as a re-prioritisation of deliverables occurs with all stakeholders, including the Investigation workstreams.  Longer run impacts on deliverables will need to be assessed in due course.</w:t>
            </w:r>
          </w:p>
        </w:tc>
      </w:tr>
    </w:tbl>
    <w:p w14:paraId="38D6F72A" w14:textId="0A10E2BB" w:rsidR="00BE67AB" w:rsidRPr="00AF14D1" w:rsidRDefault="00BE67AB" w:rsidP="00BE67AB">
      <w:pPr>
        <w:keepLines w:val="0"/>
        <w:rPr>
          <w:b/>
          <w:bCs/>
          <w:i/>
          <w:color w:val="1F546B" w:themeColor="text2"/>
          <w:szCs w:val="28"/>
        </w:rPr>
      </w:pPr>
      <w:r>
        <w:rPr>
          <w:b/>
          <w:bCs/>
          <w:i/>
          <w:color w:val="1F546B" w:themeColor="text2"/>
          <w:szCs w:val="28"/>
        </w:rPr>
        <w:br/>
      </w:r>
      <w:r w:rsidRPr="00AF14D1">
        <w:rPr>
          <w:b/>
          <w:bCs/>
          <w:i/>
          <w:color w:val="1F546B" w:themeColor="text2"/>
          <w:szCs w:val="28"/>
        </w:rPr>
        <w:t>Survivor Accounts</w:t>
      </w:r>
    </w:p>
    <w:p w14:paraId="29D4EB6A" w14:textId="77777777" w:rsidR="00BE67AB" w:rsidRPr="00522E85" w:rsidRDefault="00BE67AB" w:rsidP="00BE67AB">
      <w:r w:rsidRPr="00522E85">
        <w:t xml:space="preserve">We anticipate that 2000 survivors will be registered with the Inquiry in the 2020/21 financial year. </w:t>
      </w:r>
      <w:r>
        <w:t>We anticipate increased interest and awareness will develop resulting from Public Hearings, community, treaty engagements and hui, promotional communication strategies and word of mouth.</w:t>
      </w:r>
    </w:p>
    <w:p w14:paraId="6857FD39" w14:textId="42FFE89F" w:rsidR="00BE67AB" w:rsidRPr="00522E85" w:rsidRDefault="00BE67AB" w:rsidP="00BE67AB">
      <w:r>
        <w:t>Private se</w:t>
      </w:r>
      <w:r w:rsidRPr="00522E85">
        <w:t>ssions with survivors to hear their experiences include written, face-to-face, technology (zoom) and group/marae-based sessions. It excludes witness statements collected for investigations.</w:t>
      </w:r>
    </w:p>
    <w:tbl>
      <w:tblPr>
        <w:tblStyle w:val="TableGrid"/>
        <w:tblW w:w="9018" w:type="dxa"/>
        <w:tblLook w:val="04A0" w:firstRow="1" w:lastRow="0" w:firstColumn="1" w:lastColumn="0" w:noHBand="0" w:noVBand="1"/>
      </w:tblPr>
      <w:tblGrid>
        <w:gridCol w:w="4671"/>
        <w:gridCol w:w="1418"/>
        <w:gridCol w:w="1561"/>
        <w:gridCol w:w="1340"/>
        <w:gridCol w:w="8"/>
        <w:gridCol w:w="20"/>
      </w:tblGrid>
      <w:tr w:rsidR="00B15691" w:rsidRPr="001B0263" w14:paraId="29EB9203" w14:textId="77777777" w:rsidTr="00A172F7">
        <w:trPr>
          <w:gridAfter w:val="1"/>
          <w:wAfter w:w="20" w:type="dxa"/>
        </w:trPr>
        <w:tc>
          <w:tcPr>
            <w:tcW w:w="4671" w:type="dxa"/>
            <w:tcBorders>
              <w:top w:val="single" w:sz="6" w:space="0" w:color="auto"/>
              <w:left w:val="single" w:sz="6" w:space="0" w:color="auto"/>
            </w:tcBorders>
            <w:shd w:val="clear" w:color="auto" w:fill="92CC63" w:themeFill="accent4" w:themeFillTint="99"/>
          </w:tcPr>
          <w:p w14:paraId="129A6AFF" w14:textId="77777777" w:rsidR="006651F3" w:rsidRPr="001B0263" w:rsidRDefault="006651F3" w:rsidP="00E56462">
            <w:pPr>
              <w:keepNext/>
              <w:spacing w:before="40" w:after="40" w:line="259" w:lineRule="auto"/>
              <w:rPr>
                <w:bCs/>
              </w:rPr>
            </w:pPr>
            <w:bookmarkStart w:id="2" w:name="_Hlk55375203"/>
            <w:r w:rsidRPr="001B0263">
              <w:rPr>
                <w:b/>
                <w:bCs/>
              </w:rPr>
              <w:lastRenderedPageBreak/>
              <w:t xml:space="preserve">How we will monitor our performance </w:t>
            </w:r>
            <w:r w:rsidRPr="001B0263">
              <w:rPr>
                <w:b/>
                <w:bCs/>
              </w:rPr>
              <w:tab/>
            </w:r>
          </w:p>
        </w:tc>
        <w:tc>
          <w:tcPr>
            <w:tcW w:w="1418" w:type="dxa"/>
            <w:tcBorders>
              <w:top w:val="single" w:sz="6" w:space="0" w:color="auto"/>
            </w:tcBorders>
            <w:shd w:val="clear" w:color="auto" w:fill="92CC63" w:themeFill="accent4" w:themeFillTint="99"/>
          </w:tcPr>
          <w:p w14:paraId="490772B5" w14:textId="77777777" w:rsidR="006651F3" w:rsidRPr="001B0263" w:rsidRDefault="006651F3" w:rsidP="00E56462">
            <w:pPr>
              <w:keepNext/>
              <w:spacing w:before="40" w:after="40" w:line="259" w:lineRule="auto"/>
              <w:rPr>
                <w:bCs/>
              </w:rPr>
            </w:pPr>
            <w:r w:rsidRPr="001B0263">
              <w:rPr>
                <w:b/>
                <w:bCs/>
              </w:rPr>
              <w:t>Target 20/21</w:t>
            </w:r>
          </w:p>
        </w:tc>
        <w:tc>
          <w:tcPr>
            <w:tcW w:w="1561" w:type="dxa"/>
            <w:tcBorders>
              <w:top w:val="single" w:sz="6" w:space="0" w:color="auto"/>
            </w:tcBorders>
            <w:shd w:val="clear" w:color="auto" w:fill="92CC63" w:themeFill="accent4" w:themeFillTint="99"/>
          </w:tcPr>
          <w:p w14:paraId="3DC85AD4" w14:textId="721D4004" w:rsidR="006651F3" w:rsidRPr="001B0263" w:rsidRDefault="000C2E09" w:rsidP="00E56462">
            <w:pPr>
              <w:keepNext/>
              <w:spacing w:before="40" w:after="40" w:line="259" w:lineRule="auto"/>
              <w:rPr>
                <w:b/>
                <w:bCs/>
              </w:rPr>
            </w:pPr>
            <w:r w:rsidRPr="001B0263">
              <w:rPr>
                <w:b/>
                <w:bCs/>
              </w:rPr>
              <w:t xml:space="preserve">Oct </w:t>
            </w:r>
            <w:r w:rsidR="006651F3" w:rsidRPr="001B0263">
              <w:rPr>
                <w:b/>
                <w:bCs/>
              </w:rPr>
              <w:t xml:space="preserve">-Dec 20 </w:t>
            </w:r>
          </w:p>
        </w:tc>
        <w:tc>
          <w:tcPr>
            <w:tcW w:w="1348" w:type="dxa"/>
            <w:gridSpan w:val="2"/>
            <w:tcBorders>
              <w:top w:val="single" w:sz="6" w:space="0" w:color="auto"/>
              <w:right w:val="single" w:sz="6" w:space="0" w:color="auto"/>
            </w:tcBorders>
            <w:shd w:val="clear" w:color="auto" w:fill="92CC63" w:themeFill="accent4" w:themeFillTint="99"/>
          </w:tcPr>
          <w:p w14:paraId="4A513F05" w14:textId="185D77E2" w:rsidR="006651F3" w:rsidRPr="001B0263" w:rsidRDefault="000C2E09" w:rsidP="00E56462">
            <w:pPr>
              <w:keepNext/>
              <w:spacing w:before="40" w:after="40" w:line="259" w:lineRule="auto"/>
              <w:rPr>
                <w:bCs/>
              </w:rPr>
            </w:pPr>
            <w:r w:rsidRPr="001B0263">
              <w:rPr>
                <w:b/>
                <w:bCs/>
              </w:rPr>
              <w:t xml:space="preserve">July-Sept 20 </w:t>
            </w:r>
          </w:p>
        </w:tc>
      </w:tr>
      <w:tr w:rsidR="00B15691" w:rsidRPr="001B0263" w14:paraId="17F238E0" w14:textId="77777777" w:rsidTr="00A172F7">
        <w:trPr>
          <w:gridAfter w:val="1"/>
          <w:wAfter w:w="20" w:type="dxa"/>
        </w:trPr>
        <w:tc>
          <w:tcPr>
            <w:tcW w:w="4671" w:type="dxa"/>
            <w:tcBorders>
              <w:left w:val="single" w:sz="6" w:space="0" w:color="auto"/>
            </w:tcBorders>
          </w:tcPr>
          <w:p w14:paraId="4D4D45D8" w14:textId="77777777" w:rsidR="006651F3" w:rsidRPr="001B0263" w:rsidRDefault="006651F3" w:rsidP="00E56462">
            <w:pPr>
              <w:keepNext/>
              <w:spacing w:before="40" w:after="40" w:line="259" w:lineRule="auto"/>
              <w:rPr>
                <w:bCs/>
              </w:rPr>
            </w:pPr>
            <w:r w:rsidRPr="001B0263">
              <w:rPr>
                <w:bCs/>
              </w:rPr>
              <w:t>Total Survivor registrations</w:t>
            </w:r>
          </w:p>
        </w:tc>
        <w:tc>
          <w:tcPr>
            <w:tcW w:w="1418" w:type="dxa"/>
          </w:tcPr>
          <w:p w14:paraId="287D579F" w14:textId="77777777" w:rsidR="006651F3" w:rsidRPr="001B0263" w:rsidRDefault="006651F3" w:rsidP="00E56462">
            <w:pPr>
              <w:keepNext/>
              <w:spacing w:before="40" w:after="40" w:line="259" w:lineRule="auto"/>
              <w:jc w:val="center"/>
              <w:rPr>
                <w:bCs/>
                <w:highlight w:val="yellow"/>
              </w:rPr>
            </w:pPr>
            <w:r w:rsidRPr="001B0263">
              <w:rPr>
                <w:bCs/>
              </w:rPr>
              <w:t>2000</w:t>
            </w:r>
          </w:p>
        </w:tc>
        <w:tc>
          <w:tcPr>
            <w:tcW w:w="1561" w:type="dxa"/>
          </w:tcPr>
          <w:p w14:paraId="6B9734AB" w14:textId="1E99C167" w:rsidR="006651F3" w:rsidRPr="001B0263" w:rsidRDefault="006651F3" w:rsidP="00E56462">
            <w:pPr>
              <w:keepNext/>
              <w:spacing w:before="40" w:after="40" w:line="259" w:lineRule="auto"/>
              <w:jc w:val="center"/>
              <w:rPr>
                <w:bCs/>
              </w:rPr>
            </w:pPr>
            <w:r w:rsidRPr="001B0263">
              <w:rPr>
                <w:bCs/>
              </w:rPr>
              <w:t>263</w:t>
            </w:r>
          </w:p>
        </w:tc>
        <w:tc>
          <w:tcPr>
            <w:tcW w:w="1348" w:type="dxa"/>
            <w:gridSpan w:val="2"/>
            <w:tcBorders>
              <w:right w:val="single" w:sz="6" w:space="0" w:color="auto"/>
            </w:tcBorders>
          </w:tcPr>
          <w:p w14:paraId="22CC7005" w14:textId="77777777" w:rsidR="006651F3" w:rsidRPr="001B0263" w:rsidRDefault="006651F3" w:rsidP="00E56462">
            <w:pPr>
              <w:keepNext/>
              <w:spacing w:before="40" w:after="40" w:line="259" w:lineRule="auto"/>
              <w:jc w:val="center"/>
              <w:rPr>
                <w:bCs/>
              </w:rPr>
            </w:pPr>
            <w:r w:rsidRPr="001B0263">
              <w:rPr>
                <w:bCs/>
              </w:rPr>
              <w:t>200</w:t>
            </w:r>
          </w:p>
        </w:tc>
      </w:tr>
      <w:tr w:rsidR="00B15691" w:rsidRPr="001B0263" w14:paraId="5576FA7E" w14:textId="77777777" w:rsidTr="00A172F7">
        <w:trPr>
          <w:gridAfter w:val="1"/>
          <w:wAfter w:w="20" w:type="dxa"/>
        </w:trPr>
        <w:tc>
          <w:tcPr>
            <w:tcW w:w="4671" w:type="dxa"/>
            <w:tcBorders>
              <w:left w:val="single" w:sz="6" w:space="0" w:color="auto"/>
            </w:tcBorders>
          </w:tcPr>
          <w:p w14:paraId="427CA0AC" w14:textId="77777777" w:rsidR="006651F3" w:rsidRPr="001B0263" w:rsidRDefault="006651F3" w:rsidP="00E56462">
            <w:pPr>
              <w:keepNext/>
              <w:spacing w:before="40" w:after="40" w:line="259" w:lineRule="auto"/>
              <w:rPr>
                <w:bCs/>
              </w:rPr>
            </w:pPr>
            <w:r w:rsidRPr="001B0263">
              <w:rPr>
                <w:bCs/>
              </w:rPr>
              <w:t xml:space="preserve">Private sessions conducted, including Written Accounts and Zoom sessions                                                       </w:t>
            </w:r>
          </w:p>
        </w:tc>
        <w:tc>
          <w:tcPr>
            <w:tcW w:w="1418" w:type="dxa"/>
          </w:tcPr>
          <w:p w14:paraId="422CC246" w14:textId="77777777" w:rsidR="006651F3" w:rsidRPr="001B0263" w:rsidRDefault="006651F3" w:rsidP="00E56462">
            <w:pPr>
              <w:keepNext/>
              <w:spacing w:before="40" w:after="40" w:line="259" w:lineRule="auto"/>
              <w:jc w:val="center"/>
              <w:rPr>
                <w:bCs/>
                <w:highlight w:val="yellow"/>
              </w:rPr>
            </w:pPr>
            <w:r w:rsidRPr="001B0263">
              <w:rPr>
                <w:bCs/>
              </w:rPr>
              <w:t>320</w:t>
            </w:r>
          </w:p>
        </w:tc>
        <w:tc>
          <w:tcPr>
            <w:tcW w:w="1561" w:type="dxa"/>
          </w:tcPr>
          <w:p w14:paraId="4A25BE76" w14:textId="2B49FE9F" w:rsidR="006651F3" w:rsidRPr="001B0263" w:rsidRDefault="006651F3" w:rsidP="00E56462">
            <w:pPr>
              <w:keepNext/>
              <w:spacing w:before="40" w:after="40" w:line="259" w:lineRule="auto"/>
              <w:jc w:val="center"/>
              <w:rPr>
                <w:bCs/>
              </w:rPr>
            </w:pPr>
            <w:r w:rsidRPr="001B0263">
              <w:rPr>
                <w:bCs/>
              </w:rPr>
              <w:t>94</w:t>
            </w:r>
          </w:p>
        </w:tc>
        <w:tc>
          <w:tcPr>
            <w:tcW w:w="1348" w:type="dxa"/>
            <w:gridSpan w:val="2"/>
            <w:tcBorders>
              <w:right w:val="single" w:sz="6" w:space="0" w:color="auto"/>
            </w:tcBorders>
          </w:tcPr>
          <w:p w14:paraId="25089633" w14:textId="77777777" w:rsidR="006651F3" w:rsidRPr="001B0263" w:rsidRDefault="006651F3" w:rsidP="00E56462">
            <w:pPr>
              <w:keepNext/>
              <w:spacing w:before="40" w:after="40" w:line="259" w:lineRule="auto"/>
              <w:jc w:val="center"/>
              <w:rPr>
                <w:bCs/>
              </w:rPr>
            </w:pPr>
            <w:r w:rsidRPr="001B0263">
              <w:rPr>
                <w:bCs/>
              </w:rPr>
              <w:t>127</w:t>
            </w:r>
          </w:p>
        </w:tc>
      </w:tr>
      <w:tr w:rsidR="00B15691" w:rsidRPr="001B0263" w14:paraId="7D0C0009" w14:textId="77777777" w:rsidTr="00A172F7">
        <w:trPr>
          <w:gridAfter w:val="1"/>
          <w:wAfter w:w="20" w:type="dxa"/>
          <w:trHeight w:val="754"/>
        </w:trPr>
        <w:tc>
          <w:tcPr>
            <w:tcW w:w="4671" w:type="dxa"/>
            <w:tcBorders>
              <w:left w:val="single" w:sz="6" w:space="0" w:color="auto"/>
            </w:tcBorders>
          </w:tcPr>
          <w:p w14:paraId="5074970E" w14:textId="77777777" w:rsidR="006651F3" w:rsidRPr="001B0263" w:rsidRDefault="006651F3" w:rsidP="00E56462">
            <w:pPr>
              <w:keepNext/>
              <w:spacing w:before="40" w:after="40" w:line="259" w:lineRule="auto"/>
              <w:rPr>
                <w:bCs/>
              </w:rPr>
            </w:pPr>
            <w:r w:rsidRPr="001B0263">
              <w:rPr>
                <w:bCs/>
              </w:rPr>
              <w:t xml:space="preserve">Wellbeing sessions provided </w:t>
            </w:r>
          </w:p>
          <w:p w14:paraId="23D3C16A" w14:textId="77777777" w:rsidR="006651F3" w:rsidRPr="001B0263" w:rsidRDefault="006651F3" w:rsidP="00E56462">
            <w:pPr>
              <w:keepNext/>
              <w:spacing w:before="40" w:after="40" w:line="259" w:lineRule="auto"/>
              <w:rPr>
                <w:bCs/>
              </w:rPr>
            </w:pPr>
            <w:r w:rsidRPr="001B0263">
              <w:rPr>
                <w:bCs/>
              </w:rPr>
              <w:t>(2592 Wellbeing and 240 Kaupapa Māori NGO)</w:t>
            </w:r>
          </w:p>
        </w:tc>
        <w:tc>
          <w:tcPr>
            <w:tcW w:w="1418" w:type="dxa"/>
          </w:tcPr>
          <w:p w14:paraId="2B0D2137" w14:textId="18A2A92D" w:rsidR="006651F3" w:rsidRPr="001B0263" w:rsidRDefault="006651F3" w:rsidP="00E56462">
            <w:pPr>
              <w:keepNext/>
              <w:spacing w:before="40" w:after="40" w:line="259" w:lineRule="auto"/>
              <w:jc w:val="center"/>
              <w:rPr>
                <w:bCs/>
                <w:highlight w:val="yellow"/>
              </w:rPr>
            </w:pPr>
            <w:r w:rsidRPr="001B0263">
              <w:rPr>
                <w:bCs/>
              </w:rPr>
              <w:t xml:space="preserve">2732 </w:t>
            </w:r>
          </w:p>
        </w:tc>
        <w:tc>
          <w:tcPr>
            <w:tcW w:w="1561" w:type="dxa"/>
          </w:tcPr>
          <w:p w14:paraId="31C0175E" w14:textId="39F0B997" w:rsidR="006651F3" w:rsidRPr="001B0263" w:rsidRDefault="00664521" w:rsidP="00E56462">
            <w:pPr>
              <w:pStyle w:val="Tablenormal0"/>
              <w:jc w:val="center"/>
              <w:rPr>
                <w:sz w:val="24"/>
              </w:rPr>
            </w:pPr>
            <w:r w:rsidRPr="001B0263">
              <w:rPr>
                <w:sz w:val="24"/>
              </w:rPr>
              <w:t>454</w:t>
            </w:r>
            <w:r w:rsidRPr="001B0263">
              <w:rPr>
                <w:sz w:val="24"/>
              </w:rPr>
              <w:br/>
              <w:t>(Wellbeing)</w:t>
            </w:r>
          </w:p>
        </w:tc>
        <w:tc>
          <w:tcPr>
            <w:tcW w:w="1348" w:type="dxa"/>
            <w:gridSpan w:val="2"/>
            <w:tcBorders>
              <w:right w:val="single" w:sz="6" w:space="0" w:color="auto"/>
            </w:tcBorders>
          </w:tcPr>
          <w:p w14:paraId="314D4991" w14:textId="77777777" w:rsidR="006651F3" w:rsidRPr="001B0263" w:rsidRDefault="006651F3" w:rsidP="00E56462">
            <w:pPr>
              <w:keepNext/>
              <w:spacing w:before="40" w:after="40" w:line="259" w:lineRule="auto"/>
              <w:jc w:val="center"/>
              <w:rPr>
                <w:bCs/>
                <w:highlight w:val="yellow"/>
              </w:rPr>
            </w:pPr>
            <w:r w:rsidRPr="001B0263">
              <w:rPr>
                <w:bCs/>
              </w:rPr>
              <w:t>462 (Wellbeing)</w:t>
            </w:r>
          </w:p>
        </w:tc>
      </w:tr>
      <w:tr w:rsidR="00BA39A5" w:rsidRPr="001B0263" w14:paraId="7DC1A882" w14:textId="77777777" w:rsidTr="00A172F7">
        <w:trPr>
          <w:gridAfter w:val="2"/>
          <w:wAfter w:w="28" w:type="dxa"/>
        </w:trPr>
        <w:tc>
          <w:tcPr>
            <w:tcW w:w="4671" w:type="dxa"/>
            <w:tcBorders>
              <w:left w:val="single" w:sz="6" w:space="0" w:color="auto"/>
            </w:tcBorders>
          </w:tcPr>
          <w:p w14:paraId="1DC8DD32" w14:textId="77777777" w:rsidR="00BA39A5" w:rsidRPr="001B0263" w:rsidRDefault="00BA39A5" w:rsidP="00E56462">
            <w:pPr>
              <w:keepNext/>
              <w:spacing w:before="40" w:after="40" w:line="259" w:lineRule="auto"/>
              <w:rPr>
                <w:bCs/>
              </w:rPr>
            </w:pPr>
            <w:r w:rsidRPr="001B0263">
              <w:rPr>
                <w:bCs/>
              </w:rPr>
              <w:t>Results of a Survivor Evaluation Survey (from April 2021)</w:t>
            </w:r>
          </w:p>
        </w:tc>
        <w:tc>
          <w:tcPr>
            <w:tcW w:w="1418" w:type="dxa"/>
          </w:tcPr>
          <w:p w14:paraId="3DDA7D7D" w14:textId="77777777" w:rsidR="00BA39A5" w:rsidRPr="001B0263" w:rsidRDefault="00BA39A5" w:rsidP="00E56462">
            <w:pPr>
              <w:keepNext/>
              <w:spacing w:before="40" w:after="40" w:line="259" w:lineRule="auto"/>
              <w:jc w:val="center"/>
              <w:rPr>
                <w:bCs/>
              </w:rPr>
            </w:pPr>
            <w:r w:rsidRPr="001B0263">
              <w:rPr>
                <w:bCs/>
              </w:rPr>
              <w:t>June 2021</w:t>
            </w:r>
          </w:p>
        </w:tc>
        <w:tc>
          <w:tcPr>
            <w:tcW w:w="1561" w:type="dxa"/>
            <w:shd w:val="clear" w:color="auto" w:fill="auto"/>
          </w:tcPr>
          <w:p w14:paraId="020CF257" w14:textId="77777777" w:rsidR="00BA39A5" w:rsidRPr="001B0263" w:rsidRDefault="00BA39A5" w:rsidP="00E56462">
            <w:pPr>
              <w:keepNext/>
              <w:spacing w:before="40" w:after="40" w:line="259" w:lineRule="auto"/>
              <w:jc w:val="center"/>
              <w:rPr>
                <w:bCs/>
              </w:rPr>
            </w:pPr>
            <w:r w:rsidRPr="001B0263">
              <w:rPr>
                <w:bCs/>
              </w:rPr>
              <w:t>N/A</w:t>
            </w:r>
          </w:p>
        </w:tc>
        <w:tc>
          <w:tcPr>
            <w:tcW w:w="1340" w:type="dxa"/>
            <w:tcBorders>
              <w:right w:val="single" w:sz="6" w:space="0" w:color="auto"/>
            </w:tcBorders>
          </w:tcPr>
          <w:p w14:paraId="45B9A37C" w14:textId="77777777" w:rsidR="00BA39A5" w:rsidRPr="001B0263" w:rsidRDefault="00BA39A5" w:rsidP="00E56462">
            <w:pPr>
              <w:keepNext/>
              <w:spacing w:before="40" w:after="40" w:line="259" w:lineRule="auto"/>
              <w:jc w:val="center"/>
              <w:rPr>
                <w:bCs/>
              </w:rPr>
            </w:pPr>
            <w:r w:rsidRPr="001B0263">
              <w:rPr>
                <w:bCs/>
              </w:rPr>
              <w:t>N/A</w:t>
            </w:r>
          </w:p>
        </w:tc>
      </w:tr>
      <w:tr w:rsidR="00762B70" w14:paraId="54C85593" w14:textId="77777777" w:rsidTr="00A172F7">
        <w:trPr>
          <w:trHeight w:val="1464"/>
        </w:trPr>
        <w:tc>
          <w:tcPr>
            <w:tcW w:w="9018" w:type="dxa"/>
            <w:gridSpan w:val="6"/>
            <w:tcBorders>
              <w:left w:val="single" w:sz="6" w:space="0" w:color="auto"/>
              <w:bottom w:val="single" w:sz="6" w:space="0" w:color="auto"/>
              <w:right w:val="single" w:sz="6" w:space="0" w:color="auto"/>
            </w:tcBorders>
          </w:tcPr>
          <w:p w14:paraId="68EAD757" w14:textId="35936516" w:rsidR="00091F63" w:rsidRDefault="00CD4C07" w:rsidP="00091F63">
            <w:pPr>
              <w:spacing w:before="40" w:after="0" w:line="259" w:lineRule="auto"/>
            </w:pPr>
            <w:r w:rsidRPr="001B0263">
              <w:t xml:space="preserve">Comments: </w:t>
            </w:r>
            <w:r w:rsidR="00091F63">
              <w:br/>
            </w:r>
            <w:r w:rsidRPr="001B0263">
              <w:rPr>
                <w:b/>
              </w:rPr>
              <w:t>Survivor Registrations:</w:t>
            </w:r>
            <w:r w:rsidRPr="001B0263">
              <w:rPr>
                <w:b/>
              </w:rPr>
              <w:br/>
            </w:r>
            <w:r w:rsidRPr="001B0263">
              <w:t>Survivor registrations continue to increase quarter on quarter as greater awareness is achieved through the public hearings, Maori engagement, promotional material in the targeted communities and the issuance of the interim report. Ongoing awareness campaigns will be considered and deployed during the 2021 calendar year.</w:t>
            </w:r>
            <w:r w:rsidR="00091F63">
              <w:br/>
            </w:r>
            <w:r w:rsidR="00091F63">
              <w:br/>
            </w:r>
            <w:r w:rsidRPr="001B0263">
              <w:rPr>
                <w:b/>
              </w:rPr>
              <w:t xml:space="preserve">Private Sessions </w:t>
            </w:r>
            <w:r w:rsidRPr="001B0263">
              <w:rPr>
                <w:b/>
              </w:rPr>
              <w:br/>
            </w:r>
            <w:r w:rsidRPr="001B0263">
              <w:t>Survivor private sessions held with a Commissioner are on track to achieve the minimum number o</w:t>
            </w:r>
            <w:r w:rsidR="00091F63">
              <w:t>f 320 sessions by 30 June 2021.</w:t>
            </w:r>
            <w:r w:rsidR="00091F63">
              <w:br/>
            </w:r>
            <w:r w:rsidRPr="001B0263">
              <w:br/>
            </w:r>
            <w:r w:rsidRPr="001B0263">
              <w:rPr>
                <w:b/>
              </w:rPr>
              <w:t>Wellbeing Sessions</w:t>
            </w:r>
            <w:r w:rsidRPr="001B0263">
              <w:t xml:space="preserve"> </w:t>
            </w:r>
            <w:r w:rsidRPr="001B0263">
              <w:br/>
              <w:t>Contracts with seven Kaupapa Māori NGO’s to provide well-being support were finalised in December 2020. This is alongside the current survivor wellbeing supports provided for survivors engaging with the Inquiry through registration, written accounts, witness statements, private sessions, prison sessions and public hearings. The number of wellbeing sessions are increasing as survivor/witness participat</w:t>
            </w:r>
            <w:r w:rsidR="00091F63">
              <w:t>ion increases with the Inquiry.</w:t>
            </w:r>
          </w:p>
          <w:p w14:paraId="096A799E" w14:textId="4655E97A" w:rsidR="00762B70" w:rsidRPr="001B0263" w:rsidRDefault="00CD4C07" w:rsidP="00091F63">
            <w:pPr>
              <w:spacing w:before="40" w:after="0" w:line="259" w:lineRule="auto"/>
              <w:rPr>
                <w:b/>
              </w:rPr>
            </w:pPr>
            <w:r w:rsidRPr="001B0263">
              <w:br/>
            </w:r>
            <w:r w:rsidRPr="001B0263">
              <w:rPr>
                <w:b/>
              </w:rPr>
              <w:t>Survivor Evaluation Survey</w:t>
            </w:r>
            <w:r w:rsidRPr="001B0263">
              <w:br/>
              <w:t>An evaluation survey for survivors to provide feedback on their experience and engagement has been developed in conjunction with a third-party provider, who will independently manage the survey methodology, delivery and reporting. The survey commenced with survivors on 11 January 2021 and will evaluate the survivor journey from registrations through to a private session and wellbeing support. Based on the survey findings, improvements will be made to survivor engagements pathways with the Inquiry.</w:t>
            </w:r>
          </w:p>
        </w:tc>
      </w:tr>
    </w:tbl>
    <w:bookmarkEnd w:id="2"/>
    <w:p w14:paraId="078CB231" w14:textId="16DD80F0" w:rsidR="00BE67AB" w:rsidRPr="00AF14D1" w:rsidRDefault="00664521" w:rsidP="00E56462">
      <w:pPr>
        <w:keepLines w:val="0"/>
        <w:spacing w:before="40" w:after="40"/>
        <w:rPr>
          <w:b/>
          <w:bCs/>
          <w:i/>
          <w:color w:val="1F546B" w:themeColor="text2"/>
          <w:szCs w:val="28"/>
        </w:rPr>
      </w:pPr>
      <w:r>
        <w:rPr>
          <w:b/>
          <w:bCs/>
          <w:i/>
          <w:color w:val="1F546B" w:themeColor="text2"/>
          <w:szCs w:val="28"/>
        </w:rPr>
        <w:br/>
      </w:r>
      <w:r w:rsidR="00BE67AB" w:rsidRPr="00AF14D1">
        <w:rPr>
          <w:b/>
          <w:bCs/>
          <w:i/>
          <w:color w:val="1F546B" w:themeColor="text2"/>
          <w:szCs w:val="28"/>
        </w:rPr>
        <w:t xml:space="preserve">Community and Treaty Engagement </w:t>
      </w:r>
    </w:p>
    <w:p w14:paraId="3B9CA82A" w14:textId="082EA10B" w:rsidR="00BE67AB" w:rsidRDefault="00BE67AB" w:rsidP="00BE67AB">
      <w:r>
        <w:t xml:space="preserve">Engagement with Iwi, NGOs and support/community organisations. </w:t>
      </w:r>
      <w:r w:rsidRPr="00F9049C">
        <w:t xml:space="preserve">‘Engagement’ constitutes a stakeholder activity (e.g., large or small group meetings, </w:t>
      </w:r>
      <w:r>
        <w:t>significant conversations, face-to-</w:t>
      </w:r>
      <w:r w:rsidRPr="00F9049C">
        <w:t xml:space="preserve">face or virtual meetings that </w:t>
      </w:r>
      <w:r w:rsidR="005329DD">
        <w:t>a</w:t>
      </w:r>
      <w:r w:rsidRPr="00F9049C">
        <w:t>dvisors have with an external community stakeholder (new or established).</w:t>
      </w:r>
      <w:r>
        <w:t xml:space="preserve"> </w:t>
      </w:r>
    </w:p>
    <w:p w14:paraId="03EC2D1A" w14:textId="06A336B0" w:rsidR="00BE67AB" w:rsidRDefault="00BE67AB" w:rsidP="00BE67AB">
      <w:r>
        <w:lastRenderedPageBreak/>
        <w:t xml:space="preserve">We will engage with external stakeholders </w:t>
      </w:r>
      <w:r w:rsidR="005329DD">
        <w:t>(</w:t>
      </w:r>
      <w:r>
        <w:t>with a focus on Māori, Iwi, Pacific people, Disabled and LGBTIQA+</w:t>
      </w:r>
      <w:r w:rsidR="005329DD">
        <w:t>)</w:t>
      </w:r>
      <w:r>
        <w:t xml:space="preserve"> to increase awareness of </w:t>
      </w:r>
      <w:r w:rsidR="005329DD">
        <w:t>our work and to promote engagement</w:t>
      </w:r>
      <w:r>
        <w:t xml:space="preserve"> and </w:t>
      </w:r>
      <w:r w:rsidR="005329DD">
        <w:t xml:space="preserve">the </w:t>
      </w:r>
      <w:r>
        <w:t>registration of survivors</w:t>
      </w:r>
      <w:r w:rsidR="005329DD">
        <w:t>.</w:t>
      </w:r>
    </w:p>
    <w:tbl>
      <w:tblPr>
        <w:tblStyle w:val="TableGrid"/>
        <w:tblW w:w="9067" w:type="dxa"/>
        <w:tblLook w:val="04A0" w:firstRow="1" w:lastRow="0" w:firstColumn="1" w:lastColumn="0" w:noHBand="0" w:noVBand="1"/>
      </w:tblPr>
      <w:tblGrid>
        <w:gridCol w:w="4531"/>
        <w:gridCol w:w="1701"/>
        <w:gridCol w:w="1418"/>
        <w:gridCol w:w="1417"/>
      </w:tblGrid>
      <w:tr w:rsidR="00B60791" w:rsidRPr="00D45D71" w14:paraId="701E1126" w14:textId="77777777" w:rsidTr="00A172F7">
        <w:tc>
          <w:tcPr>
            <w:tcW w:w="4531" w:type="dxa"/>
            <w:tcBorders>
              <w:top w:val="single" w:sz="6" w:space="0" w:color="auto"/>
              <w:left w:val="single" w:sz="6" w:space="0" w:color="auto"/>
            </w:tcBorders>
            <w:shd w:val="clear" w:color="auto" w:fill="92CC63" w:themeFill="accent4" w:themeFillTint="99"/>
          </w:tcPr>
          <w:p w14:paraId="168AE9C2" w14:textId="77777777" w:rsidR="00B60791" w:rsidRPr="001B0263" w:rsidRDefault="00B60791" w:rsidP="00E56462">
            <w:pPr>
              <w:keepNext/>
              <w:spacing w:before="40" w:after="40" w:line="259" w:lineRule="auto"/>
              <w:rPr>
                <w:bCs/>
              </w:rPr>
            </w:pPr>
            <w:r w:rsidRPr="001B0263">
              <w:rPr>
                <w:b/>
                <w:bCs/>
              </w:rPr>
              <w:t xml:space="preserve">How we will monitor our performance </w:t>
            </w:r>
            <w:r w:rsidRPr="001B0263">
              <w:rPr>
                <w:b/>
                <w:bCs/>
              </w:rPr>
              <w:tab/>
            </w:r>
          </w:p>
        </w:tc>
        <w:tc>
          <w:tcPr>
            <w:tcW w:w="1701" w:type="dxa"/>
            <w:tcBorders>
              <w:top w:val="single" w:sz="6" w:space="0" w:color="auto"/>
            </w:tcBorders>
            <w:shd w:val="clear" w:color="auto" w:fill="92CC63" w:themeFill="accent4" w:themeFillTint="99"/>
          </w:tcPr>
          <w:p w14:paraId="6A366A80" w14:textId="77777777" w:rsidR="00B60791" w:rsidRPr="001B0263" w:rsidRDefault="00B60791" w:rsidP="00E56462">
            <w:pPr>
              <w:keepNext/>
              <w:spacing w:before="40" w:after="40" w:line="259" w:lineRule="auto"/>
              <w:rPr>
                <w:bCs/>
              </w:rPr>
            </w:pPr>
            <w:r w:rsidRPr="001B0263">
              <w:rPr>
                <w:b/>
                <w:bCs/>
              </w:rPr>
              <w:t>Target 20/21</w:t>
            </w:r>
          </w:p>
        </w:tc>
        <w:tc>
          <w:tcPr>
            <w:tcW w:w="1418" w:type="dxa"/>
            <w:tcBorders>
              <w:top w:val="single" w:sz="6" w:space="0" w:color="auto"/>
            </w:tcBorders>
            <w:shd w:val="clear" w:color="auto" w:fill="92CC63" w:themeFill="accent4" w:themeFillTint="99"/>
          </w:tcPr>
          <w:p w14:paraId="44A0A517" w14:textId="7B9ADACD" w:rsidR="00B60791" w:rsidRPr="001B0263" w:rsidRDefault="000C2E09" w:rsidP="00E56462">
            <w:pPr>
              <w:keepNext/>
              <w:spacing w:before="40" w:after="40" w:line="259" w:lineRule="auto"/>
              <w:rPr>
                <w:b/>
                <w:bCs/>
              </w:rPr>
            </w:pPr>
            <w:r w:rsidRPr="001B0263">
              <w:rPr>
                <w:b/>
                <w:bCs/>
              </w:rPr>
              <w:t xml:space="preserve">Oct-Dec 20 </w:t>
            </w:r>
          </w:p>
        </w:tc>
        <w:tc>
          <w:tcPr>
            <w:tcW w:w="1417" w:type="dxa"/>
            <w:tcBorders>
              <w:top w:val="single" w:sz="6" w:space="0" w:color="auto"/>
              <w:right w:val="single" w:sz="6" w:space="0" w:color="auto"/>
            </w:tcBorders>
            <w:shd w:val="clear" w:color="auto" w:fill="92CC63" w:themeFill="accent4" w:themeFillTint="99"/>
          </w:tcPr>
          <w:p w14:paraId="61EA2F1B" w14:textId="235A16AB" w:rsidR="00B60791" w:rsidRPr="001B0263" w:rsidRDefault="000C2E09" w:rsidP="00E56462">
            <w:pPr>
              <w:keepNext/>
              <w:spacing w:before="40" w:after="40" w:line="259" w:lineRule="auto"/>
              <w:rPr>
                <w:bCs/>
              </w:rPr>
            </w:pPr>
            <w:r w:rsidRPr="001B0263">
              <w:rPr>
                <w:b/>
                <w:bCs/>
              </w:rPr>
              <w:t>July-Sept 20</w:t>
            </w:r>
          </w:p>
        </w:tc>
      </w:tr>
      <w:tr w:rsidR="00B60791" w:rsidRPr="00D45D71" w14:paraId="5074D54B" w14:textId="77777777" w:rsidTr="00A172F7">
        <w:tc>
          <w:tcPr>
            <w:tcW w:w="4531" w:type="dxa"/>
            <w:tcBorders>
              <w:left w:val="single" w:sz="6" w:space="0" w:color="auto"/>
            </w:tcBorders>
          </w:tcPr>
          <w:p w14:paraId="4C84BFB0" w14:textId="77777777" w:rsidR="00B60791" w:rsidRPr="001B0263" w:rsidRDefault="00B60791" w:rsidP="00E56462">
            <w:pPr>
              <w:keepNext/>
              <w:spacing w:before="40" w:after="40" w:line="259" w:lineRule="auto"/>
              <w:rPr>
                <w:bCs/>
              </w:rPr>
            </w:pPr>
            <w:r w:rsidRPr="001B0263">
              <w:rPr>
                <w:bCs/>
              </w:rPr>
              <w:t>Community engagements</w:t>
            </w:r>
          </w:p>
        </w:tc>
        <w:tc>
          <w:tcPr>
            <w:tcW w:w="1701" w:type="dxa"/>
          </w:tcPr>
          <w:p w14:paraId="1BBA9789" w14:textId="77777777" w:rsidR="00B60791" w:rsidRPr="001B0263" w:rsidRDefault="00B60791" w:rsidP="00E56462">
            <w:pPr>
              <w:keepNext/>
              <w:spacing w:before="40" w:after="40" w:line="259" w:lineRule="auto"/>
              <w:rPr>
                <w:bCs/>
              </w:rPr>
            </w:pPr>
            <w:r w:rsidRPr="001B0263">
              <w:rPr>
                <w:bCs/>
              </w:rPr>
              <w:t>120 per month</w:t>
            </w:r>
          </w:p>
        </w:tc>
        <w:tc>
          <w:tcPr>
            <w:tcW w:w="1418" w:type="dxa"/>
          </w:tcPr>
          <w:p w14:paraId="60541904" w14:textId="77777777" w:rsidR="00B60791" w:rsidRPr="001B0263" w:rsidRDefault="00BA39A5" w:rsidP="00E56462">
            <w:pPr>
              <w:keepNext/>
              <w:spacing w:before="40" w:after="40" w:line="259" w:lineRule="auto"/>
              <w:jc w:val="center"/>
              <w:rPr>
                <w:bCs/>
              </w:rPr>
            </w:pPr>
            <w:r w:rsidRPr="001B0263">
              <w:rPr>
                <w:bCs/>
              </w:rPr>
              <w:t>466</w:t>
            </w:r>
          </w:p>
        </w:tc>
        <w:tc>
          <w:tcPr>
            <w:tcW w:w="1417" w:type="dxa"/>
            <w:tcBorders>
              <w:right w:val="single" w:sz="6" w:space="0" w:color="auto"/>
            </w:tcBorders>
          </w:tcPr>
          <w:p w14:paraId="15509BC7" w14:textId="77777777" w:rsidR="00B60791" w:rsidRPr="001B0263" w:rsidRDefault="00B60791" w:rsidP="00E56462">
            <w:pPr>
              <w:keepNext/>
              <w:spacing w:before="40" w:after="40" w:line="259" w:lineRule="auto"/>
              <w:jc w:val="center"/>
              <w:rPr>
                <w:bCs/>
              </w:rPr>
            </w:pPr>
            <w:r w:rsidRPr="001B0263">
              <w:rPr>
                <w:bCs/>
              </w:rPr>
              <w:t>292</w:t>
            </w:r>
          </w:p>
        </w:tc>
      </w:tr>
      <w:tr w:rsidR="00B60791" w:rsidRPr="00D45D71" w14:paraId="43776FBB" w14:textId="77777777" w:rsidTr="00A172F7">
        <w:tc>
          <w:tcPr>
            <w:tcW w:w="4531" w:type="dxa"/>
            <w:tcBorders>
              <w:left w:val="single" w:sz="6" w:space="0" w:color="auto"/>
            </w:tcBorders>
          </w:tcPr>
          <w:p w14:paraId="2D277A56" w14:textId="77777777" w:rsidR="00B60791" w:rsidRPr="001B0263" w:rsidRDefault="00B60791" w:rsidP="00E56462">
            <w:pPr>
              <w:keepNext/>
              <w:spacing w:before="40" w:after="40" w:line="259" w:lineRule="auto"/>
              <w:rPr>
                <w:bCs/>
              </w:rPr>
            </w:pPr>
            <w:r w:rsidRPr="001B0263">
              <w:rPr>
                <w:bCs/>
              </w:rPr>
              <w:t xml:space="preserve">Treaty engagements                                                                                     </w:t>
            </w:r>
          </w:p>
        </w:tc>
        <w:tc>
          <w:tcPr>
            <w:tcW w:w="1701" w:type="dxa"/>
          </w:tcPr>
          <w:p w14:paraId="5E8CF1C8" w14:textId="77777777" w:rsidR="00B60791" w:rsidRPr="001B0263" w:rsidRDefault="00B60791" w:rsidP="00E56462">
            <w:pPr>
              <w:keepNext/>
              <w:spacing w:before="40" w:after="40" w:line="259" w:lineRule="auto"/>
              <w:rPr>
                <w:bCs/>
              </w:rPr>
            </w:pPr>
            <w:r w:rsidRPr="001B0263">
              <w:rPr>
                <w:bCs/>
              </w:rPr>
              <w:t xml:space="preserve">5 iwi and 10 survivors per month </w:t>
            </w:r>
          </w:p>
        </w:tc>
        <w:tc>
          <w:tcPr>
            <w:tcW w:w="1418" w:type="dxa"/>
          </w:tcPr>
          <w:p w14:paraId="60247CDE" w14:textId="39B78B31" w:rsidR="00B60791" w:rsidRPr="001B0263" w:rsidRDefault="00494AE9" w:rsidP="00E56462">
            <w:pPr>
              <w:keepNext/>
              <w:spacing w:before="40" w:after="40" w:line="259" w:lineRule="auto"/>
              <w:jc w:val="center"/>
              <w:rPr>
                <w:bCs/>
                <w:highlight w:val="yellow"/>
              </w:rPr>
            </w:pPr>
            <w:r w:rsidRPr="001B0263">
              <w:rPr>
                <w:bCs/>
              </w:rPr>
              <w:t>86</w:t>
            </w:r>
          </w:p>
        </w:tc>
        <w:tc>
          <w:tcPr>
            <w:tcW w:w="1417" w:type="dxa"/>
            <w:tcBorders>
              <w:right w:val="single" w:sz="6" w:space="0" w:color="auto"/>
            </w:tcBorders>
          </w:tcPr>
          <w:p w14:paraId="72D72A1C" w14:textId="77777777" w:rsidR="00B60791" w:rsidRPr="001B0263" w:rsidRDefault="00B60791" w:rsidP="00E56462">
            <w:pPr>
              <w:keepNext/>
              <w:spacing w:before="40" w:after="40" w:line="259" w:lineRule="auto"/>
              <w:jc w:val="center"/>
              <w:rPr>
                <w:bCs/>
                <w:highlight w:val="yellow"/>
              </w:rPr>
            </w:pPr>
            <w:r w:rsidRPr="001B0263">
              <w:rPr>
                <w:bCs/>
              </w:rPr>
              <w:t>53</w:t>
            </w:r>
          </w:p>
        </w:tc>
      </w:tr>
      <w:tr w:rsidR="00B60791" w14:paraId="7E1F06E5" w14:textId="77777777" w:rsidTr="00A172F7">
        <w:trPr>
          <w:trHeight w:val="1503"/>
        </w:trPr>
        <w:tc>
          <w:tcPr>
            <w:tcW w:w="9067" w:type="dxa"/>
            <w:gridSpan w:val="4"/>
            <w:tcBorders>
              <w:left w:val="single" w:sz="6" w:space="0" w:color="auto"/>
              <w:bottom w:val="single" w:sz="6" w:space="0" w:color="auto"/>
              <w:right w:val="single" w:sz="6" w:space="0" w:color="auto"/>
            </w:tcBorders>
          </w:tcPr>
          <w:p w14:paraId="580620A4" w14:textId="117A1343" w:rsidR="00B60791" w:rsidRPr="001B0263" w:rsidRDefault="00B60791" w:rsidP="00E56462">
            <w:pPr>
              <w:spacing w:before="40" w:after="40" w:line="259" w:lineRule="auto"/>
            </w:pPr>
            <w:r w:rsidRPr="001B0263">
              <w:t xml:space="preserve">Comments: </w:t>
            </w:r>
            <w:r w:rsidR="001373C5" w:rsidRPr="001B0263">
              <w:t xml:space="preserve">The number of Community engagements for December was 108, which is lower than the monthly target, due to the public hearing and the shorter month. </w:t>
            </w:r>
            <w:r w:rsidR="00494AE9" w:rsidRPr="001B0263">
              <w:t xml:space="preserve">The breakdown of </w:t>
            </w:r>
            <w:r w:rsidRPr="001B0263">
              <w:t>Treaty engagements</w:t>
            </w:r>
            <w:r w:rsidR="00494AE9" w:rsidRPr="001B0263">
              <w:t xml:space="preserve"> for the quarter is as follows: </w:t>
            </w:r>
            <w:r w:rsidRPr="001B0263">
              <w:t xml:space="preserve"> </w:t>
            </w:r>
            <w:r w:rsidR="00494AE9" w:rsidRPr="001B0263">
              <w:t>5 with iwi/Māori and 16 survivors in December</w:t>
            </w:r>
            <w:r w:rsidR="00EB0C9E" w:rsidRPr="001B0263">
              <w:t>;</w:t>
            </w:r>
            <w:r w:rsidR="00494AE9" w:rsidRPr="001B0263">
              <w:t xml:space="preserve"> 8 with </w:t>
            </w:r>
            <w:r w:rsidRPr="001B0263">
              <w:t xml:space="preserve">iwi/Māori entities and </w:t>
            </w:r>
            <w:r w:rsidR="00494AE9" w:rsidRPr="001B0263">
              <w:t>36</w:t>
            </w:r>
            <w:r w:rsidRPr="001B0263">
              <w:t xml:space="preserve"> with survivors in </w:t>
            </w:r>
            <w:r w:rsidR="00EB0C9E" w:rsidRPr="001B0263">
              <w:t xml:space="preserve">November; </w:t>
            </w:r>
            <w:r w:rsidR="00494AE9" w:rsidRPr="001B0263">
              <w:t>and</w:t>
            </w:r>
            <w:r w:rsidRPr="001B0263">
              <w:t xml:space="preserve"> 6 with iwi and </w:t>
            </w:r>
            <w:r w:rsidR="00494AE9" w:rsidRPr="001B0263">
              <w:t xml:space="preserve">15 </w:t>
            </w:r>
            <w:r w:rsidRPr="001B0263">
              <w:t xml:space="preserve">with survivors in </w:t>
            </w:r>
            <w:r w:rsidR="00494AE9" w:rsidRPr="001B0263">
              <w:t>October.</w:t>
            </w:r>
          </w:p>
        </w:tc>
      </w:tr>
    </w:tbl>
    <w:p w14:paraId="07587ECC" w14:textId="77777777" w:rsidR="00BE67AB" w:rsidRDefault="00BE67AB" w:rsidP="00BE67AB">
      <w:pPr>
        <w:keepLines w:val="0"/>
        <w:rPr>
          <w:rFonts w:cs="Arial"/>
          <w:b/>
          <w:bCs/>
          <w:iCs/>
          <w:color w:val="1F546B"/>
          <w:sz w:val="36"/>
          <w:szCs w:val="28"/>
        </w:rPr>
      </w:pPr>
      <w:bookmarkStart w:id="3" w:name="_Toc47682412"/>
      <w:bookmarkStart w:id="4" w:name="_Toc54193236"/>
    </w:p>
    <w:p w14:paraId="69051878" w14:textId="77777777" w:rsidR="00BE67AB" w:rsidRDefault="00BE67AB" w:rsidP="00BE67AB">
      <w:pPr>
        <w:keepLines w:val="0"/>
        <w:rPr>
          <w:rFonts w:cs="Arial"/>
          <w:b/>
          <w:bCs/>
          <w:iCs/>
          <w:color w:val="1F546B"/>
          <w:sz w:val="36"/>
          <w:szCs w:val="28"/>
        </w:rPr>
      </w:pPr>
      <w:r>
        <w:rPr>
          <w:rFonts w:cs="Arial"/>
          <w:b/>
          <w:bCs/>
          <w:iCs/>
          <w:color w:val="1F546B"/>
          <w:sz w:val="36"/>
          <w:szCs w:val="28"/>
        </w:rPr>
        <w:br w:type="page"/>
      </w:r>
    </w:p>
    <w:p w14:paraId="0388B4ED" w14:textId="77777777" w:rsidR="00BE67AB" w:rsidRDefault="00BE67AB" w:rsidP="00BE67AB">
      <w:pPr>
        <w:pStyle w:val="Heading2"/>
      </w:pPr>
      <w:r>
        <w:lastRenderedPageBreak/>
        <w:t>Organisational Health and Capability</w:t>
      </w:r>
      <w:bookmarkEnd w:id="3"/>
      <w:bookmarkEnd w:id="4"/>
    </w:p>
    <w:p w14:paraId="2E9188D8" w14:textId="77777777" w:rsidR="00BE67AB" w:rsidRPr="00476FCA" w:rsidRDefault="00BE67AB" w:rsidP="00BE67AB">
      <w:r>
        <w:t xml:space="preserve">While the Department is the substantive employer of Royal Commission staff, the Royal Commission is independent.  </w:t>
      </w:r>
      <w:r w:rsidRPr="00294EA8">
        <w:t>These measures are designed to provide reassurance to the Minister that the Royal Commission is functioning well as an entity.</w:t>
      </w:r>
      <w:bookmarkStart w:id="5" w:name="_Hlk46816323"/>
    </w:p>
    <w:p w14:paraId="203B8868" w14:textId="77777777" w:rsidR="00BE67AB" w:rsidRDefault="00BE67AB" w:rsidP="00BE67AB">
      <w:pPr>
        <w:pStyle w:val="Heading4"/>
      </w:pPr>
      <w:bookmarkStart w:id="6" w:name="_Hlk54944784"/>
      <w:r>
        <w:t xml:space="preserve">Human resources </w:t>
      </w:r>
    </w:p>
    <w:p w14:paraId="26ECD1A1" w14:textId="77777777" w:rsidR="00BE67AB" w:rsidRPr="004C7CAE" w:rsidRDefault="00BE67AB" w:rsidP="00BE67AB">
      <w:r>
        <w:t xml:space="preserve">We will monitor FTEs recruited against our annual resource plan. </w:t>
      </w:r>
      <w:r w:rsidRPr="004C7CAE">
        <w:rPr>
          <w:iCs/>
        </w:rPr>
        <w:t>The R</w:t>
      </w:r>
      <w:r>
        <w:rPr>
          <w:iCs/>
        </w:rPr>
        <w:t>oyal Commission’s</w:t>
      </w:r>
      <w:r w:rsidRPr="004C7CAE">
        <w:rPr>
          <w:iCs/>
        </w:rPr>
        <w:t xml:space="preserve"> resource plan is based on each business unit having completed a comprehensive people planning and financial modelling process</w:t>
      </w:r>
      <w:r>
        <w:rPr>
          <w:iCs/>
        </w:rPr>
        <w:t>.</w:t>
      </w:r>
      <w:r w:rsidRPr="004C7CAE">
        <w:rPr>
          <w:i/>
          <w:iCs/>
        </w:rPr>
        <w:t xml:space="preserve"> </w:t>
      </w:r>
      <w:r w:rsidRPr="004C7CAE">
        <w:t xml:space="preserve">The resource plan </w:t>
      </w:r>
      <w:r>
        <w:t xml:space="preserve">for 2020/21 </w:t>
      </w:r>
      <w:r w:rsidRPr="004C7CAE">
        <w:t xml:space="preserve">shows </w:t>
      </w:r>
      <w:r>
        <w:t xml:space="preserve">the overall </w:t>
      </w:r>
      <w:r w:rsidRPr="004C7CAE">
        <w:t>FTE numbers and the resource mix that the Royal Commission is aiming</w:t>
      </w:r>
      <w:r>
        <w:t xml:space="preserve"> to have in place by 30 June 2021.</w:t>
      </w:r>
    </w:p>
    <w:tbl>
      <w:tblPr>
        <w:tblStyle w:val="TableGrid"/>
        <w:tblW w:w="8784" w:type="dxa"/>
        <w:tblLook w:val="04A0" w:firstRow="1" w:lastRow="0" w:firstColumn="1" w:lastColumn="0" w:noHBand="0" w:noVBand="1"/>
      </w:tblPr>
      <w:tblGrid>
        <w:gridCol w:w="3256"/>
        <w:gridCol w:w="1701"/>
        <w:gridCol w:w="1842"/>
        <w:gridCol w:w="1985"/>
      </w:tblGrid>
      <w:tr w:rsidR="001373C5" w:rsidRPr="00D45D71" w14:paraId="2B443A6B" w14:textId="77777777" w:rsidTr="00A172F7">
        <w:tc>
          <w:tcPr>
            <w:tcW w:w="3256" w:type="dxa"/>
            <w:tcBorders>
              <w:top w:val="single" w:sz="6" w:space="0" w:color="auto"/>
              <w:left w:val="single" w:sz="6" w:space="0" w:color="auto"/>
            </w:tcBorders>
            <w:shd w:val="clear" w:color="auto" w:fill="92CC63" w:themeFill="accent4" w:themeFillTint="99"/>
          </w:tcPr>
          <w:p w14:paraId="6632CAC7" w14:textId="77777777" w:rsidR="001373C5" w:rsidRPr="001B0263" w:rsidRDefault="001373C5" w:rsidP="00C2531D">
            <w:pPr>
              <w:keepNext/>
              <w:spacing w:before="40" w:after="40" w:line="259" w:lineRule="auto"/>
              <w:rPr>
                <w:bCs/>
              </w:rPr>
            </w:pPr>
            <w:r w:rsidRPr="001B0263">
              <w:rPr>
                <w:b/>
                <w:bCs/>
              </w:rPr>
              <w:t xml:space="preserve">How we will monitor our performance </w:t>
            </w:r>
            <w:r w:rsidRPr="001B0263">
              <w:rPr>
                <w:b/>
                <w:bCs/>
              </w:rPr>
              <w:tab/>
            </w:r>
          </w:p>
        </w:tc>
        <w:tc>
          <w:tcPr>
            <w:tcW w:w="1701" w:type="dxa"/>
            <w:tcBorders>
              <w:top w:val="single" w:sz="6" w:space="0" w:color="auto"/>
            </w:tcBorders>
            <w:shd w:val="clear" w:color="auto" w:fill="92CC63" w:themeFill="accent4" w:themeFillTint="99"/>
          </w:tcPr>
          <w:p w14:paraId="459A2476" w14:textId="77777777" w:rsidR="001373C5" w:rsidRPr="001B0263" w:rsidRDefault="001373C5" w:rsidP="00C2531D">
            <w:pPr>
              <w:keepNext/>
              <w:spacing w:before="40" w:after="40" w:line="259" w:lineRule="auto"/>
              <w:rPr>
                <w:b/>
                <w:bCs/>
              </w:rPr>
            </w:pPr>
            <w:r w:rsidRPr="001B0263">
              <w:rPr>
                <w:b/>
                <w:bCs/>
              </w:rPr>
              <w:t>Target 20/21</w:t>
            </w:r>
            <w:r w:rsidRPr="001B0263">
              <w:rPr>
                <w:b/>
                <w:bCs/>
              </w:rPr>
              <w:br/>
            </w:r>
          </w:p>
          <w:p w14:paraId="4575997C" w14:textId="77777777" w:rsidR="001373C5" w:rsidRPr="001B0263" w:rsidRDefault="001373C5" w:rsidP="00C2531D">
            <w:pPr>
              <w:keepNext/>
              <w:spacing w:before="40" w:after="40" w:line="259" w:lineRule="auto"/>
              <w:rPr>
                <w:bCs/>
              </w:rPr>
            </w:pPr>
          </w:p>
        </w:tc>
        <w:tc>
          <w:tcPr>
            <w:tcW w:w="1842" w:type="dxa"/>
            <w:tcBorders>
              <w:top w:val="single" w:sz="6" w:space="0" w:color="auto"/>
            </w:tcBorders>
            <w:shd w:val="clear" w:color="auto" w:fill="92CC63" w:themeFill="accent4" w:themeFillTint="99"/>
          </w:tcPr>
          <w:p w14:paraId="4B8E02FD" w14:textId="4E3115B1" w:rsidR="001373C5" w:rsidRPr="001B0263" w:rsidRDefault="001373C5" w:rsidP="00C2531D">
            <w:pPr>
              <w:keepNext/>
              <w:spacing w:before="40" w:after="40" w:line="259" w:lineRule="auto"/>
              <w:rPr>
                <w:b/>
                <w:bCs/>
              </w:rPr>
            </w:pPr>
            <w:r w:rsidRPr="001B0263">
              <w:rPr>
                <w:b/>
                <w:bCs/>
              </w:rPr>
              <w:t>FTE’s (actual) as at 31 Dec 20</w:t>
            </w:r>
          </w:p>
        </w:tc>
        <w:tc>
          <w:tcPr>
            <w:tcW w:w="1985" w:type="dxa"/>
            <w:tcBorders>
              <w:top w:val="single" w:sz="6" w:space="0" w:color="auto"/>
              <w:right w:val="single" w:sz="6" w:space="0" w:color="auto"/>
            </w:tcBorders>
            <w:shd w:val="clear" w:color="auto" w:fill="92CC63" w:themeFill="accent4" w:themeFillTint="99"/>
          </w:tcPr>
          <w:p w14:paraId="22156EB1" w14:textId="10E8156A" w:rsidR="001373C5" w:rsidRPr="001B0263" w:rsidRDefault="001373C5" w:rsidP="00C2531D">
            <w:pPr>
              <w:keepNext/>
              <w:spacing w:before="40" w:after="40" w:line="259" w:lineRule="auto"/>
              <w:jc w:val="center"/>
              <w:rPr>
                <w:bCs/>
              </w:rPr>
            </w:pPr>
            <w:r w:rsidRPr="001B0263">
              <w:rPr>
                <w:b/>
                <w:bCs/>
              </w:rPr>
              <w:t xml:space="preserve">FTE’s (actual) as at 30 Sept 20 </w:t>
            </w:r>
          </w:p>
        </w:tc>
      </w:tr>
      <w:tr w:rsidR="001373C5" w:rsidRPr="00D45D71" w14:paraId="15D3DAFE" w14:textId="77777777" w:rsidTr="00A172F7">
        <w:tc>
          <w:tcPr>
            <w:tcW w:w="3256" w:type="dxa"/>
            <w:tcBorders>
              <w:left w:val="single" w:sz="6" w:space="0" w:color="auto"/>
            </w:tcBorders>
          </w:tcPr>
          <w:p w14:paraId="7381E499" w14:textId="77777777" w:rsidR="001373C5" w:rsidRPr="001B0263" w:rsidRDefault="001373C5" w:rsidP="00C2531D">
            <w:pPr>
              <w:keepNext/>
              <w:spacing w:before="40" w:after="40" w:line="259" w:lineRule="auto"/>
              <w:rPr>
                <w:bCs/>
              </w:rPr>
            </w:pPr>
            <w:r w:rsidRPr="001B0263">
              <w:rPr>
                <w:bCs/>
              </w:rPr>
              <w:t xml:space="preserve">2020/21 Resource Plan  </w:t>
            </w:r>
          </w:p>
        </w:tc>
        <w:tc>
          <w:tcPr>
            <w:tcW w:w="1701" w:type="dxa"/>
          </w:tcPr>
          <w:p w14:paraId="592BB798" w14:textId="77777777" w:rsidR="001373C5" w:rsidRPr="001B0263" w:rsidRDefault="001373C5" w:rsidP="00C2531D">
            <w:pPr>
              <w:keepNext/>
              <w:spacing w:before="40" w:after="40" w:line="259" w:lineRule="auto"/>
              <w:rPr>
                <w:bCs/>
              </w:rPr>
            </w:pPr>
            <w:r w:rsidRPr="001B0263">
              <w:rPr>
                <w:bCs/>
              </w:rPr>
              <w:t>244*</w:t>
            </w:r>
          </w:p>
        </w:tc>
        <w:tc>
          <w:tcPr>
            <w:tcW w:w="1842" w:type="dxa"/>
          </w:tcPr>
          <w:p w14:paraId="7D2F1F5A" w14:textId="3EBFD511" w:rsidR="001373C5" w:rsidRPr="001B0263" w:rsidRDefault="001373C5" w:rsidP="00C2531D">
            <w:pPr>
              <w:keepNext/>
              <w:spacing w:before="40" w:after="40" w:line="259" w:lineRule="auto"/>
              <w:jc w:val="center"/>
              <w:rPr>
                <w:bCs/>
              </w:rPr>
            </w:pPr>
            <w:r w:rsidRPr="001B0263">
              <w:t>177.3</w:t>
            </w:r>
          </w:p>
        </w:tc>
        <w:tc>
          <w:tcPr>
            <w:tcW w:w="1985" w:type="dxa"/>
            <w:tcBorders>
              <w:right w:val="single" w:sz="6" w:space="0" w:color="auto"/>
            </w:tcBorders>
          </w:tcPr>
          <w:p w14:paraId="13D2B76F" w14:textId="328A338A" w:rsidR="001373C5" w:rsidRPr="001B0263" w:rsidRDefault="001373C5" w:rsidP="00C2531D">
            <w:pPr>
              <w:keepNext/>
              <w:spacing w:before="40" w:after="40" w:line="259" w:lineRule="auto"/>
              <w:jc w:val="center"/>
              <w:rPr>
                <w:bCs/>
              </w:rPr>
            </w:pPr>
            <w:r w:rsidRPr="001B0263">
              <w:rPr>
                <w:bCs/>
              </w:rPr>
              <w:t>141.3</w:t>
            </w:r>
          </w:p>
        </w:tc>
      </w:tr>
      <w:tr w:rsidR="001373C5" w:rsidRPr="00D45D71" w14:paraId="39A617F6" w14:textId="77777777" w:rsidTr="00A172F7">
        <w:tc>
          <w:tcPr>
            <w:tcW w:w="8784" w:type="dxa"/>
            <w:gridSpan w:val="4"/>
            <w:tcBorders>
              <w:left w:val="single" w:sz="6" w:space="0" w:color="auto"/>
              <w:bottom w:val="single" w:sz="6" w:space="0" w:color="auto"/>
              <w:right w:val="single" w:sz="6" w:space="0" w:color="auto"/>
            </w:tcBorders>
          </w:tcPr>
          <w:p w14:paraId="7B85088E" w14:textId="2EE88C37" w:rsidR="001373C5" w:rsidRPr="001B0263" w:rsidRDefault="001373C5" w:rsidP="00C2531D">
            <w:pPr>
              <w:keepNext/>
              <w:spacing w:before="40" w:after="40" w:line="259" w:lineRule="auto"/>
              <w:rPr>
                <w:bCs/>
              </w:rPr>
            </w:pPr>
            <w:r w:rsidRPr="001B0263">
              <w:t xml:space="preserve">Comments: We are on track to achieve the overall resource plan target by June 2021, 36 people started in this quarter, with a further 13 commencing (thus far) in the next quarter. </w:t>
            </w:r>
            <w:r w:rsidR="00440071" w:rsidRPr="001B0263">
              <w:t>-</w:t>
            </w:r>
          </w:p>
        </w:tc>
      </w:tr>
      <w:tr w:rsidR="001373C5" w:rsidRPr="00D45D71" w14:paraId="68D98B1D" w14:textId="77777777" w:rsidTr="00A172F7">
        <w:tc>
          <w:tcPr>
            <w:tcW w:w="8784" w:type="dxa"/>
            <w:gridSpan w:val="4"/>
            <w:tcBorders>
              <w:top w:val="single" w:sz="6" w:space="0" w:color="auto"/>
              <w:left w:val="nil"/>
              <w:bottom w:val="nil"/>
              <w:right w:val="nil"/>
            </w:tcBorders>
          </w:tcPr>
          <w:p w14:paraId="33F21342" w14:textId="77777777" w:rsidR="001373C5" w:rsidRDefault="001373C5" w:rsidP="001373C5">
            <w:pPr>
              <w:keepNext/>
              <w:spacing w:before="60" w:after="32" w:line="259" w:lineRule="auto"/>
              <w:rPr>
                <w:bCs/>
                <w:sz w:val="22"/>
                <w:szCs w:val="22"/>
              </w:rPr>
            </w:pPr>
            <w:r>
              <w:rPr>
                <w:sz w:val="18"/>
                <w:szCs w:val="18"/>
              </w:rPr>
              <w:t xml:space="preserve">* </w:t>
            </w:r>
            <w:r w:rsidRPr="00200A79">
              <w:rPr>
                <w:sz w:val="18"/>
                <w:szCs w:val="18"/>
              </w:rPr>
              <w:t>Expected number of FTE’s in place by 30 June 2021</w:t>
            </w:r>
          </w:p>
        </w:tc>
      </w:tr>
    </w:tbl>
    <w:p w14:paraId="7CBAC3F4" w14:textId="562D87CF" w:rsidR="00BE67AB" w:rsidRDefault="00BE67AB" w:rsidP="00BE67AB">
      <w:pPr>
        <w:pStyle w:val="Heading4"/>
      </w:pPr>
      <w:bookmarkStart w:id="7" w:name="_Hlk46816182"/>
      <w:bookmarkEnd w:id="6"/>
      <w:r w:rsidRPr="0029224C">
        <w:t>Records</w:t>
      </w:r>
      <w:r>
        <w:t xml:space="preserve">  </w:t>
      </w:r>
      <w:bookmarkEnd w:id="5"/>
      <w:bookmarkEnd w:id="7"/>
    </w:p>
    <w:p w14:paraId="23FC617A" w14:textId="77777777" w:rsidR="00BE67AB" w:rsidRDefault="00BE67AB" w:rsidP="00BE67AB">
      <w:r>
        <w:t>As a</w:t>
      </w:r>
      <w:r w:rsidRPr="001C58C1">
        <w:t xml:space="preserve"> public office under the Public R</w:t>
      </w:r>
      <w:r>
        <w:t>ecords Act 2005, t</w:t>
      </w:r>
      <w:r w:rsidRPr="001C58C1">
        <w:t>he Ro</w:t>
      </w:r>
      <w:r>
        <w:t>yal</w:t>
      </w:r>
      <w:r w:rsidRPr="001C58C1">
        <w:t xml:space="preserve"> Commission </w:t>
      </w:r>
      <w:r>
        <w:t xml:space="preserve">must take reasonable steps to ensure its records are kept and transferred in an efficient and timely manner from the Royal Commission to the Department at the conclusion of the Inquiry. </w:t>
      </w:r>
    </w:p>
    <w:p w14:paraId="24344649" w14:textId="77777777" w:rsidR="00BE67AB" w:rsidRDefault="00BE67AB" w:rsidP="00BE67AB">
      <w:r>
        <w:t>This includes providing suitable documentation to accompany these records at transfer to ensure that the Department can comply with its obligations under the Official Information Act 1982 and the Public Records Act 2005 once the Royal Commission is closed.</w:t>
      </w:r>
    </w:p>
    <w:tbl>
      <w:tblPr>
        <w:tblStyle w:val="DIATable"/>
        <w:tblW w:w="880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14"/>
        <w:gridCol w:w="1418"/>
        <w:gridCol w:w="1276"/>
      </w:tblGrid>
      <w:tr w:rsidR="00BE67AB" w:rsidRPr="00C4201F" w14:paraId="7A682FA9" w14:textId="77777777" w:rsidTr="00A172F7">
        <w:trPr>
          <w:cnfStyle w:val="100000000000" w:firstRow="1" w:lastRow="0" w:firstColumn="0" w:lastColumn="0" w:oddVBand="0" w:evenVBand="0" w:oddHBand="0" w:evenHBand="0" w:firstRowFirstColumn="0" w:firstRowLastColumn="0" w:lastRowFirstColumn="0" w:lastRowLastColumn="0"/>
        </w:trPr>
        <w:tc>
          <w:tcPr>
            <w:tcW w:w="6114" w:type="dxa"/>
            <w:tcBorders>
              <w:top w:val="single" w:sz="6" w:space="0" w:color="auto"/>
              <w:left w:val="single" w:sz="6" w:space="0" w:color="auto"/>
              <w:bottom w:val="single" w:sz="6" w:space="0" w:color="auto"/>
            </w:tcBorders>
            <w:shd w:val="clear" w:color="auto" w:fill="92D050"/>
          </w:tcPr>
          <w:p w14:paraId="04792482" w14:textId="77777777" w:rsidR="00BE67AB" w:rsidRPr="001B0263" w:rsidRDefault="00BE67AB" w:rsidP="00C2531D">
            <w:pPr>
              <w:spacing w:before="40" w:after="40" w:line="259" w:lineRule="auto"/>
              <w:rPr>
                <w:bCs/>
                <w:color w:val="auto"/>
                <w:sz w:val="24"/>
              </w:rPr>
            </w:pPr>
            <w:r w:rsidRPr="001B0263">
              <w:rPr>
                <w:bCs/>
                <w:color w:val="auto"/>
                <w:sz w:val="24"/>
              </w:rPr>
              <w:t xml:space="preserve">How we will monitor our performance </w:t>
            </w:r>
          </w:p>
        </w:tc>
        <w:tc>
          <w:tcPr>
            <w:tcW w:w="1418" w:type="dxa"/>
            <w:tcBorders>
              <w:top w:val="single" w:sz="6" w:space="0" w:color="auto"/>
              <w:bottom w:val="single" w:sz="6" w:space="0" w:color="auto"/>
            </w:tcBorders>
            <w:shd w:val="clear" w:color="auto" w:fill="92D050"/>
          </w:tcPr>
          <w:p w14:paraId="367A355E" w14:textId="77777777" w:rsidR="00BE67AB" w:rsidRPr="001B0263" w:rsidRDefault="00BE67AB" w:rsidP="00C2531D">
            <w:pPr>
              <w:spacing w:before="40" w:after="40" w:line="259" w:lineRule="auto"/>
              <w:rPr>
                <w:bCs/>
                <w:color w:val="auto"/>
                <w:sz w:val="24"/>
              </w:rPr>
            </w:pPr>
            <w:r w:rsidRPr="001B0263">
              <w:rPr>
                <w:bCs/>
                <w:color w:val="auto"/>
                <w:sz w:val="24"/>
              </w:rPr>
              <w:t>Target 20/21</w:t>
            </w:r>
          </w:p>
        </w:tc>
        <w:tc>
          <w:tcPr>
            <w:tcW w:w="1276" w:type="dxa"/>
            <w:tcBorders>
              <w:top w:val="single" w:sz="6" w:space="0" w:color="auto"/>
              <w:bottom w:val="single" w:sz="6" w:space="0" w:color="auto"/>
              <w:right w:val="single" w:sz="6" w:space="0" w:color="auto"/>
            </w:tcBorders>
            <w:shd w:val="clear" w:color="auto" w:fill="92D050"/>
          </w:tcPr>
          <w:p w14:paraId="095E1C16" w14:textId="77777777" w:rsidR="00BE67AB" w:rsidRPr="001B0263" w:rsidRDefault="00BE67AB" w:rsidP="00C2531D">
            <w:pPr>
              <w:spacing w:before="40" w:after="40" w:line="259" w:lineRule="auto"/>
              <w:rPr>
                <w:bCs/>
                <w:color w:val="auto"/>
                <w:sz w:val="24"/>
              </w:rPr>
            </w:pPr>
            <w:r w:rsidRPr="001B0263">
              <w:rPr>
                <w:bCs/>
                <w:color w:val="auto"/>
                <w:sz w:val="24"/>
              </w:rPr>
              <w:t xml:space="preserve">Actual </w:t>
            </w:r>
          </w:p>
        </w:tc>
      </w:tr>
      <w:tr w:rsidR="00BE67AB" w14:paraId="103F9645" w14:textId="77777777" w:rsidTr="00AE3A8D">
        <w:tc>
          <w:tcPr>
            <w:tcW w:w="6114" w:type="dxa"/>
          </w:tcPr>
          <w:p w14:paraId="3FA5701F" w14:textId="15338552" w:rsidR="00BE67AB" w:rsidRPr="001B0263" w:rsidRDefault="00BE67AB" w:rsidP="00091F63">
            <w:pPr>
              <w:shd w:val="clear" w:color="auto" w:fill="FFFFFF" w:themeFill="background1"/>
              <w:spacing w:before="40" w:after="40"/>
              <w:contextualSpacing/>
              <w:rPr>
                <w:sz w:val="24"/>
              </w:rPr>
            </w:pPr>
            <w:r w:rsidRPr="001B0263">
              <w:rPr>
                <w:sz w:val="24"/>
              </w:rPr>
              <w:t>Royal Commission will comply with any records audit pr</w:t>
            </w:r>
            <w:r w:rsidR="00091F63">
              <w:rPr>
                <w:sz w:val="24"/>
              </w:rPr>
              <w:t xml:space="preserve">ocesses </w:t>
            </w:r>
            <w:r w:rsidRPr="001B0263">
              <w:rPr>
                <w:sz w:val="24"/>
              </w:rPr>
              <w:t xml:space="preserve">requested by the Department for all records held by the Royal Commission     </w:t>
            </w:r>
          </w:p>
        </w:tc>
        <w:tc>
          <w:tcPr>
            <w:tcW w:w="1418" w:type="dxa"/>
          </w:tcPr>
          <w:p w14:paraId="48CB200A" w14:textId="77777777" w:rsidR="00BE67AB" w:rsidRPr="001B0263" w:rsidRDefault="00BE67AB" w:rsidP="00C2531D">
            <w:pPr>
              <w:spacing w:before="40" w:after="40"/>
              <w:rPr>
                <w:sz w:val="24"/>
              </w:rPr>
            </w:pPr>
            <w:r w:rsidRPr="001B0263">
              <w:rPr>
                <w:sz w:val="24"/>
              </w:rPr>
              <w:t>100%</w:t>
            </w:r>
          </w:p>
        </w:tc>
        <w:tc>
          <w:tcPr>
            <w:tcW w:w="1276" w:type="dxa"/>
            <w:tcBorders>
              <w:bottom w:val="single" w:sz="6" w:space="0" w:color="auto"/>
            </w:tcBorders>
          </w:tcPr>
          <w:p w14:paraId="3399041D" w14:textId="77777777" w:rsidR="00BE67AB" w:rsidRPr="001B0263" w:rsidRDefault="00BE67AB" w:rsidP="00C2531D">
            <w:pPr>
              <w:spacing w:before="40" w:after="40"/>
              <w:rPr>
                <w:sz w:val="24"/>
              </w:rPr>
            </w:pPr>
            <w:r w:rsidRPr="001B0263">
              <w:rPr>
                <w:sz w:val="24"/>
              </w:rPr>
              <w:t>N/A</w:t>
            </w:r>
          </w:p>
        </w:tc>
      </w:tr>
      <w:tr w:rsidR="00E9549B" w14:paraId="3D6F2008" w14:textId="77777777" w:rsidTr="009B0218">
        <w:tc>
          <w:tcPr>
            <w:tcW w:w="8808" w:type="dxa"/>
            <w:gridSpan w:val="3"/>
            <w:tcBorders>
              <w:bottom w:val="single" w:sz="6" w:space="0" w:color="auto"/>
              <w:right w:val="single" w:sz="6" w:space="0" w:color="auto"/>
            </w:tcBorders>
          </w:tcPr>
          <w:p w14:paraId="7A201FC1" w14:textId="1CF33EB9" w:rsidR="00E9549B" w:rsidRPr="001B0263" w:rsidRDefault="00E9549B" w:rsidP="00C2531D">
            <w:pPr>
              <w:spacing w:before="40" w:after="40"/>
              <w:rPr>
                <w:sz w:val="24"/>
              </w:rPr>
            </w:pPr>
            <w:r w:rsidRPr="001B0263">
              <w:rPr>
                <w:sz w:val="24"/>
              </w:rPr>
              <w:t>Comments: The Commission provided all records to Audit New Zealand as part of the procurement review of the Khyber Pass building project.</w:t>
            </w:r>
          </w:p>
        </w:tc>
      </w:tr>
    </w:tbl>
    <w:p w14:paraId="6B2CA28D" w14:textId="77777777" w:rsidR="00BE67AB" w:rsidRDefault="00BE67AB" w:rsidP="00BE67AB">
      <w:pPr>
        <w:pStyle w:val="Heading4"/>
      </w:pPr>
      <w:r>
        <w:lastRenderedPageBreak/>
        <w:t xml:space="preserve">Royal Commission policies and procedures </w:t>
      </w:r>
    </w:p>
    <w:p w14:paraId="2A64FEA6" w14:textId="77777777" w:rsidR="00BE67AB" w:rsidRPr="005122CD" w:rsidRDefault="00BE67AB" w:rsidP="00BE67AB">
      <w:pPr>
        <w:pStyle w:val="NormalWeb"/>
        <w:rPr>
          <w:rFonts w:ascii="Calibri" w:eastAsia="Times New Roman" w:hAnsi="Calibri" w:cs="Calibri"/>
          <w:lang w:eastAsia="en-NZ"/>
        </w:rPr>
      </w:pPr>
      <w:r w:rsidRPr="00386FB6">
        <w:rPr>
          <w:rFonts w:ascii="Calibri" w:hAnsi="Calibri" w:cs="Calibri"/>
        </w:rPr>
        <w:t xml:space="preserve">Under its Terms of Reference, the Royal Commission is required to implement clear policies and methods of work. </w:t>
      </w:r>
      <w:r w:rsidRPr="00386FB6">
        <w:rPr>
          <w:rFonts w:ascii="Calibri" w:eastAsia="Times New Roman" w:hAnsi="Calibri" w:cs="Calibri"/>
          <w:lang w:eastAsia="en-NZ"/>
        </w:rPr>
        <w:t>While public service and departmental standards and policies apply by default, the Royal Commission has the</w:t>
      </w:r>
      <w:r>
        <w:rPr>
          <w:rFonts w:ascii="Calibri" w:eastAsia="Times New Roman" w:hAnsi="Calibri" w:cs="Calibri"/>
          <w:lang w:eastAsia="en-NZ"/>
        </w:rPr>
        <w:t xml:space="preserve"> </w:t>
      </w:r>
      <w:r w:rsidRPr="00386FB6">
        <w:rPr>
          <w:rFonts w:ascii="Calibri" w:eastAsia="Times New Roman" w:hAnsi="Calibri" w:cs="Calibri"/>
          <w:lang w:eastAsia="en-NZ"/>
        </w:rPr>
        <w:t>ability to develop bespoke policies and procedures to fit their unique circumstances.</w:t>
      </w:r>
      <w:r>
        <w:rPr>
          <w:rFonts w:ascii="Calibri" w:eastAsia="Times New Roman" w:hAnsi="Calibri" w:cs="Calibri"/>
          <w:lang w:eastAsia="en-NZ"/>
        </w:rPr>
        <w:t xml:space="preserve"> There may be instances where the Royal Commission departs from public service and departmental policies after due consideration and advice from the Department. These instances and the associated risk will be recorded.</w:t>
      </w:r>
    </w:p>
    <w:tbl>
      <w:tblPr>
        <w:tblStyle w:val="TableGrid"/>
        <w:tblW w:w="9067" w:type="dxa"/>
        <w:tblLook w:val="04A0" w:firstRow="1" w:lastRow="0" w:firstColumn="1" w:lastColumn="0" w:noHBand="0" w:noVBand="1"/>
      </w:tblPr>
      <w:tblGrid>
        <w:gridCol w:w="4531"/>
        <w:gridCol w:w="1701"/>
        <w:gridCol w:w="1418"/>
        <w:gridCol w:w="1417"/>
      </w:tblGrid>
      <w:tr w:rsidR="00BE67AB" w:rsidRPr="00D45D71" w14:paraId="698E8469" w14:textId="77777777" w:rsidTr="00A172F7">
        <w:tc>
          <w:tcPr>
            <w:tcW w:w="4531" w:type="dxa"/>
            <w:tcBorders>
              <w:top w:val="single" w:sz="6" w:space="0" w:color="auto"/>
              <w:left w:val="single" w:sz="6" w:space="0" w:color="auto"/>
            </w:tcBorders>
            <w:shd w:val="clear" w:color="auto" w:fill="92CC63" w:themeFill="accent4" w:themeFillTint="99"/>
          </w:tcPr>
          <w:p w14:paraId="7F89F0DB" w14:textId="77777777" w:rsidR="00BE67AB" w:rsidRPr="001B0263" w:rsidRDefault="00BE67AB" w:rsidP="00C2531D">
            <w:pPr>
              <w:keepNext/>
              <w:spacing w:before="40" w:after="40" w:line="259" w:lineRule="auto"/>
              <w:rPr>
                <w:bCs/>
              </w:rPr>
            </w:pPr>
            <w:r w:rsidRPr="001B0263">
              <w:rPr>
                <w:b/>
                <w:bCs/>
              </w:rPr>
              <w:t xml:space="preserve">How we will monitor our performance </w:t>
            </w:r>
            <w:r w:rsidRPr="001B0263">
              <w:rPr>
                <w:b/>
                <w:bCs/>
              </w:rPr>
              <w:tab/>
            </w:r>
          </w:p>
        </w:tc>
        <w:tc>
          <w:tcPr>
            <w:tcW w:w="1701" w:type="dxa"/>
            <w:tcBorders>
              <w:top w:val="single" w:sz="6" w:space="0" w:color="auto"/>
            </w:tcBorders>
            <w:shd w:val="clear" w:color="auto" w:fill="92CC63" w:themeFill="accent4" w:themeFillTint="99"/>
          </w:tcPr>
          <w:p w14:paraId="69E9F77E" w14:textId="77777777" w:rsidR="00BE67AB" w:rsidRPr="001B0263" w:rsidRDefault="00BE67AB" w:rsidP="00C2531D">
            <w:pPr>
              <w:keepNext/>
              <w:spacing w:before="40" w:after="40" w:line="259" w:lineRule="auto"/>
              <w:rPr>
                <w:bCs/>
              </w:rPr>
            </w:pPr>
            <w:r w:rsidRPr="001B0263">
              <w:rPr>
                <w:b/>
                <w:bCs/>
              </w:rPr>
              <w:t>Target 20/21</w:t>
            </w:r>
          </w:p>
        </w:tc>
        <w:tc>
          <w:tcPr>
            <w:tcW w:w="1418" w:type="dxa"/>
            <w:tcBorders>
              <w:top w:val="single" w:sz="6" w:space="0" w:color="auto"/>
            </w:tcBorders>
            <w:shd w:val="clear" w:color="auto" w:fill="92CC63" w:themeFill="accent4" w:themeFillTint="99"/>
          </w:tcPr>
          <w:p w14:paraId="4FC89961" w14:textId="3F0474F4" w:rsidR="00BE67AB" w:rsidRPr="001B0263" w:rsidRDefault="000C2E09" w:rsidP="00C2531D">
            <w:pPr>
              <w:keepNext/>
              <w:spacing w:before="40" w:after="40" w:line="259" w:lineRule="auto"/>
              <w:jc w:val="both"/>
              <w:rPr>
                <w:bCs/>
              </w:rPr>
            </w:pPr>
            <w:r w:rsidRPr="001B0263">
              <w:rPr>
                <w:b/>
                <w:bCs/>
              </w:rPr>
              <w:t>Oct-Dec 20</w:t>
            </w:r>
          </w:p>
        </w:tc>
        <w:tc>
          <w:tcPr>
            <w:tcW w:w="1417" w:type="dxa"/>
            <w:tcBorders>
              <w:top w:val="single" w:sz="6" w:space="0" w:color="auto"/>
              <w:bottom w:val="single" w:sz="4" w:space="0" w:color="auto"/>
              <w:right w:val="single" w:sz="6" w:space="0" w:color="auto"/>
            </w:tcBorders>
            <w:shd w:val="clear" w:color="auto" w:fill="92CC63" w:themeFill="accent4" w:themeFillTint="99"/>
          </w:tcPr>
          <w:p w14:paraId="5DB0FAB3" w14:textId="489854EF" w:rsidR="00BE67AB" w:rsidRPr="001B0263" w:rsidRDefault="000C2E09" w:rsidP="00C2531D">
            <w:pPr>
              <w:keepNext/>
              <w:spacing w:before="40" w:after="40" w:line="259" w:lineRule="auto"/>
              <w:jc w:val="center"/>
              <w:rPr>
                <w:bCs/>
              </w:rPr>
            </w:pPr>
            <w:r w:rsidRPr="001B0263">
              <w:rPr>
                <w:b/>
                <w:bCs/>
              </w:rPr>
              <w:t>July-Sept 20</w:t>
            </w:r>
          </w:p>
        </w:tc>
      </w:tr>
      <w:tr w:rsidR="00BE67AB" w:rsidRPr="00D45D71" w14:paraId="41E5C79B" w14:textId="77777777" w:rsidTr="00A172F7">
        <w:tc>
          <w:tcPr>
            <w:tcW w:w="4531" w:type="dxa"/>
            <w:tcBorders>
              <w:left w:val="single" w:sz="6" w:space="0" w:color="auto"/>
            </w:tcBorders>
          </w:tcPr>
          <w:p w14:paraId="1B7A92C1" w14:textId="77777777" w:rsidR="00BE67AB" w:rsidRPr="001B0263" w:rsidRDefault="00BE67AB" w:rsidP="00C2531D">
            <w:pPr>
              <w:keepNext/>
              <w:spacing w:before="40" w:after="40" w:line="259" w:lineRule="auto"/>
              <w:rPr>
                <w:bCs/>
              </w:rPr>
            </w:pPr>
            <w:r w:rsidRPr="001B0263">
              <w:rPr>
                <w:rFonts w:eastAsia="Times New Roman" w:cs="Calibri"/>
                <w:lang w:eastAsia="en-NZ"/>
              </w:rPr>
              <w:t>Number of instances of departure from public service and departmental policies</w:t>
            </w:r>
          </w:p>
        </w:tc>
        <w:tc>
          <w:tcPr>
            <w:tcW w:w="1701" w:type="dxa"/>
          </w:tcPr>
          <w:p w14:paraId="485CAB16" w14:textId="77777777" w:rsidR="00BE67AB" w:rsidRPr="001B0263" w:rsidRDefault="00BE67AB" w:rsidP="00C2531D">
            <w:pPr>
              <w:keepNext/>
              <w:spacing w:before="40" w:after="40" w:line="259" w:lineRule="auto"/>
              <w:rPr>
                <w:bCs/>
              </w:rPr>
            </w:pPr>
            <w:r w:rsidRPr="001B0263">
              <w:rPr>
                <w:bCs/>
              </w:rPr>
              <w:t>Not applicable</w:t>
            </w:r>
          </w:p>
        </w:tc>
        <w:tc>
          <w:tcPr>
            <w:tcW w:w="1418" w:type="dxa"/>
          </w:tcPr>
          <w:p w14:paraId="261C54F1" w14:textId="77777777" w:rsidR="00BE67AB" w:rsidRPr="001B0263" w:rsidRDefault="00BE67AB" w:rsidP="00C2531D">
            <w:pPr>
              <w:keepNext/>
              <w:spacing w:before="40" w:after="40" w:line="259" w:lineRule="auto"/>
              <w:jc w:val="center"/>
              <w:rPr>
                <w:bCs/>
              </w:rPr>
            </w:pPr>
            <w:r w:rsidRPr="001B0263">
              <w:rPr>
                <w:bCs/>
              </w:rPr>
              <w:t>1</w:t>
            </w:r>
          </w:p>
        </w:tc>
        <w:tc>
          <w:tcPr>
            <w:tcW w:w="1417" w:type="dxa"/>
            <w:tcBorders>
              <w:bottom w:val="single" w:sz="4" w:space="0" w:color="auto"/>
              <w:right w:val="single" w:sz="6" w:space="0" w:color="auto"/>
            </w:tcBorders>
          </w:tcPr>
          <w:p w14:paraId="27F3753F" w14:textId="4FCCAE64" w:rsidR="00BE67AB" w:rsidRPr="001B0263" w:rsidRDefault="008642E0" w:rsidP="00C2531D">
            <w:pPr>
              <w:keepNext/>
              <w:spacing w:before="40" w:after="40" w:line="259" w:lineRule="auto"/>
              <w:jc w:val="center"/>
              <w:rPr>
                <w:bCs/>
              </w:rPr>
            </w:pPr>
            <w:r w:rsidRPr="001B0263">
              <w:rPr>
                <w:bCs/>
              </w:rPr>
              <w:t>1</w:t>
            </w:r>
          </w:p>
        </w:tc>
      </w:tr>
      <w:tr w:rsidR="00E9549B" w:rsidRPr="00D45D71" w14:paraId="13BC4B15" w14:textId="77777777" w:rsidTr="009B0218">
        <w:tc>
          <w:tcPr>
            <w:tcW w:w="9067" w:type="dxa"/>
            <w:gridSpan w:val="4"/>
            <w:tcBorders>
              <w:left w:val="single" w:sz="6" w:space="0" w:color="auto"/>
              <w:bottom w:val="single" w:sz="6" w:space="0" w:color="auto"/>
              <w:right w:val="single" w:sz="6" w:space="0" w:color="auto"/>
            </w:tcBorders>
          </w:tcPr>
          <w:p w14:paraId="2B4F13EE" w14:textId="469F90D9" w:rsidR="00E9549B" w:rsidRPr="001B0263" w:rsidRDefault="00E9549B" w:rsidP="00091F63">
            <w:pPr>
              <w:keepNext/>
              <w:spacing w:before="40" w:after="40" w:line="240" w:lineRule="auto"/>
              <w:rPr>
                <w:bCs/>
              </w:rPr>
            </w:pPr>
            <w:r w:rsidRPr="001B0263">
              <w:t xml:space="preserve">Comments: This direct source engagement of a consultant was a departure from procurement policies. In addition, the contract for was finalised retrospectively which is also contrary to procurement policies.  Consideration was given to approaching the All of Government Panel, but the consultant was identified as having specialised knowledge and relevant experience of the Inquiry that would not be able to be sourced through a secondary selection process through a panel. </w:t>
            </w:r>
          </w:p>
        </w:tc>
      </w:tr>
    </w:tbl>
    <w:p w14:paraId="39993241" w14:textId="77777777" w:rsidR="00BE67AB" w:rsidRDefault="00BE67AB" w:rsidP="00BE67AB">
      <w:pPr>
        <w:pStyle w:val="Heading4"/>
      </w:pPr>
      <w:r>
        <w:t xml:space="preserve">An organisation fostering a culture of respect and inclusion </w:t>
      </w:r>
    </w:p>
    <w:p w14:paraId="4529C859" w14:textId="75CB2A29" w:rsidR="00BE67AB" w:rsidRDefault="00BE67AB" w:rsidP="00BE67AB">
      <w:r w:rsidRPr="000A3C7F">
        <w:t>We aim to be an organisation that fosters a culture of respect and inclusion and reflects and understands our communities and their needs. We aim to be an organisation where everyone feels respected and included regardless of gender, ethnicity, age, sexual orientation</w:t>
      </w:r>
      <w:r>
        <w:t>, the extent of disability</w:t>
      </w:r>
      <w:r w:rsidRPr="000A3C7F">
        <w:t xml:space="preserve"> and religious beliefs.</w:t>
      </w:r>
    </w:p>
    <w:tbl>
      <w:tblPr>
        <w:tblStyle w:val="DIATable"/>
        <w:tblW w:w="90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7"/>
        <w:gridCol w:w="1541"/>
        <w:gridCol w:w="7"/>
        <w:gridCol w:w="1269"/>
        <w:gridCol w:w="7"/>
      </w:tblGrid>
      <w:tr w:rsidR="00BE67AB" w14:paraId="0E913039" w14:textId="77777777" w:rsidTr="00A172F7">
        <w:trPr>
          <w:gridAfter w:val="1"/>
          <w:cnfStyle w:val="100000000000" w:firstRow="1" w:lastRow="0" w:firstColumn="0" w:lastColumn="0" w:oddVBand="0" w:evenVBand="0" w:oddHBand="0" w:evenHBand="0" w:firstRowFirstColumn="0" w:firstRowLastColumn="0" w:lastRowFirstColumn="0" w:lastRowLastColumn="0"/>
          <w:wAfter w:w="7" w:type="dxa"/>
        </w:trPr>
        <w:tc>
          <w:tcPr>
            <w:tcW w:w="6237" w:type="dxa"/>
            <w:tcBorders>
              <w:top w:val="single" w:sz="6" w:space="0" w:color="auto"/>
              <w:left w:val="single" w:sz="6" w:space="0" w:color="auto"/>
              <w:bottom w:val="none" w:sz="0" w:space="0" w:color="auto"/>
              <w:right w:val="none" w:sz="0" w:space="0" w:color="auto"/>
              <w:tl2br w:val="none" w:sz="0" w:space="0" w:color="auto"/>
              <w:tr2bl w:val="none" w:sz="0" w:space="0" w:color="auto"/>
            </w:tcBorders>
            <w:shd w:val="clear" w:color="auto" w:fill="92D050"/>
          </w:tcPr>
          <w:p w14:paraId="6EF7C4E9" w14:textId="77777777" w:rsidR="00BE67AB" w:rsidRPr="001B0263" w:rsidRDefault="00BE67AB" w:rsidP="00C2531D">
            <w:pPr>
              <w:spacing w:before="40" w:after="40" w:line="259" w:lineRule="auto"/>
              <w:rPr>
                <w:bCs/>
                <w:color w:val="auto"/>
                <w:sz w:val="24"/>
              </w:rPr>
            </w:pPr>
            <w:r w:rsidRPr="001B0263">
              <w:rPr>
                <w:bCs/>
                <w:color w:val="auto"/>
                <w:sz w:val="24"/>
              </w:rPr>
              <w:t xml:space="preserve">How we will monitor our performance </w:t>
            </w:r>
          </w:p>
        </w:tc>
        <w:tc>
          <w:tcPr>
            <w:tcW w:w="1541" w:type="dxa"/>
            <w:tcBorders>
              <w:top w:val="single" w:sz="6"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324A22E5" w14:textId="77777777" w:rsidR="00BE67AB" w:rsidRPr="001B0263" w:rsidRDefault="00BE67AB" w:rsidP="00C2531D">
            <w:pPr>
              <w:spacing w:before="40" w:after="40" w:line="259" w:lineRule="auto"/>
              <w:rPr>
                <w:bCs/>
                <w:color w:val="auto"/>
                <w:sz w:val="24"/>
              </w:rPr>
            </w:pPr>
            <w:r w:rsidRPr="001B0263">
              <w:rPr>
                <w:bCs/>
                <w:color w:val="auto"/>
                <w:sz w:val="24"/>
              </w:rPr>
              <w:t>Target 20/21</w:t>
            </w:r>
          </w:p>
        </w:tc>
        <w:tc>
          <w:tcPr>
            <w:tcW w:w="1276" w:type="dxa"/>
            <w:gridSpan w:val="2"/>
            <w:tcBorders>
              <w:top w:val="single" w:sz="6" w:space="0" w:color="auto"/>
              <w:left w:val="none" w:sz="0" w:space="0" w:color="auto"/>
              <w:bottom w:val="none" w:sz="0" w:space="0" w:color="auto"/>
              <w:right w:val="single" w:sz="6" w:space="0" w:color="auto"/>
              <w:tl2br w:val="none" w:sz="0" w:space="0" w:color="auto"/>
              <w:tr2bl w:val="none" w:sz="0" w:space="0" w:color="auto"/>
            </w:tcBorders>
            <w:shd w:val="clear" w:color="auto" w:fill="92D050"/>
          </w:tcPr>
          <w:p w14:paraId="61297598" w14:textId="77777777" w:rsidR="00BE67AB" w:rsidRPr="001B0263" w:rsidRDefault="00BE67AB" w:rsidP="00C2531D">
            <w:pPr>
              <w:spacing w:before="40" w:after="40" w:line="259" w:lineRule="auto"/>
              <w:rPr>
                <w:bCs/>
                <w:color w:val="auto"/>
                <w:sz w:val="24"/>
              </w:rPr>
            </w:pPr>
            <w:r w:rsidRPr="001B0263">
              <w:rPr>
                <w:bCs/>
                <w:color w:val="auto"/>
                <w:sz w:val="24"/>
              </w:rPr>
              <w:t xml:space="preserve">Actual </w:t>
            </w:r>
          </w:p>
        </w:tc>
      </w:tr>
      <w:tr w:rsidR="00BE67AB" w14:paraId="33F9B9FE" w14:textId="77777777" w:rsidTr="00A172F7">
        <w:trPr>
          <w:gridAfter w:val="1"/>
          <w:wAfter w:w="7" w:type="dxa"/>
        </w:trPr>
        <w:tc>
          <w:tcPr>
            <w:tcW w:w="6237" w:type="dxa"/>
            <w:tcBorders>
              <w:left w:val="single" w:sz="6" w:space="0" w:color="auto"/>
            </w:tcBorders>
          </w:tcPr>
          <w:p w14:paraId="0A1A8AFD" w14:textId="553C4E12" w:rsidR="00BE67AB" w:rsidRPr="001B0263" w:rsidRDefault="00BE67AB" w:rsidP="00091F63">
            <w:pPr>
              <w:shd w:val="clear" w:color="auto" w:fill="FFFFFF" w:themeFill="background1"/>
              <w:spacing w:before="40" w:after="40"/>
              <w:contextualSpacing/>
              <w:rPr>
                <w:sz w:val="24"/>
              </w:rPr>
            </w:pPr>
            <w:r w:rsidRPr="001B0263">
              <w:rPr>
                <w:sz w:val="24"/>
              </w:rPr>
              <w:t>Staff report satisfaction with Roy</w:t>
            </w:r>
            <w:r w:rsidR="002A09C5">
              <w:rPr>
                <w:sz w:val="24"/>
              </w:rPr>
              <w:t xml:space="preserve">al Commission flexible working </w:t>
            </w:r>
            <w:r w:rsidRPr="001B0263">
              <w:rPr>
                <w:sz w:val="24"/>
              </w:rPr>
              <w:t xml:space="preserve">processes and guidelines, survey bi-annually                                          </w:t>
            </w:r>
          </w:p>
        </w:tc>
        <w:tc>
          <w:tcPr>
            <w:tcW w:w="1541" w:type="dxa"/>
          </w:tcPr>
          <w:p w14:paraId="3752D45E" w14:textId="77777777" w:rsidR="00BE67AB" w:rsidRPr="001B0263" w:rsidRDefault="00BE67AB" w:rsidP="00C2531D">
            <w:pPr>
              <w:spacing w:before="40" w:after="40"/>
              <w:rPr>
                <w:sz w:val="24"/>
              </w:rPr>
            </w:pPr>
            <w:r w:rsidRPr="001B0263">
              <w:rPr>
                <w:sz w:val="24"/>
              </w:rPr>
              <w:t>90%</w:t>
            </w:r>
          </w:p>
        </w:tc>
        <w:tc>
          <w:tcPr>
            <w:tcW w:w="1276" w:type="dxa"/>
            <w:gridSpan w:val="2"/>
            <w:tcBorders>
              <w:bottom w:val="single" w:sz="6" w:space="0" w:color="auto"/>
              <w:right w:val="single" w:sz="6" w:space="0" w:color="auto"/>
            </w:tcBorders>
          </w:tcPr>
          <w:p w14:paraId="7FA9E66C" w14:textId="77777777" w:rsidR="00BE67AB" w:rsidRPr="001B0263" w:rsidRDefault="00BE67AB" w:rsidP="00C2531D">
            <w:pPr>
              <w:spacing w:before="40" w:after="40"/>
              <w:rPr>
                <w:sz w:val="24"/>
              </w:rPr>
            </w:pPr>
            <w:r w:rsidRPr="001B0263">
              <w:rPr>
                <w:sz w:val="24"/>
              </w:rPr>
              <w:t>N/A</w:t>
            </w:r>
          </w:p>
        </w:tc>
      </w:tr>
      <w:tr w:rsidR="00BE67AB" w14:paraId="2FED6F5A" w14:textId="77777777" w:rsidTr="00A172F7">
        <w:tc>
          <w:tcPr>
            <w:tcW w:w="7785" w:type="dxa"/>
            <w:gridSpan w:val="3"/>
            <w:tcBorders>
              <w:left w:val="single" w:sz="6" w:space="0" w:color="auto"/>
              <w:bottom w:val="single" w:sz="6" w:space="0" w:color="auto"/>
              <w:right w:val="single" w:sz="6" w:space="0" w:color="auto"/>
            </w:tcBorders>
          </w:tcPr>
          <w:p w14:paraId="0E610963" w14:textId="44747D8F" w:rsidR="00BE67AB" w:rsidRPr="001B0263" w:rsidRDefault="002B52CC" w:rsidP="00091F63">
            <w:pPr>
              <w:spacing w:before="40" w:after="40"/>
              <w:rPr>
                <w:sz w:val="24"/>
              </w:rPr>
            </w:pPr>
            <w:r w:rsidRPr="001B0263">
              <w:rPr>
                <w:sz w:val="24"/>
              </w:rPr>
              <w:t xml:space="preserve">Comments: The first of two flexible working surveys for 20/21 was conducted </w:t>
            </w:r>
            <w:r w:rsidR="005329DD" w:rsidRPr="001B0263">
              <w:rPr>
                <w:sz w:val="24"/>
              </w:rPr>
              <w:t xml:space="preserve">during the quarter </w:t>
            </w:r>
            <w:r w:rsidRPr="001B0263">
              <w:rPr>
                <w:sz w:val="24"/>
              </w:rPr>
              <w:t xml:space="preserve">with all staff to check </w:t>
            </w:r>
            <w:r w:rsidR="005329DD" w:rsidRPr="001B0263">
              <w:rPr>
                <w:sz w:val="24"/>
              </w:rPr>
              <w:t xml:space="preserve">their </w:t>
            </w:r>
            <w:r w:rsidRPr="001B0263">
              <w:rPr>
                <w:sz w:val="24"/>
              </w:rPr>
              <w:t>understand</w:t>
            </w:r>
            <w:r w:rsidR="005329DD" w:rsidRPr="001B0263">
              <w:rPr>
                <w:sz w:val="24"/>
              </w:rPr>
              <w:t>ing of</w:t>
            </w:r>
            <w:r w:rsidRPr="001B0263">
              <w:rPr>
                <w:sz w:val="24"/>
              </w:rPr>
              <w:t xml:space="preserve"> whether </w:t>
            </w:r>
            <w:r w:rsidR="005329DD" w:rsidRPr="001B0263">
              <w:rPr>
                <w:sz w:val="24"/>
              </w:rPr>
              <w:t xml:space="preserve">the </w:t>
            </w:r>
            <w:r w:rsidRPr="001B0263">
              <w:rPr>
                <w:sz w:val="24"/>
              </w:rPr>
              <w:t>new framework was working for staff and whether or not change</w:t>
            </w:r>
            <w:r w:rsidR="005329DD" w:rsidRPr="001B0263">
              <w:rPr>
                <w:sz w:val="24"/>
              </w:rPr>
              <w:t>s</w:t>
            </w:r>
            <w:r w:rsidRPr="001B0263">
              <w:rPr>
                <w:sz w:val="24"/>
              </w:rPr>
              <w:t xml:space="preserve"> were required. There was a 60% response rate, of which 96% of respondents were satisfied with the range of flexible working options offered. </w:t>
            </w:r>
          </w:p>
        </w:tc>
        <w:tc>
          <w:tcPr>
            <w:tcW w:w="1276" w:type="dxa"/>
            <w:gridSpan w:val="2"/>
            <w:tcBorders>
              <w:top w:val="single" w:sz="6" w:space="0" w:color="auto"/>
              <w:left w:val="single" w:sz="6" w:space="0" w:color="auto"/>
              <w:bottom w:val="nil"/>
              <w:right w:val="nil"/>
            </w:tcBorders>
          </w:tcPr>
          <w:p w14:paraId="3BB1D2B6" w14:textId="77777777" w:rsidR="00BE67AB" w:rsidRDefault="00BE67AB" w:rsidP="00AE3A8D"/>
        </w:tc>
      </w:tr>
    </w:tbl>
    <w:p w14:paraId="42D5A45D" w14:textId="77777777" w:rsidR="00BE67AB" w:rsidRDefault="00BE67AB" w:rsidP="00BE67AB"/>
    <w:p w14:paraId="190F675E" w14:textId="77777777" w:rsidR="00BE67AB" w:rsidRDefault="00BE67AB" w:rsidP="00BE67AB">
      <w:pPr>
        <w:pStyle w:val="Heading2"/>
      </w:pPr>
      <w:bookmarkStart w:id="8" w:name="_Toc47682413"/>
    </w:p>
    <w:p w14:paraId="7EFD43FB" w14:textId="77777777" w:rsidR="00BE67AB" w:rsidRDefault="00BE67AB" w:rsidP="00BE67AB">
      <w:pPr>
        <w:keepLines w:val="0"/>
        <w:rPr>
          <w:rFonts w:cs="Arial"/>
          <w:b/>
          <w:bCs/>
          <w:iCs/>
          <w:color w:val="1F546B"/>
          <w:sz w:val="36"/>
          <w:szCs w:val="28"/>
        </w:rPr>
      </w:pPr>
      <w:r>
        <w:rPr>
          <w:rFonts w:cs="Arial"/>
          <w:b/>
          <w:bCs/>
          <w:iCs/>
          <w:color w:val="1F546B"/>
          <w:sz w:val="36"/>
          <w:szCs w:val="28"/>
        </w:rPr>
        <w:br w:type="page"/>
      </w:r>
    </w:p>
    <w:p w14:paraId="5525F549" w14:textId="77777777" w:rsidR="00BE67AB" w:rsidRPr="00392D0F" w:rsidRDefault="00BE67AB" w:rsidP="006823E4">
      <w:pPr>
        <w:pStyle w:val="Heading1"/>
      </w:pPr>
      <w:bookmarkStart w:id="9" w:name="_Toc44662316"/>
      <w:bookmarkStart w:id="10" w:name="_Toc54193237"/>
      <w:bookmarkStart w:id="11" w:name="_Hlk48122613"/>
      <w:bookmarkEnd w:id="8"/>
      <w:r w:rsidRPr="00392D0F">
        <w:lastRenderedPageBreak/>
        <w:t>Financial statements</w:t>
      </w:r>
      <w:bookmarkEnd w:id="9"/>
      <w:bookmarkEnd w:id="10"/>
      <w:r w:rsidRPr="00392D0F">
        <w:t xml:space="preserve"> </w:t>
      </w:r>
    </w:p>
    <w:p w14:paraId="2C3FCA29" w14:textId="5AF99C14" w:rsidR="00BE67AB" w:rsidRPr="00522E85" w:rsidRDefault="00BE67AB" w:rsidP="00BE67AB">
      <w:pPr>
        <w:keepNext/>
        <w:spacing w:before="360" w:after="120"/>
        <w:contextualSpacing/>
        <w:outlineLvl w:val="3"/>
        <w:rPr>
          <w:b/>
          <w:bCs/>
          <w:i/>
          <w:color w:val="1F546B" w:themeColor="text2"/>
          <w:szCs w:val="28"/>
        </w:rPr>
      </w:pPr>
      <w:r w:rsidRPr="00522E85">
        <w:rPr>
          <w:b/>
          <w:bCs/>
          <w:i/>
          <w:color w:val="1F546B" w:themeColor="text2"/>
          <w:szCs w:val="28"/>
        </w:rPr>
        <w:t>Financial reporting requirements</w:t>
      </w:r>
      <w:r w:rsidR="00216897">
        <w:rPr>
          <w:b/>
          <w:bCs/>
          <w:i/>
          <w:color w:val="1F546B" w:themeColor="text2"/>
          <w:szCs w:val="28"/>
        </w:rPr>
        <w:br/>
      </w:r>
    </w:p>
    <w:p w14:paraId="263B5C2A" w14:textId="77777777" w:rsidR="00BE67AB" w:rsidRPr="00091F63" w:rsidRDefault="00BE67AB" w:rsidP="00BE67AB">
      <w:pPr>
        <w:keepNext/>
        <w:spacing w:before="360" w:after="120"/>
        <w:contextualSpacing/>
        <w:outlineLvl w:val="3"/>
        <w:rPr>
          <w:bCs/>
          <w:szCs w:val="28"/>
        </w:rPr>
      </w:pPr>
      <w:r w:rsidRPr="00091F63">
        <w:rPr>
          <w:bCs/>
          <w:szCs w:val="28"/>
        </w:rPr>
        <w:t xml:space="preserve">The Royal Commission will submit a financial report to the Department quarterly, until the Royal Commission ends.  </w:t>
      </w:r>
    </w:p>
    <w:p w14:paraId="4E4B85DB" w14:textId="77777777" w:rsidR="00BE67AB" w:rsidRPr="00522E85" w:rsidRDefault="00BE67AB" w:rsidP="00BE67AB">
      <w:pPr>
        <w:keepNext/>
        <w:spacing w:before="360" w:after="120"/>
        <w:contextualSpacing/>
        <w:outlineLvl w:val="3"/>
        <w:rPr>
          <w:bCs/>
          <w:color w:val="1F546B" w:themeColor="text2"/>
          <w:szCs w:val="28"/>
        </w:rPr>
      </w:pPr>
    </w:p>
    <w:p w14:paraId="425B1127" w14:textId="5465A862" w:rsidR="00BE67AB" w:rsidRDefault="00BE67AB" w:rsidP="00BE67AB">
      <w:pPr>
        <w:spacing w:after="120"/>
      </w:pPr>
      <w:r>
        <w:t xml:space="preserve">The quarterly financial reports will be made publicly available by publication on </w:t>
      </w:r>
      <w:r w:rsidR="00216897">
        <w:t xml:space="preserve">the Royal Commission’s website </w:t>
      </w:r>
      <w:r>
        <w:t xml:space="preserve">and will be published no later than two calendar months after the end date of the report.  </w:t>
      </w:r>
      <w:r w:rsidRPr="00B930B5">
        <w:t>In addition to website publication, the Department will report on the Royal Commission’s expenditure in its Annual Report.</w:t>
      </w:r>
    </w:p>
    <w:p w14:paraId="6DB75F11" w14:textId="77777777" w:rsidR="00216897" w:rsidRDefault="00216897" w:rsidP="00216897">
      <w:pPr>
        <w:pStyle w:val="Heading2"/>
      </w:pPr>
      <w:bookmarkStart w:id="12" w:name="_Toc54193239"/>
      <w:bookmarkStart w:id="13" w:name="_Toc44662317"/>
      <w:bookmarkStart w:id="14" w:name="_Toc54193238"/>
      <w:bookmarkEnd w:id="11"/>
      <w:r w:rsidRPr="00BE67AB">
        <w:t xml:space="preserve">Financial Summary </w:t>
      </w:r>
      <w:r>
        <w:t>for</w:t>
      </w:r>
      <w:r w:rsidRPr="00BE67AB">
        <w:t xml:space="preserve"> </w:t>
      </w:r>
      <w:r>
        <w:t>December</w:t>
      </w:r>
      <w:r w:rsidRPr="00BE67AB">
        <w:t xml:space="preserve"> 2020</w:t>
      </w:r>
    </w:p>
    <w:tbl>
      <w:tblPr>
        <w:tblW w:w="0" w:type="auto"/>
        <w:tblInd w:w="-30" w:type="dxa"/>
        <w:tblLayout w:type="fixed"/>
        <w:tblLook w:val="0000" w:firstRow="0" w:lastRow="0" w:firstColumn="0" w:lastColumn="0" w:noHBand="0" w:noVBand="0"/>
      </w:tblPr>
      <w:tblGrid>
        <w:gridCol w:w="5599"/>
        <w:gridCol w:w="903"/>
        <w:gridCol w:w="902"/>
        <w:gridCol w:w="990"/>
      </w:tblGrid>
      <w:tr w:rsidR="00216897" w14:paraId="05CB8C08" w14:textId="77777777" w:rsidTr="00216897">
        <w:trPr>
          <w:trHeight w:val="290"/>
        </w:trPr>
        <w:tc>
          <w:tcPr>
            <w:tcW w:w="5599" w:type="dxa"/>
            <w:tcBorders>
              <w:top w:val="nil"/>
              <w:left w:val="nil"/>
              <w:bottom w:val="nil"/>
              <w:right w:val="nil"/>
            </w:tcBorders>
            <w:shd w:val="solid" w:color="FFFFFF" w:fill="auto"/>
          </w:tcPr>
          <w:bookmarkEnd w:id="12"/>
          <w:p w14:paraId="2EC707D0" w14:textId="77777777" w:rsidR="00216897" w:rsidRPr="001B0263" w:rsidRDefault="00216897" w:rsidP="00216897">
            <w:pPr>
              <w:keepLines w:val="0"/>
              <w:autoSpaceDE w:val="0"/>
              <w:autoSpaceDN w:val="0"/>
              <w:adjustRightInd w:val="0"/>
              <w:spacing w:before="0" w:after="0"/>
              <w:rPr>
                <w:rFonts w:cs="Calibri"/>
                <w:b/>
                <w:bCs/>
                <w:color w:val="000000"/>
                <w:lang w:eastAsia="en-NZ"/>
              </w:rPr>
            </w:pPr>
            <w:r w:rsidRPr="001B0263">
              <w:rPr>
                <w:rFonts w:cs="Calibri"/>
                <w:b/>
                <w:bCs/>
                <w:color w:val="000000"/>
                <w:lang w:eastAsia="en-NZ"/>
              </w:rPr>
              <w:t>Q2 YTD Financials to December 2020 ($k)</w:t>
            </w:r>
            <w:r w:rsidRPr="001B0263">
              <w:rPr>
                <w:rFonts w:cs="Calibri"/>
                <w:b/>
                <w:bCs/>
                <w:color w:val="000000"/>
                <w:lang w:eastAsia="en-NZ"/>
              </w:rPr>
              <w:br/>
            </w:r>
          </w:p>
        </w:tc>
        <w:tc>
          <w:tcPr>
            <w:tcW w:w="903" w:type="dxa"/>
            <w:tcBorders>
              <w:top w:val="nil"/>
              <w:left w:val="nil"/>
              <w:bottom w:val="nil"/>
              <w:right w:val="nil"/>
            </w:tcBorders>
            <w:shd w:val="solid" w:color="FFFFFF" w:fill="auto"/>
          </w:tcPr>
          <w:p w14:paraId="24837B20" w14:textId="77777777" w:rsidR="00216897" w:rsidRDefault="00216897" w:rsidP="00216897">
            <w:pPr>
              <w:keepLines w:val="0"/>
              <w:autoSpaceDE w:val="0"/>
              <w:autoSpaceDN w:val="0"/>
              <w:adjustRightInd w:val="0"/>
              <w:spacing w:before="0" w:after="0"/>
              <w:jc w:val="right"/>
              <w:rPr>
                <w:rFonts w:cs="Calibri"/>
                <w:color w:val="000000"/>
                <w:sz w:val="22"/>
                <w:szCs w:val="22"/>
                <w:lang w:eastAsia="en-NZ"/>
              </w:rPr>
            </w:pPr>
          </w:p>
        </w:tc>
        <w:tc>
          <w:tcPr>
            <w:tcW w:w="902" w:type="dxa"/>
            <w:tcBorders>
              <w:top w:val="nil"/>
              <w:left w:val="nil"/>
              <w:bottom w:val="nil"/>
              <w:right w:val="nil"/>
            </w:tcBorders>
            <w:shd w:val="solid" w:color="FFFFFF" w:fill="auto"/>
          </w:tcPr>
          <w:p w14:paraId="631735D1" w14:textId="77777777" w:rsidR="00216897" w:rsidRDefault="00216897" w:rsidP="00216897">
            <w:pPr>
              <w:keepLines w:val="0"/>
              <w:autoSpaceDE w:val="0"/>
              <w:autoSpaceDN w:val="0"/>
              <w:adjustRightInd w:val="0"/>
              <w:spacing w:before="0" w:after="0"/>
              <w:jc w:val="right"/>
              <w:rPr>
                <w:rFonts w:cs="Calibri"/>
                <w:color w:val="000000"/>
                <w:sz w:val="22"/>
                <w:szCs w:val="22"/>
                <w:lang w:eastAsia="en-NZ"/>
              </w:rPr>
            </w:pPr>
          </w:p>
        </w:tc>
        <w:tc>
          <w:tcPr>
            <w:tcW w:w="990" w:type="dxa"/>
            <w:tcBorders>
              <w:top w:val="nil"/>
              <w:left w:val="nil"/>
              <w:bottom w:val="nil"/>
              <w:right w:val="nil"/>
            </w:tcBorders>
            <w:shd w:val="solid" w:color="FFFFFF" w:fill="auto"/>
          </w:tcPr>
          <w:p w14:paraId="0C787FCD" w14:textId="77777777" w:rsidR="00216897" w:rsidRDefault="00216897" w:rsidP="00216897">
            <w:pPr>
              <w:keepLines w:val="0"/>
              <w:autoSpaceDE w:val="0"/>
              <w:autoSpaceDN w:val="0"/>
              <w:adjustRightInd w:val="0"/>
              <w:spacing w:before="0" w:after="0"/>
              <w:jc w:val="right"/>
              <w:rPr>
                <w:rFonts w:cs="Calibri"/>
                <w:color w:val="000000"/>
                <w:sz w:val="22"/>
                <w:szCs w:val="22"/>
                <w:lang w:eastAsia="en-NZ"/>
              </w:rPr>
            </w:pPr>
          </w:p>
        </w:tc>
      </w:tr>
      <w:tr w:rsidR="00216897" w14:paraId="68EC6266"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shd w:val="solid" w:color="99CC00" w:fill="auto"/>
          </w:tcPr>
          <w:p w14:paraId="6CC7B6FE" w14:textId="77777777" w:rsidR="00216897" w:rsidRPr="001F3BCA" w:rsidRDefault="00216897" w:rsidP="00216897">
            <w:pPr>
              <w:keepLines w:val="0"/>
              <w:autoSpaceDE w:val="0"/>
              <w:autoSpaceDN w:val="0"/>
              <w:adjustRightInd w:val="0"/>
              <w:spacing w:before="0" w:after="0"/>
              <w:rPr>
                <w:rFonts w:cs="Calibri"/>
                <w:b/>
                <w:bCs/>
                <w:color w:val="000000"/>
                <w:sz w:val="23"/>
                <w:szCs w:val="22"/>
                <w:lang w:eastAsia="en-NZ"/>
              </w:rPr>
            </w:pPr>
            <w:r w:rsidRPr="001F3BCA">
              <w:rPr>
                <w:rFonts w:cs="Calibri"/>
                <w:b/>
                <w:bCs/>
                <w:color w:val="000000"/>
                <w:sz w:val="23"/>
                <w:szCs w:val="22"/>
                <w:lang w:eastAsia="en-NZ"/>
              </w:rPr>
              <w:t>Appropriation</w:t>
            </w:r>
          </w:p>
        </w:tc>
        <w:tc>
          <w:tcPr>
            <w:tcW w:w="903" w:type="dxa"/>
            <w:tcBorders>
              <w:top w:val="single" w:sz="6" w:space="0" w:color="auto"/>
              <w:left w:val="single" w:sz="6" w:space="0" w:color="auto"/>
              <w:bottom w:val="single" w:sz="6" w:space="0" w:color="auto"/>
              <w:right w:val="single" w:sz="6" w:space="0" w:color="auto"/>
            </w:tcBorders>
            <w:shd w:val="solid" w:color="99CC00" w:fill="auto"/>
          </w:tcPr>
          <w:p w14:paraId="44C40EEE" w14:textId="77777777" w:rsidR="00216897" w:rsidRPr="001F3BCA" w:rsidRDefault="00216897" w:rsidP="00216897">
            <w:pPr>
              <w:keepLines w:val="0"/>
              <w:autoSpaceDE w:val="0"/>
              <w:autoSpaceDN w:val="0"/>
              <w:adjustRightInd w:val="0"/>
              <w:spacing w:before="0" w:after="0"/>
              <w:jc w:val="center"/>
              <w:rPr>
                <w:rFonts w:cs="Calibri"/>
                <w:b/>
                <w:bCs/>
                <w:color w:val="000000"/>
                <w:sz w:val="23"/>
                <w:szCs w:val="22"/>
                <w:lang w:eastAsia="en-NZ"/>
              </w:rPr>
            </w:pPr>
            <w:r w:rsidRPr="001F3BCA">
              <w:rPr>
                <w:rFonts w:cs="Calibri"/>
                <w:b/>
                <w:bCs/>
                <w:color w:val="000000"/>
                <w:sz w:val="23"/>
                <w:szCs w:val="22"/>
                <w:lang w:eastAsia="en-NZ"/>
              </w:rPr>
              <w:t>Actual</w:t>
            </w:r>
          </w:p>
        </w:tc>
        <w:tc>
          <w:tcPr>
            <w:tcW w:w="902" w:type="dxa"/>
            <w:tcBorders>
              <w:top w:val="single" w:sz="6" w:space="0" w:color="auto"/>
              <w:left w:val="single" w:sz="6" w:space="0" w:color="auto"/>
              <w:bottom w:val="single" w:sz="6" w:space="0" w:color="auto"/>
              <w:right w:val="single" w:sz="6" w:space="0" w:color="auto"/>
            </w:tcBorders>
            <w:shd w:val="solid" w:color="99CC00" w:fill="auto"/>
          </w:tcPr>
          <w:p w14:paraId="307DA697" w14:textId="77777777" w:rsidR="00216897" w:rsidRPr="001F3BCA" w:rsidRDefault="00216897" w:rsidP="00216897">
            <w:pPr>
              <w:keepLines w:val="0"/>
              <w:autoSpaceDE w:val="0"/>
              <w:autoSpaceDN w:val="0"/>
              <w:adjustRightInd w:val="0"/>
              <w:spacing w:before="0" w:after="0"/>
              <w:jc w:val="center"/>
              <w:rPr>
                <w:rFonts w:cs="Calibri"/>
                <w:b/>
                <w:bCs/>
                <w:color w:val="000000"/>
                <w:sz w:val="23"/>
                <w:szCs w:val="22"/>
                <w:lang w:eastAsia="en-NZ"/>
              </w:rPr>
            </w:pPr>
            <w:r w:rsidRPr="001F3BCA">
              <w:rPr>
                <w:rFonts w:cs="Calibri"/>
                <w:b/>
                <w:bCs/>
                <w:color w:val="000000"/>
                <w:sz w:val="23"/>
                <w:szCs w:val="22"/>
                <w:lang w:eastAsia="en-NZ"/>
              </w:rPr>
              <w:t>Budget</w:t>
            </w:r>
          </w:p>
        </w:tc>
        <w:tc>
          <w:tcPr>
            <w:tcW w:w="990" w:type="dxa"/>
            <w:tcBorders>
              <w:top w:val="single" w:sz="6" w:space="0" w:color="auto"/>
              <w:left w:val="single" w:sz="6" w:space="0" w:color="auto"/>
              <w:bottom w:val="single" w:sz="6" w:space="0" w:color="auto"/>
              <w:right w:val="single" w:sz="6" w:space="0" w:color="auto"/>
            </w:tcBorders>
            <w:shd w:val="solid" w:color="99CC00" w:fill="auto"/>
          </w:tcPr>
          <w:p w14:paraId="5F6CB86F" w14:textId="77777777" w:rsidR="00216897" w:rsidRPr="001F3BCA" w:rsidRDefault="00216897" w:rsidP="00216897">
            <w:pPr>
              <w:keepLines w:val="0"/>
              <w:autoSpaceDE w:val="0"/>
              <w:autoSpaceDN w:val="0"/>
              <w:adjustRightInd w:val="0"/>
              <w:spacing w:before="0" w:after="0"/>
              <w:jc w:val="center"/>
              <w:rPr>
                <w:rFonts w:cs="Calibri"/>
                <w:b/>
                <w:bCs/>
                <w:color w:val="000000"/>
                <w:sz w:val="23"/>
                <w:szCs w:val="22"/>
                <w:lang w:eastAsia="en-NZ"/>
              </w:rPr>
            </w:pPr>
            <w:r w:rsidRPr="001F3BCA">
              <w:rPr>
                <w:rFonts w:cs="Calibri"/>
                <w:b/>
                <w:bCs/>
                <w:color w:val="000000"/>
                <w:sz w:val="23"/>
                <w:szCs w:val="22"/>
                <w:lang w:eastAsia="en-NZ"/>
              </w:rPr>
              <w:t>Variance</w:t>
            </w:r>
          </w:p>
        </w:tc>
      </w:tr>
      <w:tr w:rsidR="00216897" w14:paraId="2866601D"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tcPr>
          <w:p w14:paraId="4F87C85B" w14:textId="77777777" w:rsidR="00216897" w:rsidRPr="001F3BCA" w:rsidRDefault="00216897" w:rsidP="00216897">
            <w:pPr>
              <w:keepLines w:val="0"/>
              <w:autoSpaceDE w:val="0"/>
              <w:autoSpaceDN w:val="0"/>
              <w:adjustRightInd w:val="0"/>
              <w:spacing w:before="0" w:after="0"/>
              <w:rPr>
                <w:rFonts w:cs="Calibri"/>
                <w:color w:val="000000"/>
                <w:sz w:val="23"/>
                <w:szCs w:val="22"/>
                <w:lang w:eastAsia="en-NZ"/>
              </w:rPr>
            </w:pPr>
            <w:r w:rsidRPr="001F3BCA">
              <w:rPr>
                <w:rFonts w:cs="Calibri"/>
                <w:color w:val="000000"/>
                <w:sz w:val="23"/>
                <w:szCs w:val="22"/>
                <w:lang w:eastAsia="en-NZ"/>
              </w:rPr>
              <w:t>Departmental MYA</w:t>
            </w:r>
          </w:p>
        </w:tc>
        <w:tc>
          <w:tcPr>
            <w:tcW w:w="903" w:type="dxa"/>
            <w:tcBorders>
              <w:top w:val="single" w:sz="6" w:space="0" w:color="auto"/>
              <w:left w:val="single" w:sz="6" w:space="0" w:color="auto"/>
              <w:bottom w:val="single" w:sz="6" w:space="0" w:color="auto"/>
              <w:right w:val="single" w:sz="6" w:space="0" w:color="auto"/>
            </w:tcBorders>
          </w:tcPr>
          <w:p w14:paraId="271E3B14"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18,919</w:t>
            </w:r>
          </w:p>
        </w:tc>
        <w:tc>
          <w:tcPr>
            <w:tcW w:w="902" w:type="dxa"/>
            <w:tcBorders>
              <w:top w:val="single" w:sz="6" w:space="0" w:color="auto"/>
              <w:left w:val="single" w:sz="6" w:space="0" w:color="auto"/>
              <w:bottom w:val="single" w:sz="6" w:space="0" w:color="auto"/>
              <w:right w:val="single" w:sz="6" w:space="0" w:color="auto"/>
            </w:tcBorders>
          </w:tcPr>
          <w:p w14:paraId="4DCD36F2"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19,384</w:t>
            </w:r>
          </w:p>
        </w:tc>
        <w:tc>
          <w:tcPr>
            <w:tcW w:w="990" w:type="dxa"/>
            <w:tcBorders>
              <w:top w:val="single" w:sz="6" w:space="0" w:color="auto"/>
              <w:left w:val="single" w:sz="6" w:space="0" w:color="auto"/>
              <w:bottom w:val="single" w:sz="6" w:space="0" w:color="auto"/>
              <w:right w:val="single" w:sz="6" w:space="0" w:color="auto"/>
            </w:tcBorders>
          </w:tcPr>
          <w:p w14:paraId="54C1C318"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465</w:t>
            </w:r>
          </w:p>
        </w:tc>
      </w:tr>
      <w:tr w:rsidR="00216897" w14:paraId="2D0E9103"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7A81FDB1" w14:textId="77777777" w:rsidR="00216897" w:rsidRPr="001F3BCA" w:rsidRDefault="00216897" w:rsidP="00216897">
            <w:pPr>
              <w:keepLines w:val="0"/>
              <w:autoSpaceDE w:val="0"/>
              <w:autoSpaceDN w:val="0"/>
              <w:adjustRightInd w:val="0"/>
              <w:spacing w:before="0" w:after="0"/>
              <w:rPr>
                <w:rFonts w:cs="Calibri"/>
                <w:color w:val="000000"/>
                <w:sz w:val="23"/>
                <w:szCs w:val="22"/>
                <w:lang w:eastAsia="en-NZ"/>
              </w:rPr>
            </w:pPr>
            <w:r w:rsidRPr="001F3BCA">
              <w:rPr>
                <w:rFonts w:cs="Calibri"/>
                <w:color w:val="000000"/>
                <w:sz w:val="23"/>
                <w:szCs w:val="22"/>
                <w:lang w:eastAsia="en-NZ"/>
              </w:rPr>
              <w:t>Capital</w:t>
            </w:r>
          </w:p>
        </w:tc>
        <w:tc>
          <w:tcPr>
            <w:tcW w:w="903"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67EE623D"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1,064</w:t>
            </w:r>
          </w:p>
        </w:tc>
        <w:tc>
          <w:tcPr>
            <w:tcW w:w="902"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3F3BB093"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1,606</w:t>
            </w:r>
          </w:p>
        </w:tc>
        <w:tc>
          <w:tcPr>
            <w:tcW w:w="990"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6FF1DF40"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542</w:t>
            </w:r>
          </w:p>
        </w:tc>
      </w:tr>
      <w:tr w:rsidR="00216897" w14:paraId="20720B8E"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tcPr>
          <w:p w14:paraId="22DDF62F" w14:textId="77777777" w:rsidR="00216897" w:rsidRPr="001F3BCA" w:rsidRDefault="00216897" w:rsidP="00216897">
            <w:pPr>
              <w:keepLines w:val="0"/>
              <w:autoSpaceDE w:val="0"/>
              <w:autoSpaceDN w:val="0"/>
              <w:adjustRightInd w:val="0"/>
              <w:spacing w:before="0" w:after="0"/>
              <w:rPr>
                <w:rFonts w:cs="Calibri"/>
                <w:color w:val="000000"/>
                <w:sz w:val="23"/>
                <w:szCs w:val="22"/>
                <w:lang w:eastAsia="en-NZ"/>
              </w:rPr>
            </w:pPr>
            <w:r w:rsidRPr="001F3BCA">
              <w:rPr>
                <w:rFonts w:cs="Calibri"/>
                <w:color w:val="000000"/>
                <w:sz w:val="23"/>
                <w:szCs w:val="22"/>
                <w:lang w:eastAsia="en-NZ"/>
              </w:rPr>
              <w:t>Commissioner fees</w:t>
            </w:r>
          </w:p>
        </w:tc>
        <w:tc>
          <w:tcPr>
            <w:tcW w:w="903" w:type="dxa"/>
            <w:tcBorders>
              <w:top w:val="single" w:sz="6" w:space="0" w:color="auto"/>
              <w:left w:val="single" w:sz="6" w:space="0" w:color="auto"/>
              <w:bottom w:val="single" w:sz="6" w:space="0" w:color="auto"/>
              <w:right w:val="single" w:sz="6" w:space="0" w:color="auto"/>
            </w:tcBorders>
          </w:tcPr>
          <w:p w14:paraId="383A379A"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646</w:t>
            </w:r>
          </w:p>
        </w:tc>
        <w:tc>
          <w:tcPr>
            <w:tcW w:w="902" w:type="dxa"/>
            <w:tcBorders>
              <w:top w:val="single" w:sz="6" w:space="0" w:color="auto"/>
              <w:left w:val="single" w:sz="6" w:space="0" w:color="auto"/>
              <w:bottom w:val="single" w:sz="6" w:space="0" w:color="auto"/>
              <w:right w:val="single" w:sz="6" w:space="0" w:color="auto"/>
            </w:tcBorders>
          </w:tcPr>
          <w:p w14:paraId="2C73D036"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729</w:t>
            </w:r>
          </w:p>
        </w:tc>
        <w:tc>
          <w:tcPr>
            <w:tcW w:w="990" w:type="dxa"/>
            <w:tcBorders>
              <w:top w:val="single" w:sz="6" w:space="0" w:color="auto"/>
              <w:left w:val="single" w:sz="6" w:space="0" w:color="auto"/>
              <w:bottom w:val="single" w:sz="6" w:space="0" w:color="auto"/>
              <w:right w:val="single" w:sz="6" w:space="0" w:color="auto"/>
            </w:tcBorders>
          </w:tcPr>
          <w:p w14:paraId="7207631C"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84</w:t>
            </w:r>
          </w:p>
        </w:tc>
      </w:tr>
      <w:tr w:rsidR="00216897" w14:paraId="3453957C"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52320D18" w14:textId="77777777" w:rsidR="00216897" w:rsidRPr="001F3BCA" w:rsidRDefault="00216897" w:rsidP="00216897">
            <w:pPr>
              <w:keepLines w:val="0"/>
              <w:autoSpaceDE w:val="0"/>
              <w:autoSpaceDN w:val="0"/>
              <w:adjustRightInd w:val="0"/>
              <w:spacing w:before="0" w:after="0"/>
              <w:rPr>
                <w:rFonts w:cs="Calibri"/>
                <w:color w:val="000000"/>
                <w:sz w:val="23"/>
                <w:szCs w:val="22"/>
                <w:lang w:eastAsia="en-NZ"/>
              </w:rPr>
            </w:pPr>
            <w:r w:rsidRPr="001F3BCA">
              <w:rPr>
                <w:rFonts w:cs="Calibri"/>
                <w:color w:val="000000"/>
                <w:sz w:val="23"/>
                <w:szCs w:val="22"/>
                <w:lang w:eastAsia="en-NZ"/>
              </w:rPr>
              <w:t>Legal Assistance</w:t>
            </w:r>
          </w:p>
        </w:tc>
        <w:tc>
          <w:tcPr>
            <w:tcW w:w="903"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652D28A2"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295</w:t>
            </w:r>
          </w:p>
        </w:tc>
        <w:tc>
          <w:tcPr>
            <w:tcW w:w="902"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107CC3AB"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1,865</w:t>
            </w:r>
          </w:p>
        </w:tc>
        <w:tc>
          <w:tcPr>
            <w:tcW w:w="990" w:type="dxa"/>
            <w:tcBorders>
              <w:top w:val="single" w:sz="6" w:space="0" w:color="auto"/>
              <w:left w:val="single" w:sz="6" w:space="0" w:color="auto"/>
              <w:bottom w:val="single" w:sz="6" w:space="0" w:color="auto"/>
              <w:right w:val="single" w:sz="6" w:space="0" w:color="auto"/>
            </w:tcBorders>
            <w:shd w:val="clear" w:color="auto" w:fill="DAEECB" w:themeFill="accent4" w:themeFillTint="33"/>
          </w:tcPr>
          <w:p w14:paraId="1D6B316B"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1,570</w:t>
            </w:r>
          </w:p>
        </w:tc>
      </w:tr>
      <w:tr w:rsidR="00216897" w14:paraId="6BC3CF3D"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tcPr>
          <w:p w14:paraId="059A980F" w14:textId="77777777" w:rsidR="00216897" w:rsidRPr="001F3BCA" w:rsidRDefault="00216897" w:rsidP="00216897">
            <w:pPr>
              <w:keepLines w:val="0"/>
              <w:autoSpaceDE w:val="0"/>
              <w:autoSpaceDN w:val="0"/>
              <w:adjustRightInd w:val="0"/>
              <w:spacing w:before="0" w:after="0"/>
              <w:rPr>
                <w:rFonts w:cs="Calibri"/>
                <w:color w:val="000000"/>
                <w:sz w:val="23"/>
                <w:szCs w:val="22"/>
                <w:lang w:eastAsia="en-NZ"/>
              </w:rPr>
            </w:pPr>
            <w:r w:rsidRPr="001F3BCA">
              <w:rPr>
                <w:rFonts w:cs="Calibri"/>
                <w:color w:val="000000"/>
                <w:sz w:val="23"/>
                <w:szCs w:val="22"/>
                <w:lang w:eastAsia="en-NZ"/>
              </w:rPr>
              <w:t>Counselling Assistance</w:t>
            </w:r>
          </w:p>
        </w:tc>
        <w:tc>
          <w:tcPr>
            <w:tcW w:w="903" w:type="dxa"/>
            <w:tcBorders>
              <w:top w:val="single" w:sz="6" w:space="0" w:color="auto"/>
              <w:left w:val="single" w:sz="6" w:space="0" w:color="auto"/>
              <w:bottom w:val="single" w:sz="6" w:space="0" w:color="auto"/>
              <w:right w:val="single" w:sz="6" w:space="0" w:color="auto"/>
            </w:tcBorders>
          </w:tcPr>
          <w:p w14:paraId="16C81B0B"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628</w:t>
            </w:r>
          </w:p>
        </w:tc>
        <w:tc>
          <w:tcPr>
            <w:tcW w:w="902" w:type="dxa"/>
            <w:tcBorders>
              <w:top w:val="single" w:sz="6" w:space="0" w:color="auto"/>
              <w:left w:val="single" w:sz="6" w:space="0" w:color="auto"/>
              <w:bottom w:val="single" w:sz="6" w:space="0" w:color="auto"/>
              <w:right w:val="single" w:sz="6" w:space="0" w:color="auto"/>
            </w:tcBorders>
          </w:tcPr>
          <w:p w14:paraId="15C23331"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763</w:t>
            </w:r>
          </w:p>
        </w:tc>
        <w:tc>
          <w:tcPr>
            <w:tcW w:w="990" w:type="dxa"/>
            <w:tcBorders>
              <w:top w:val="single" w:sz="6" w:space="0" w:color="auto"/>
              <w:left w:val="single" w:sz="6" w:space="0" w:color="auto"/>
              <w:bottom w:val="single" w:sz="6" w:space="0" w:color="auto"/>
              <w:right w:val="single" w:sz="6" w:space="0" w:color="auto"/>
            </w:tcBorders>
          </w:tcPr>
          <w:p w14:paraId="56328922" w14:textId="77777777" w:rsidR="00216897" w:rsidRPr="001F3BCA" w:rsidRDefault="00216897" w:rsidP="00216897">
            <w:pPr>
              <w:keepLines w:val="0"/>
              <w:autoSpaceDE w:val="0"/>
              <w:autoSpaceDN w:val="0"/>
              <w:adjustRightInd w:val="0"/>
              <w:spacing w:before="0" w:after="0"/>
              <w:jc w:val="right"/>
              <w:rPr>
                <w:rFonts w:cs="Calibri"/>
                <w:color w:val="000000"/>
                <w:sz w:val="23"/>
                <w:szCs w:val="22"/>
                <w:lang w:eastAsia="en-NZ"/>
              </w:rPr>
            </w:pPr>
            <w:r w:rsidRPr="001F3BCA">
              <w:rPr>
                <w:rFonts w:cs="Calibri"/>
                <w:color w:val="000000"/>
                <w:sz w:val="23"/>
                <w:szCs w:val="22"/>
                <w:lang w:eastAsia="en-NZ"/>
              </w:rPr>
              <w:t>135</w:t>
            </w:r>
          </w:p>
        </w:tc>
      </w:tr>
      <w:tr w:rsidR="00216897" w14:paraId="1BE8BE8A" w14:textId="77777777" w:rsidTr="00216897">
        <w:trPr>
          <w:trHeight w:val="290"/>
        </w:trPr>
        <w:tc>
          <w:tcPr>
            <w:tcW w:w="5599" w:type="dxa"/>
            <w:tcBorders>
              <w:top w:val="single" w:sz="6" w:space="0" w:color="auto"/>
              <w:left w:val="single" w:sz="6" w:space="0" w:color="auto"/>
              <w:bottom w:val="single" w:sz="6" w:space="0" w:color="auto"/>
              <w:right w:val="single" w:sz="6" w:space="0" w:color="auto"/>
            </w:tcBorders>
            <w:shd w:val="solid" w:color="99CC00" w:fill="auto"/>
          </w:tcPr>
          <w:p w14:paraId="51F25AF5" w14:textId="77777777" w:rsidR="00216897" w:rsidRPr="001F3BCA" w:rsidRDefault="00216897" w:rsidP="00216897">
            <w:pPr>
              <w:keepLines w:val="0"/>
              <w:autoSpaceDE w:val="0"/>
              <w:autoSpaceDN w:val="0"/>
              <w:adjustRightInd w:val="0"/>
              <w:spacing w:before="0" w:after="0"/>
              <w:rPr>
                <w:rFonts w:cs="Calibri"/>
                <w:b/>
                <w:bCs/>
                <w:color w:val="000000"/>
                <w:sz w:val="23"/>
                <w:szCs w:val="22"/>
                <w:lang w:eastAsia="en-NZ"/>
              </w:rPr>
            </w:pPr>
            <w:r w:rsidRPr="001F3BCA">
              <w:rPr>
                <w:rFonts w:cs="Calibri"/>
                <w:b/>
                <w:bCs/>
                <w:color w:val="000000"/>
                <w:sz w:val="23"/>
                <w:szCs w:val="22"/>
                <w:lang w:eastAsia="en-NZ"/>
              </w:rPr>
              <w:t>Total</w:t>
            </w:r>
          </w:p>
        </w:tc>
        <w:tc>
          <w:tcPr>
            <w:tcW w:w="903" w:type="dxa"/>
            <w:tcBorders>
              <w:top w:val="single" w:sz="6" w:space="0" w:color="auto"/>
              <w:left w:val="single" w:sz="6" w:space="0" w:color="auto"/>
              <w:bottom w:val="single" w:sz="6" w:space="0" w:color="auto"/>
              <w:right w:val="single" w:sz="6" w:space="0" w:color="auto"/>
            </w:tcBorders>
            <w:shd w:val="solid" w:color="99CC00" w:fill="auto"/>
          </w:tcPr>
          <w:p w14:paraId="59985653" w14:textId="77777777" w:rsidR="00216897" w:rsidRPr="001F3BCA" w:rsidRDefault="00216897" w:rsidP="00216897">
            <w:pPr>
              <w:keepLines w:val="0"/>
              <w:autoSpaceDE w:val="0"/>
              <w:autoSpaceDN w:val="0"/>
              <w:adjustRightInd w:val="0"/>
              <w:spacing w:before="0" w:after="0"/>
              <w:jc w:val="right"/>
              <w:rPr>
                <w:rFonts w:cs="Calibri"/>
                <w:b/>
                <w:bCs/>
                <w:color w:val="000000"/>
                <w:sz w:val="23"/>
                <w:szCs w:val="22"/>
                <w:lang w:eastAsia="en-NZ"/>
              </w:rPr>
            </w:pPr>
            <w:r w:rsidRPr="001F3BCA">
              <w:rPr>
                <w:rFonts w:cs="Calibri"/>
                <w:b/>
                <w:bCs/>
                <w:color w:val="000000"/>
                <w:sz w:val="23"/>
                <w:szCs w:val="22"/>
                <w:lang w:eastAsia="en-NZ"/>
              </w:rPr>
              <w:t>21,552</w:t>
            </w:r>
          </w:p>
        </w:tc>
        <w:tc>
          <w:tcPr>
            <w:tcW w:w="902" w:type="dxa"/>
            <w:tcBorders>
              <w:top w:val="single" w:sz="6" w:space="0" w:color="auto"/>
              <w:left w:val="single" w:sz="6" w:space="0" w:color="auto"/>
              <w:bottom w:val="single" w:sz="6" w:space="0" w:color="auto"/>
              <w:right w:val="single" w:sz="6" w:space="0" w:color="auto"/>
            </w:tcBorders>
            <w:shd w:val="solid" w:color="99CC00" w:fill="auto"/>
          </w:tcPr>
          <w:p w14:paraId="44348884" w14:textId="77777777" w:rsidR="00216897" w:rsidRPr="001F3BCA" w:rsidRDefault="00216897" w:rsidP="00216897">
            <w:pPr>
              <w:keepLines w:val="0"/>
              <w:autoSpaceDE w:val="0"/>
              <w:autoSpaceDN w:val="0"/>
              <w:adjustRightInd w:val="0"/>
              <w:spacing w:before="0" w:after="0"/>
              <w:jc w:val="right"/>
              <w:rPr>
                <w:rFonts w:cs="Calibri"/>
                <w:b/>
                <w:bCs/>
                <w:color w:val="000000"/>
                <w:sz w:val="23"/>
                <w:szCs w:val="22"/>
                <w:lang w:eastAsia="en-NZ"/>
              </w:rPr>
            </w:pPr>
            <w:r w:rsidRPr="001F3BCA">
              <w:rPr>
                <w:rFonts w:cs="Calibri"/>
                <w:b/>
                <w:bCs/>
                <w:color w:val="000000"/>
                <w:sz w:val="23"/>
                <w:szCs w:val="22"/>
                <w:lang w:eastAsia="en-NZ"/>
              </w:rPr>
              <w:t>24,347</w:t>
            </w:r>
          </w:p>
        </w:tc>
        <w:tc>
          <w:tcPr>
            <w:tcW w:w="990" w:type="dxa"/>
            <w:tcBorders>
              <w:top w:val="single" w:sz="6" w:space="0" w:color="auto"/>
              <w:left w:val="single" w:sz="6" w:space="0" w:color="auto"/>
              <w:bottom w:val="single" w:sz="6" w:space="0" w:color="auto"/>
              <w:right w:val="single" w:sz="6" w:space="0" w:color="auto"/>
            </w:tcBorders>
            <w:shd w:val="solid" w:color="99CC00" w:fill="auto"/>
          </w:tcPr>
          <w:p w14:paraId="2E660C0B" w14:textId="77777777" w:rsidR="00216897" w:rsidRPr="001F3BCA" w:rsidRDefault="00216897" w:rsidP="00216897">
            <w:pPr>
              <w:keepLines w:val="0"/>
              <w:autoSpaceDE w:val="0"/>
              <w:autoSpaceDN w:val="0"/>
              <w:adjustRightInd w:val="0"/>
              <w:spacing w:before="0" w:after="0"/>
              <w:jc w:val="right"/>
              <w:rPr>
                <w:rFonts w:cs="Calibri"/>
                <w:b/>
                <w:bCs/>
                <w:color w:val="000000"/>
                <w:sz w:val="23"/>
                <w:szCs w:val="22"/>
                <w:lang w:eastAsia="en-NZ"/>
              </w:rPr>
            </w:pPr>
            <w:r w:rsidRPr="001F3BCA">
              <w:rPr>
                <w:rFonts w:cs="Calibri"/>
                <w:b/>
                <w:bCs/>
                <w:color w:val="000000"/>
                <w:sz w:val="23"/>
                <w:szCs w:val="22"/>
                <w:lang w:eastAsia="en-NZ"/>
              </w:rPr>
              <w:t>2,795</w:t>
            </w:r>
          </w:p>
        </w:tc>
      </w:tr>
    </w:tbl>
    <w:p w14:paraId="4AE284FB" w14:textId="77777777" w:rsidR="00216897" w:rsidRPr="003C1A99" w:rsidRDefault="00216897" w:rsidP="00216897">
      <w:pPr>
        <w:spacing w:after="120"/>
        <w:rPr>
          <w:b/>
        </w:rPr>
      </w:pPr>
      <w:r w:rsidRPr="003C1A99">
        <w:rPr>
          <w:b/>
        </w:rPr>
        <w:t>Commentary</w:t>
      </w:r>
    </w:p>
    <w:p w14:paraId="6F146AA5" w14:textId="77777777" w:rsidR="00216897" w:rsidRDefault="00216897" w:rsidP="00216897">
      <w:pPr>
        <w:pStyle w:val="ListParagraph"/>
        <w:numPr>
          <w:ilvl w:val="0"/>
          <w:numId w:val="30"/>
        </w:numPr>
        <w:spacing w:after="120"/>
      </w:pPr>
      <w:r>
        <w:t>The Commission underspent to budget across all appropriations by a combined $2.795m</w:t>
      </w:r>
    </w:p>
    <w:p w14:paraId="7D4C377F" w14:textId="77777777" w:rsidR="00216897" w:rsidRDefault="00216897" w:rsidP="00216897">
      <w:pPr>
        <w:pStyle w:val="ListParagraph"/>
        <w:numPr>
          <w:ilvl w:val="0"/>
          <w:numId w:val="30"/>
        </w:numPr>
        <w:spacing w:after="120"/>
      </w:pPr>
      <w:r>
        <w:t>An operational underspend of $0.465m (Departmental MYA) was materially driven by underspends in Travel and Consultants, in part driven by the impacts of COVID</w:t>
      </w:r>
    </w:p>
    <w:p w14:paraId="6FF9F134" w14:textId="77777777" w:rsidR="00216897" w:rsidRDefault="00216897" w:rsidP="00216897">
      <w:pPr>
        <w:pStyle w:val="ListParagraph"/>
        <w:numPr>
          <w:ilvl w:val="0"/>
          <w:numId w:val="30"/>
        </w:numPr>
        <w:spacing w:after="120"/>
      </w:pPr>
      <w:r>
        <w:t xml:space="preserve">A Legal Assistance underspend of $1.570m is expected to be a timing issue, as planned public hearings ramp up during the second half of the financial year </w:t>
      </w:r>
    </w:p>
    <w:p w14:paraId="62A751A6" w14:textId="77777777" w:rsidR="00216897" w:rsidRDefault="00216897" w:rsidP="00216897">
      <w:pPr>
        <w:pStyle w:val="ListParagraph"/>
        <w:numPr>
          <w:ilvl w:val="0"/>
          <w:numId w:val="30"/>
        </w:numPr>
        <w:spacing w:after="120"/>
      </w:pPr>
      <w:r>
        <w:t>The Capital underspend is driven by lower Auckland public hearing build costs than the Commissions internal budget</w:t>
      </w:r>
    </w:p>
    <w:p w14:paraId="47F42D96" w14:textId="77777777" w:rsidR="00216897" w:rsidRDefault="00216897" w:rsidP="00216897">
      <w:pPr>
        <w:pStyle w:val="ListParagraph"/>
        <w:numPr>
          <w:ilvl w:val="0"/>
          <w:numId w:val="30"/>
        </w:numPr>
        <w:spacing w:after="120"/>
      </w:pPr>
      <w:r>
        <w:t>Totals may not sum due to rounding</w:t>
      </w:r>
    </w:p>
    <w:p w14:paraId="5964591C" w14:textId="77777777" w:rsidR="00216897" w:rsidRDefault="00216897" w:rsidP="00BE67AB">
      <w:pPr>
        <w:pStyle w:val="Heading2"/>
      </w:pPr>
    </w:p>
    <w:p w14:paraId="255FF7EF" w14:textId="77777777" w:rsidR="00216897" w:rsidRDefault="00216897">
      <w:pPr>
        <w:keepLines w:val="0"/>
        <w:rPr>
          <w:rFonts w:cs="Arial"/>
          <w:b/>
          <w:bCs/>
          <w:iCs/>
          <w:color w:val="1F546B"/>
          <w:sz w:val="36"/>
          <w:szCs w:val="28"/>
        </w:rPr>
      </w:pPr>
      <w:r>
        <w:br w:type="page"/>
      </w:r>
    </w:p>
    <w:p w14:paraId="52C55908" w14:textId="77777777" w:rsidR="00216897" w:rsidRPr="00FC295C" w:rsidRDefault="00216897" w:rsidP="00216897">
      <w:pPr>
        <w:pStyle w:val="Heading2"/>
      </w:pPr>
      <w:r w:rsidRPr="004E3D71">
        <w:lastRenderedPageBreak/>
        <w:t>Budget 2020/21</w:t>
      </w:r>
    </w:p>
    <w:p w14:paraId="77F559F3" w14:textId="77777777" w:rsidR="00216897" w:rsidRDefault="00216897" w:rsidP="00216897">
      <w:pPr>
        <w:keepLines w:val="0"/>
      </w:pPr>
      <w:r w:rsidRPr="001760AB">
        <w:t>The table below summarises the Royal Commission</w:t>
      </w:r>
      <w:r>
        <w:t>’</w:t>
      </w:r>
      <w:r w:rsidRPr="001760AB">
        <w:t>s</w:t>
      </w:r>
      <w:r>
        <w:t xml:space="preserve"> 2020/21 Budget by</w:t>
      </w:r>
      <w:r w:rsidRPr="001760AB">
        <w:t xml:space="preserve"> </w:t>
      </w:r>
      <w:r>
        <w:t>appropriation as at 1 July 2020.</w:t>
      </w:r>
    </w:p>
    <w:tbl>
      <w:tblPr>
        <w:tblW w:w="8963" w:type="dxa"/>
        <w:tblLook w:val="04A0" w:firstRow="1" w:lastRow="0" w:firstColumn="1" w:lastColumn="0" w:noHBand="0" w:noVBand="1"/>
      </w:tblPr>
      <w:tblGrid>
        <w:gridCol w:w="4163"/>
        <w:gridCol w:w="960"/>
        <w:gridCol w:w="997"/>
        <w:gridCol w:w="960"/>
        <w:gridCol w:w="960"/>
        <w:gridCol w:w="997"/>
      </w:tblGrid>
      <w:tr w:rsidR="00216897" w:rsidRPr="009B6CE5" w14:paraId="732968E2" w14:textId="77777777" w:rsidTr="00216897">
        <w:trPr>
          <w:trHeight w:val="300"/>
        </w:trPr>
        <w:tc>
          <w:tcPr>
            <w:tcW w:w="4163" w:type="dxa"/>
            <w:tcBorders>
              <w:top w:val="single" w:sz="8" w:space="0" w:color="auto"/>
              <w:left w:val="single" w:sz="8" w:space="0" w:color="auto"/>
              <w:bottom w:val="nil"/>
              <w:right w:val="single" w:sz="8" w:space="0" w:color="auto"/>
            </w:tcBorders>
            <w:shd w:val="clear" w:color="000000" w:fill="92D050"/>
            <w:noWrap/>
            <w:vAlign w:val="bottom"/>
            <w:hideMark/>
          </w:tcPr>
          <w:p w14:paraId="1A88BB83"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Appropriation</w:t>
            </w:r>
          </w:p>
        </w:tc>
        <w:tc>
          <w:tcPr>
            <w:tcW w:w="960" w:type="dxa"/>
            <w:tcBorders>
              <w:top w:val="single" w:sz="8" w:space="0" w:color="auto"/>
              <w:left w:val="nil"/>
              <w:bottom w:val="nil"/>
              <w:right w:val="single" w:sz="8" w:space="0" w:color="auto"/>
            </w:tcBorders>
            <w:shd w:val="clear" w:color="000000" w:fill="92D050"/>
            <w:noWrap/>
            <w:vAlign w:val="center"/>
            <w:hideMark/>
          </w:tcPr>
          <w:p w14:paraId="0A8E4A5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Q1</w:t>
            </w:r>
          </w:p>
        </w:tc>
        <w:tc>
          <w:tcPr>
            <w:tcW w:w="960" w:type="dxa"/>
            <w:tcBorders>
              <w:top w:val="single" w:sz="8" w:space="0" w:color="auto"/>
              <w:left w:val="nil"/>
              <w:bottom w:val="nil"/>
              <w:right w:val="single" w:sz="8" w:space="0" w:color="auto"/>
            </w:tcBorders>
            <w:shd w:val="clear" w:color="000000" w:fill="92D050"/>
            <w:noWrap/>
            <w:vAlign w:val="center"/>
            <w:hideMark/>
          </w:tcPr>
          <w:p w14:paraId="0FC786F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Q2</w:t>
            </w:r>
          </w:p>
        </w:tc>
        <w:tc>
          <w:tcPr>
            <w:tcW w:w="960" w:type="dxa"/>
            <w:tcBorders>
              <w:top w:val="single" w:sz="8" w:space="0" w:color="auto"/>
              <w:left w:val="nil"/>
              <w:bottom w:val="nil"/>
              <w:right w:val="single" w:sz="8" w:space="0" w:color="auto"/>
            </w:tcBorders>
            <w:shd w:val="clear" w:color="000000" w:fill="92D050"/>
            <w:noWrap/>
            <w:vAlign w:val="center"/>
            <w:hideMark/>
          </w:tcPr>
          <w:p w14:paraId="74924A09"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Q3</w:t>
            </w:r>
          </w:p>
        </w:tc>
        <w:tc>
          <w:tcPr>
            <w:tcW w:w="960" w:type="dxa"/>
            <w:tcBorders>
              <w:top w:val="single" w:sz="8" w:space="0" w:color="auto"/>
              <w:left w:val="nil"/>
              <w:bottom w:val="nil"/>
              <w:right w:val="single" w:sz="8" w:space="0" w:color="auto"/>
            </w:tcBorders>
            <w:shd w:val="clear" w:color="000000" w:fill="92D050"/>
            <w:noWrap/>
            <w:vAlign w:val="center"/>
            <w:hideMark/>
          </w:tcPr>
          <w:p w14:paraId="2B2F28F7"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Q4</w:t>
            </w:r>
          </w:p>
        </w:tc>
        <w:tc>
          <w:tcPr>
            <w:tcW w:w="960" w:type="dxa"/>
            <w:tcBorders>
              <w:top w:val="single" w:sz="8" w:space="0" w:color="auto"/>
              <w:left w:val="nil"/>
              <w:bottom w:val="nil"/>
              <w:right w:val="single" w:sz="8" w:space="0" w:color="auto"/>
            </w:tcBorders>
            <w:shd w:val="clear" w:color="000000" w:fill="92D050"/>
            <w:noWrap/>
            <w:vAlign w:val="center"/>
            <w:hideMark/>
          </w:tcPr>
          <w:p w14:paraId="4B436292"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Total</w:t>
            </w:r>
          </w:p>
        </w:tc>
      </w:tr>
      <w:tr w:rsidR="00216897" w:rsidRPr="009B6CE5" w14:paraId="52593201" w14:textId="77777777" w:rsidTr="00216897">
        <w:trPr>
          <w:trHeight w:val="300"/>
        </w:trPr>
        <w:tc>
          <w:tcPr>
            <w:tcW w:w="4163" w:type="dxa"/>
            <w:tcBorders>
              <w:top w:val="single" w:sz="8" w:space="0" w:color="auto"/>
              <w:left w:val="single" w:sz="8" w:space="0" w:color="auto"/>
              <w:bottom w:val="single" w:sz="8" w:space="0" w:color="auto"/>
              <w:right w:val="nil"/>
            </w:tcBorders>
            <w:shd w:val="clear" w:color="000000" w:fill="E2EFDA"/>
            <w:vAlign w:val="center"/>
            <w:hideMark/>
          </w:tcPr>
          <w:p w14:paraId="16A98AE2" w14:textId="77777777" w:rsidR="00216897" w:rsidRPr="001F3BCA" w:rsidRDefault="00216897" w:rsidP="00216897">
            <w:pPr>
              <w:keepLines w:val="0"/>
              <w:spacing w:before="0" w:after="0"/>
              <w:rPr>
                <w:rFonts w:eastAsia="Times New Roman" w:cs="Calibri"/>
                <w:b/>
                <w:bCs/>
                <w:color w:val="000000"/>
                <w:sz w:val="23"/>
                <w:lang w:eastAsia="en-NZ"/>
              </w:rPr>
            </w:pPr>
            <w:r w:rsidRPr="001F3BCA">
              <w:rPr>
                <w:rFonts w:eastAsia="Times New Roman" w:cs="Calibri"/>
                <w:b/>
                <w:bCs/>
                <w:color w:val="000000"/>
                <w:sz w:val="23"/>
                <w:lang w:eastAsia="en-NZ"/>
              </w:rPr>
              <w:t>Departmental MYA</w:t>
            </w:r>
          </w:p>
        </w:tc>
        <w:tc>
          <w:tcPr>
            <w:tcW w:w="4800" w:type="dxa"/>
            <w:gridSpan w:val="5"/>
            <w:tcBorders>
              <w:top w:val="single" w:sz="8" w:space="0" w:color="auto"/>
              <w:left w:val="nil"/>
              <w:bottom w:val="single" w:sz="8" w:space="0" w:color="auto"/>
              <w:right w:val="single" w:sz="8" w:space="0" w:color="000000"/>
            </w:tcBorders>
            <w:shd w:val="clear" w:color="000000" w:fill="E2EFDA"/>
            <w:vAlign w:val="center"/>
            <w:hideMark/>
          </w:tcPr>
          <w:p w14:paraId="0141BF6C" w14:textId="77777777" w:rsidR="00216897" w:rsidRPr="001F3BCA" w:rsidRDefault="00216897" w:rsidP="00216897">
            <w:pPr>
              <w:keepLines w:val="0"/>
              <w:spacing w:before="0" w:after="0"/>
              <w:jc w:val="center"/>
              <w:rPr>
                <w:rFonts w:eastAsia="Times New Roman" w:cs="Calibri"/>
                <w:b/>
                <w:bCs/>
                <w:color w:val="000000"/>
                <w:sz w:val="23"/>
                <w:lang w:eastAsia="en-NZ"/>
              </w:rPr>
            </w:pPr>
            <w:r w:rsidRPr="001F3BCA">
              <w:rPr>
                <w:rFonts w:eastAsia="Times New Roman" w:cs="Calibri"/>
                <w:b/>
                <w:bCs/>
                <w:color w:val="000000"/>
                <w:sz w:val="23"/>
                <w:lang w:eastAsia="en-NZ"/>
              </w:rPr>
              <w:t>$M</w:t>
            </w:r>
          </w:p>
        </w:tc>
      </w:tr>
      <w:tr w:rsidR="00216897" w:rsidRPr="009B6CE5" w14:paraId="50C970B5" w14:textId="77777777" w:rsidTr="00216897">
        <w:trPr>
          <w:trHeight w:val="30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42E02ACE" w14:textId="77777777" w:rsidR="00216897" w:rsidRPr="001F3BCA" w:rsidRDefault="00216897" w:rsidP="00216897">
            <w:pPr>
              <w:keepLines w:val="0"/>
              <w:spacing w:before="0" w:after="0"/>
              <w:rPr>
                <w:rFonts w:eastAsia="Times New Roman" w:cs="Calibri"/>
                <w:color w:val="000000"/>
                <w:sz w:val="23"/>
                <w:lang w:eastAsia="en-NZ"/>
              </w:rPr>
            </w:pPr>
            <w:r w:rsidRPr="001F3BCA">
              <w:rPr>
                <w:rFonts w:eastAsia="Times New Roman" w:cs="Calibri"/>
                <w:color w:val="000000"/>
                <w:sz w:val="23"/>
                <w:lang w:eastAsia="en-NZ"/>
              </w:rPr>
              <w:t>Current 20/21 Baseline</w:t>
            </w:r>
          </w:p>
        </w:tc>
        <w:tc>
          <w:tcPr>
            <w:tcW w:w="960" w:type="dxa"/>
            <w:tcBorders>
              <w:top w:val="nil"/>
              <w:left w:val="nil"/>
              <w:bottom w:val="single" w:sz="8" w:space="0" w:color="auto"/>
              <w:right w:val="single" w:sz="8" w:space="0" w:color="auto"/>
            </w:tcBorders>
            <w:shd w:val="clear" w:color="auto" w:fill="auto"/>
            <w:vAlign w:val="center"/>
            <w:hideMark/>
          </w:tcPr>
          <w:p w14:paraId="2CD6E8FE"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7.713</w:t>
            </w:r>
          </w:p>
        </w:tc>
        <w:tc>
          <w:tcPr>
            <w:tcW w:w="960" w:type="dxa"/>
            <w:tcBorders>
              <w:top w:val="nil"/>
              <w:left w:val="nil"/>
              <w:bottom w:val="single" w:sz="8" w:space="0" w:color="auto"/>
              <w:right w:val="single" w:sz="8" w:space="0" w:color="auto"/>
            </w:tcBorders>
            <w:shd w:val="clear" w:color="auto" w:fill="auto"/>
            <w:vAlign w:val="center"/>
            <w:hideMark/>
          </w:tcPr>
          <w:p w14:paraId="4BB52F0A"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0.000</w:t>
            </w:r>
          </w:p>
        </w:tc>
        <w:tc>
          <w:tcPr>
            <w:tcW w:w="960" w:type="dxa"/>
            <w:tcBorders>
              <w:top w:val="nil"/>
              <w:left w:val="nil"/>
              <w:bottom w:val="single" w:sz="8" w:space="0" w:color="auto"/>
              <w:right w:val="single" w:sz="8" w:space="0" w:color="auto"/>
            </w:tcBorders>
            <w:shd w:val="clear" w:color="auto" w:fill="auto"/>
            <w:vAlign w:val="center"/>
            <w:hideMark/>
          </w:tcPr>
          <w:p w14:paraId="00DA7983"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0.000</w:t>
            </w:r>
          </w:p>
        </w:tc>
        <w:tc>
          <w:tcPr>
            <w:tcW w:w="960" w:type="dxa"/>
            <w:tcBorders>
              <w:top w:val="nil"/>
              <w:left w:val="nil"/>
              <w:bottom w:val="single" w:sz="8" w:space="0" w:color="auto"/>
              <w:right w:val="single" w:sz="8" w:space="0" w:color="auto"/>
            </w:tcBorders>
            <w:shd w:val="clear" w:color="auto" w:fill="auto"/>
            <w:vAlign w:val="center"/>
            <w:hideMark/>
          </w:tcPr>
          <w:p w14:paraId="58745920"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0.000</w:t>
            </w:r>
          </w:p>
        </w:tc>
        <w:tc>
          <w:tcPr>
            <w:tcW w:w="960" w:type="dxa"/>
            <w:tcBorders>
              <w:top w:val="nil"/>
              <w:left w:val="nil"/>
              <w:bottom w:val="single" w:sz="8" w:space="0" w:color="auto"/>
              <w:right w:val="single" w:sz="8" w:space="0" w:color="auto"/>
            </w:tcBorders>
            <w:shd w:val="clear" w:color="auto" w:fill="auto"/>
            <w:vAlign w:val="center"/>
            <w:hideMark/>
          </w:tcPr>
          <w:p w14:paraId="028C05DC"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7.713</w:t>
            </w:r>
          </w:p>
        </w:tc>
      </w:tr>
      <w:tr w:rsidR="00216897" w:rsidRPr="009B6CE5" w14:paraId="45EFB80C" w14:textId="77777777" w:rsidTr="00216897">
        <w:trPr>
          <w:trHeight w:val="53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5AF5BAE7" w14:textId="0E3A3685" w:rsidR="00216897" w:rsidRPr="001F3BCA" w:rsidRDefault="00216897" w:rsidP="00216897">
            <w:pPr>
              <w:keepLines w:val="0"/>
              <w:spacing w:before="0" w:after="0"/>
              <w:rPr>
                <w:rFonts w:eastAsia="Times New Roman" w:cs="Calibri"/>
                <w:sz w:val="23"/>
                <w:lang w:eastAsia="en-NZ"/>
              </w:rPr>
            </w:pPr>
            <w:r w:rsidRPr="001F3BCA">
              <w:rPr>
                <w:rFonts w:eastAsia="Times New Roman" w:cs="Calibri"/>
                <w:sz w:val="23"/>
                <w:lang w:eastAsia="en-NZ"/>
              </w:rPr>
              <w:t>Planned adjustments at O</w:t>
            </w:r>
            <w:r w:rsidR="00E521AB" w:rsidRPr="001F3BCA">
              <w:rPr>
                <w:rFonts w:eastAsia="Times New Roman" w:cs="Calibri"/>
                <w:sz w:val="23"/>
                <w:lang w:eastAsia="en-NZ"/>
              </w:rPr>
              <w:t>ctober Baseline Update (OBU)</w:t>
            </w:r>
            <w:r w:rsidR="001B0263" w:rsidRPr="001F3BCA">
              <w:rPr>
                <w:rFonts w:eastAsia="Times New Roman" w:cs="Calibri"/>
                <w:sz w:val="23"/>
                <w:lang w:eastAsia="en-NZ"/>
              </w:rPr>
              <w:t xml:space="preserve"> - Carried Forward</w:t>
            </w:r>
            <w:r w:rsidRPr="001F3BCA">
              <w:rPr>
                <w:rFonts w:eastAsia="Times New Roman" w:cs="Calibri"/>
                <w:sz w:val="23"/>
                <w:lang w:eastAsia="en-NZ"/>
              </w:rPr>
              <w:t xml:space="preserve"> from 19/20</w:t>
            </w:r>
          </w:p>
        </w:tc>
        <w:tc>
          <w:tcPr>
            <w:tcW w:w="960" w:type="dxa"/>
            <w:tcBorders>
              <w:top w:val="nil"/>
              <w:left w:val="nil"/>
              <w:bottom w:val="single" w:sz="8" w:space="0" w:color="auto"/>
              <w:right w:val="single" w:sz="8" w:space="0" w:color="auto"/>
            </w:tcBorders>
            <w:shd w:val="clear" w:color="auto" w:fill="auto"/>
            <w:vAlign w:val="center"/>
            <w:hideMark/>
          </w:tcPr>
          <w:p w14:paraId="20101706"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1.543</w:t>
            </w:r>
          </w:p>
        </w:tc>
        <w:tc>
          <w:tcPr>
            <w:tcW w:w="960" w:type="dxa"/>
            <w:tcBorders>
              <w:top w:val="nil"/>
              <w:left w:val="nil"/>
              <w:bottom w:val="single" w:sz="8" w:space="0" w:color="auto"/>
              <w:right w:val="single" w:sz="8" w:space="0" w:color="auto"/>
            </w:tcBorders>
            <w:shd w:val="clear" w:color="auto" w:fill="auto"/>
            <w:vAlign w:val="center"/>
            <w:hideMark/>
          </w:tcPr>
          <w:p w14:paraId="244FF242"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4.142</w:t>
            </w:r>
          </w:p>
        </w:tc>
        <w:tc>
          <w:tcPr>
            <w:tcW w:w="960" w:type="dxa"/>
            <w:tcBorders>
              <w:top w:val="nil"/>
              <w:left w:val="nil"/>
              <w:bottom w:val="single" w:sz="8" w:space="0" w:color="auto"/>
              <w:right w:val="single" w:sz="8" w:space="0" w:color="auto"/>
            </w:tcBorders>
            <w:shd w:val="clear" w:color="auto" w:fill="auto"/>
            <w:vAlign w:val="center"/>
            <w:hideMark/>
          </w:tcPr>
          <w:p w14:paraId="2A0DA6D8"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68C67047"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1FCE3C65"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5.686</w:t>
            </w:r>
          </w:p>
        </w:tc>
      </w:tr>
      <w:tr w:rsidR="00216897" w:rsidRPr="009B6CE5" w14:paraId="2004FD7B" w14:textId="77777777" w:rsidTr="00216897">
        <w:trPr>
          <w:trHeight w:val="53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18747788" w14:textId="77777777" w:rsidR="00216897" w:rsidRPr="001F3BCA" w:rsidRDefault="00216897" w:rsidP="00216897">
            <w:pPr>
              <w:keepLines w:val="0"/>
              <w:spacing w:before="0" w:after="0"/>
              <w:rPr>
                <w:rFonts w:eastAsia="Times New Roman" w:cs="Calibri"/>
                <w:sz w:val="23"/>
                <w:lang w:eastAsia="en-NZ"/>
              </w:rPr>
            </w:pPr>
            <w:r w:rsidRPr="001F3BCA">
              <w:rPr>
                <w:rFonts w:eastAsia="Times New Roman" w:cs="Calibri"/>
                <w:sz w:val="23"/>
                <w:lang w:eastAsia="en-NZ"/>
              </w:rPr>
              <w:t>Planned adjustments at OBU - Transfers from NDOC</w:t>
            </w:r>
          </w:p>
        </w:tc>
        <w:tc>
          <w:tcPr>
            <w:tcW w:w="960" w:type="dxa"/>
            <w:tcBorders>
              <w:top w:val="nil"/>
              <w:left w:val="nil"/>
              <w:bottom w:val="single" w:sz="8" w:space="0" w:color="auto"/>
              <w:right w:val="single" w:sz="8" w:space="0" w:color="auto"/>
            </w:tcBorders>
            <w:shd w:val="clear" w:color="auto" w:fill="auto"/>
            <w:vAlign w:val="center"/>
            <w:hideMark/>
          </w:tcPr>
          <w:p w14:paraId="471A67B6"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5B0979A5"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5.985</w:t>
            </w:r>
          </w:p>
        </w:tc>
        <w:tc>
          <w:tcPr>
            <w:tcW w:w="960" w:type="dxa"/>
            <w:tcBorders>
              <w:top w:val="nil"/>
              <w:left w:val="nil"/>
              <w:bottom w:val="single" w:sz="8" w:space="0" w:color="auto"/>
              <w:right w:val="single" w:sz="8" w:space="0" w:color="auto"/>
            </w:tcBorders>
            <w:shd w:val="clear" w:color="auto" w:fill="auto"/>
            <w:vAlign w:val="center"/>
            <w:hideMark/>
          </w:tcPr>
          <w:p w14:paraId="158CA88E"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10.479</w:t>
            </w:r>
          </w:p>
        </w:tc>
        <w:tc>
          <w:tcPr>
            <w:tcW w:w="960" w:type="dxa"/>
            <w:tcBorders>
              <w:top w:val="nil"/>
              <w:left w:val="nil"/>
              <w:bottom w:val="single" w:sz="8" w:space="0" w:color="auto"/>
              <w:right w:val="single" w:sz="8" w:space="0" w:color="auto"/>
            </w:tcBorders>
            <w:shd w:val="clear" w:color="auto" w:fill="auto"/>
            <w:vAlign w:val="center"/>
            <w:hideMark/>
          </w:tcPr>
          <w:p w14:paraId="502AFB7E"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4.437</w:t>
            </w:r>
          </w:p>
        </w:tc>
        <w:tc>
          <w:tcPr>
            <w:tcW w:w="960" w:type="dxa"/>
            <w:tcBorders>
              <w:top w:val="nil"/>
              <w:left w:val="nil"/>
              <w:bottom w:val="single" w:sz="8" w:space="0" w:color="auto"/>
              <w:right w:val="single" w:sz="8" w:space="0" w:color="auto"/>
            </w:tcBorders>
            <w:shd w:val="clear" w:color="auto" w:fill="auto"/>
            <w:vAlign w:val="center"/>
            <w:hideMark/>
          </w:tcPr>
          <w:p w14:paraId="1BFEFB8C"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20.900</w:t>
            </w:r>
          </w:p>
        </w:tc>
      </w:tr>
      <w:tr w:rsidR="00216897" w:rsidRPr="009B6CE5" w14:paraId="422A5636" w14:textId="77777777" w:rsidTr="00216897">
        <w:trPr>
          <w:trHeight w:val="30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7A7D266E" w14:textId="77777777" w:rsidR="00216897" w:rsidRPr="001F3BCA" w:rsidRDefault="00216897" w:rsidP="00216897">
            <w:pPr>
              <w:keepLines w:val="0"/>
              <w:spacing w:before="0" w:after="0"/>
              <w:rPr>
                <w:rFonts w:eastAsia="Times New Roman" w:cs="Calibri"/>
                <w:color w:val="000000"/>
                <w:sz w:val="23"/>
                <w:lang w:eastAsia="en-NZ"/>
              </w:rPr>
            </w:pPr>
            <w:r w:rsidRPr="001F3BCA">
              <w:rPr>
                <w:rFonts w:eastAsia="Times New Roman" w:cs="Calibri"/>
                <w:color w:val="000000"/>
                <w:sz w:val="23"/>
                <w:lang w:eastAsia="en-NZ"/>
              </w:rPr>
              <w:t>Contingency</w:t>
            </w:r>
          </w:p>
        </w:tc>
        <w:tc>
          <w:tcPr>
            <w:tcW w:w="960" w:type="dxa"/>
            <w:tcBorders>
              <w:top w:val="nil"/>
              <w:left w:val="nil"/>
              <w:bottom w:val="single" w:sz="8" w:space="0" w:color="auto"/>
              <w:right w:val="single" w:sz="8" w:space="0" w:color="auto"/>
            </w:tcBorders>
            <w:shd w:val="clear" w:color="auto" w:fill="auto"/>
            <w:vAlign w:val="center"/>
            <w:hideMark/>
          </w:tcPr>
          <w:p w14:paraId="2E38467E"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w:t>
            </w:r>
          </w:p>
        </w:tc>
        <w:tc>
          <w:tcPr>
            <w:tcW w:w="960" w:type="dxa"/>
            <w:tcBorders>
              <w:top w:val="nil"/>
              <w:left w:val="nil"/>
              <w:bottom w:val="single" w:sz="8" w:space="0" w:color="auto"/>
              <w:right w:val="single" w:sz="8" w:space="0" w:color="auto"/>
            </w:tcBorders>
            <w:shd w:val="clear" w:color="auto" w:fill="auto"/>
            <w:vAlign w:val="center"/>
            <w:hideMark/>
          </w:tcPr>
          <w:p w14:paraId="3FF5256B"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w:t>
            </w:r>
          </w:p>
        </w:tc>
        <w:tc>
          <w:tcPr>
            <w:tcW w:w="960" w:type="dxa"/>
            <w:tcBorders>
              <w:top w:val="nil"/>
              <w:left w:val="nil"/>
              <w:bottom w:val="single" w:sz="8" w:space="0" w:color="auto"/>
              <w:right w:val="single" w:sz="8" w:space="0" w:color="auto"/>
            </w:tcBorders>
            <w:shd w:val="clear" w:color="auto" w:fill="auto"/>
            <w:vAlign w:val="center"/>
            <w:hideMark/>
          </w:tcPr>
          <w:p w14:paraId="3AA944F3"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w:t>
            </w:r>
          </w:p>
        </w:tc>
        <w:tc>
          <w:tcPr>
            <w:tcW w:w="960" w:type="dxa"/>
            <w:tcBorders>
              <w:top w:val="nil"/>
              <w:left w:val="nil"/>
              <w:bottom w:val="single" w:sz="8" w:space="0" w:color="auto"/>
              <w:right w:val="single" w:sz="8" w:space="0" w:color="auto"/>
            </w:tcBorders>
            <w:shd w:val="clear" w:color="auto" w:fill="auto"/>
            <w:vAlign w:val="center"/>
            <w:hideMark/>
          </w:tcPr>
          <w:p w14:paraId="0AC6F845"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7.397</w:t>
            </w:r>
          </w:p>
        </w:tc>
        <w:tc>
          <w:tcPr>
            <w:tcW w:w="960" w:type="dxa"/>
            <w:tcBorders>
              <w:top w:val="nil"/>
              <w:left w:val="nil"/>
              <w:bottom w:val="single" w:sz="8" w:space="0" w:color="auto"/>
              <w:right w:val="single" w:sz="8" w:space="0" w:color="auto"/>
            </w:tcBorders>
            <w:shd w:val="clear" w:color="auto" w:fill="auto"/>
            <w:vAlign w:val="center"/>
            <w:hideMark/>
          </w:tcPr>
          <w:p w14:paraId="0E2F2851"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7.397</w:t>
            </w:r>
          </w:p>
        </w:tc>
      </w:tr>
      <w:tr w:rsidR="00216897" w:rsidRPr="009B6CE5" w14:paraId="50B9BBA5" w14:textId="77777777" w:rsidTr="00216897">
        <w:trPr>
          <w:trHeight w:val="300"/>
        </w:trPr>
        <w:tc>
          <w:tcPr>
            <w:tcW w:w="4163" w:type="dxa"/>
            <w:tcBorders>
              <w:top w:val="nil"/>
              <w:left w:val="single" w:sz="8" w:space="0" w:color="auto"/>
              <w:bottom w:val="single" w:sz="8" w:space="0" w:color="auto"/>
              <w:right w:val="single" w:sz="8" w:space="0" w:color="auto"/>
            </w:tcBorders>
            <w:shd w:val="clear" w:color="000000" w:fill="92D050"/>
            <w:noWrap/>
            <w:vAlign w:val="bottom"/>
            <w:hideMark/>
          </w:tcPr>
          <w:p w14:paraId="6D3A2497"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Total Departmental</w:t>
            </w:r>
          </w:p>
        </w:tc>
        <w:tc>
          <w:tcPr>
            <w:tcW w:w="960" w:type="dxa"/>
            <w:tcBorders>
              <w:top w:val="nil"/>
              <w:left w:val="nil"/>
              <w:bottom w:val="single" w:sz="8" w:space="0" w:color="auto"/>
              <w:right w:val="single" w:sz="8" w:space="0" w:color="auto"/>
            </w:tcBorders>
            <w:shd w:val="clear" w:color="000000" w:fill="92D050"/>
            <w:noWrap/>
            <w:vAlign w:val="center"/>
            <w:hideMark/>
          </w:tcPr>
          <w:p w14:paraId="6A9A9FE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9.256</w:t>
            </w:r>
          </w:p>
        </w:tc>
        <w:tc>
          <w:tcPr>
            <w:tcW w:w="960" w:type="dxa"/>
            <w:tcBorders>
              <w:top w:val="nil"/>
              <w:left w:val="nil"/>
              <w:bottom w:val="single" w:sz="8" w:space="0" w:color="auto"/>
              <w:right w:val="single" w:sz="8" w:space="0" w:color="auto"/>
            </w:tcBorders>
            <w:shd w:val="clear" w:color="000000" w:fill="92D050"/>
            <w:noWrap/>
            <w:vAlign w:val="center"/>
            <w:hideMark/>
          </w:tcPr>
          <w:p w14:paraId="48F636AA"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10.127</w:t>
            </w:r>
          </w:p>
        </w:tc>
        <w:tc>
          <w:tcPr>
            <w:tcW w:w="960" w:type="dxa"/>
            <w:tcBorders>
              <w:top w:val="nil"/>
              <w:left w:val="nil"/>
              <w:bottom w:val="single" w:sz="8" w:space="0" w:color="auto"/>
              <w:right w:val="single" w:sz="8" w:space="0" w:color="auto"/>
            </w:tcBorders>
            <w:shd w:val="clear" w:color="000000" w:fill="92D050"/>
            <w:noWrap/>
            <w:vAlign w:val="center"/>
            <w:hideMark/>
          </w:tcPr>
          <w:p w14:paraId="289C035B"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10.479</w:t>
            </w:r>
          </w:p>
        </w:tc>
        <w:tc>
          <w:tcPr>
            <w:tcW w:w="960" w:type="dxa"/>
            <w:tcBorders>
              <w:top w:val="nil"/>
              <w:left w:val="nil"/>
              <w:bottom w:val="single" w:sz="8" w:space="0" w:color="auto"/>
              <w:right w:val="single" w:sz="8" w:space="0" w:color="auto"/>
            </w:tcBorders>
            <w:shd w:val="clear" w:color="000000" w:fill="92D050"/>
            <w:noWrap/>
            <w:vAlign w:val="center"/>
            <w:hideMark/>
          </w:tcPr>
          <w:p w14:paraId="04398D9C"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11.834</w:t>
            </w:r>
          </w:p>
        </w:tc>
        <w:tc>
          <w:tcPr>
            <w:tcW w:w="960" w:type="dxa"/>
            <w:tcBorders>
              <w:top w:val="nil"/>
              <w:left w:val="nil"/>
              <w:bottom w:val="single" w:sz="8" w:space="0" w:color="auto"/>
              <w:right w:val="single" w:sz="8" w:space="0" w:color="auto"/>
            </w:tcBorders>
            <w:shd w:val="clear" w:color="000000" w:fill="92D050"/>
            <w:noWrap/>
            <w:vAlign w:val="center"/>
            <w:hideMark/>
          </w:tcPr>
          <w:p w14:paraId="2EFA3B17"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41.696</w:t>
            </w:r>
          </w:p>
        </w:tc>
      </w:tr>
      <w:tr w:rsidR="00216897" w:rsidRPr="009B6CE5" w14:paraId="1B49B167" w14:textId="77777777" w:rsidTr="00216897">
        <w:trPr>
          <w:trHeight w:val="300"/>
        </w:trPr>
        <w:tc>
          <w:tcPr>
            <w:tcW w:w="4163" w:type="dxa"/>
            <w:tcBorders>
              <w:top w:val="nil"/>
              <w:left w:val="single" w:sz="8" w:space="0" w:color="auto"/>
              <w:bottom w:val="single" w:sz="8" w:space="0" w:color="auto"/>
              <w:right w:val="single" w:sz="8" w:space="0" w:color="auto"/>
            </w:tcBorders>
            <w:shd w:val="clear" w:color="000000" w:fill="92D050"/>
            <w:noWrap/>
            <w:vAlign w:val="bottom"/>
            <w:hideMark/>
          </w:tcPr>
          <w:p w14:paraId="00607E10" w14:textId="074BA88D"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Capital</w:t>
            </w:r>
            <w:r w:rsidR="00112557" w:rsidRPr="001F3BCA">
              <w:rPr>
                <w:rFonts w:eastAsia="Times New Roman" w:cs="Calibri"/>
                <w:b/>
                <w:bCs/>
                <w:sz w:val="23"/>
                <w:lang w:eastAsia="en-NZ"/>
              </w:rPr>
              <w:t xml:space="preserve"> </w:t>
            </w:r>
            <w:r w:rsidRPr="001F3BCA">
              <w:rPr>
                <w:rFonts w:eastAsia="Times New Roman" w:cs="Calibri"/>
                <w:b/>
                <w:bCs/>
                <w:sz w:val="23"/>
                <w:vertAlign w:val="superscript"/>
                <w:lang w:eastAsia="en-NZ"/>
              </w:rPr>
              <w:t>(A)</w:t>
            </w:r>
          </w:p>
        </w:tc>
        <w:tc>
          <w:tcPr>
            <w:tcW w:w="960" w:type="dxa"/>
            <w:tcBorders>
              <w:top w:val="nil"/>
              <w:left w:val="nil"/>
              <w:bottom w:val="single" w:sz="8" w:space="0" w:color="auto"/>
              <w:right w:val="single" w:sz="8" w:space="0" w:color="auto"/>
            </w:tcBorders>
            <w:shd w:val="clear" w:color="000000" w:fill="92D050"/>
            <w:noWrap/>
            <w:vAlign w:val="center"/>
            <w:hideMark/>
          </w:tcPr>
          <w:p w14:paraId="10D0EC7B"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0.957</w:t>
            </w:r>
          </w:p>
        </w:tc>
        <w:tc>
          <w:tcPr>
            <w:tcW w:w="960" w:type="dxa"/>
            <w:tcBorders>
              <w:top w:val="nil"/>
              <w:left w:val="nil"/>
              <w:bottom w:val="single" w:sz="8" w:space="0" w:color="auto"/>
              <w:right w:val="single" w:sz="8" w:space="0" w:color="auto"/>
            </w:tcBorders>
            <w:shd w:val="clear" w:color="000000" w:fill="92D050"/>
            <w:noWrap/>
            <w:vAlign w:val="center"/>
            <w:hideMark/>
          </w:tcPr>
          <w:p w14:paraId="3A0CD4CC"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0.065</w:t>
            </w:r>
          </w:p>
        </w:tc>
        <w:tc>
          <w:tcPr>
            <w:tcW w:w="960" w:type="dxa"/>
            <w:tcBorders>
              <w:top w:val="nil"/>
              <w:left w:val="nil"/>
              <w:bottom w:val="single" w:sz="8" w:space="0" w:color="auto"/>
              <w:right w:val="single" w:sz="8" w:space="0" w:color="auto"/>
            </w:tcBorders>
            <w:shd w:val="clear" w:color="000000" w:fill="92D050"/>
            <w:noWrap/>
            <w:vAlign w:val="center"/>
            <w:hideMark/>
          </w:tcPr>
          <w:p w14:paraId="194C5B1A"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0.065</w:t>
            </w:r>
          </w:p>
        </w:tc>
        <w:tc>
          <w:tcPr>
            <w:tcW w:w="960" w:type="dxa"/>
            <w:tcBorders>
              <w:top w:val="nil"/>
              <w:left w:val="nil"/>
              <w:bottom w:val="single" w:sz="8" w:space="0" w:color="auto"/>
              <w:right w:val="single" w:sz="8" w:space="0" w:color="auto"/>
            </w:tcBorders>
            <w:shd w:val="clear" w:color="000000" w:fill="92D050"/>
            <w:noWrap/>
            <w:vAlign w:val="center"/>
            <w:hideMark/>
          </w:tcPr>
          <w:p w14:paraId="214FBAF4"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0.065</w:t>
            </w:r>
          </w:p>
        </w:tc>
        <w:tc>
          <w:tcPr>
            <w:tcW w:w="960" w:type="dxa"/>
            <w:tcBorders>
              <w:top w:val="nil"/>
              <w:left w:val="nil"/>
              <w:bottom w:val="single" w:sz="8" w:space="0" w:color="auto"/>
              <w:right w:val="single" w:sz="8" w:space="0" w:color="auto"/>
            </w:tcBorders>
            <w:shd w:val="clear" w:color="000000" w:fill="92D050"/>
            <w:noWrap/>
            <w:vAlign w:val="center"/>
            <w:hideMark/>
          </w:tcPr>
          <w:p w14:paraId="0AC3F990"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1.154</w:t>
            </w:r>
          </w:p>
        </w:tc>
      </w:tr>
      <w:tr w:rsidR="00216897" w:rsidRPr="009B6CE5" w14:paraId="174A1CCD" w14:textId="77777777" w:rsidTr="00216897">
        <w:trPr>
          <w:trHeight w:val="300"/>
        </w:trPr>
        <w:tc>
          <w:tcPr>
            <w:tcW w:w="4163" w:type="dxa"/>
            <w:tcBorders>
              <w:top w:val="nil"/>
              <w:left w:val="single" w:sz="8" w:space="0" w:color="auto"/>
              <w:bottom w:val="single" w:sz="8" w:space="0" w:color="auto"/>
              <w:right w:val="nil"/>
            </w:tcBorders>
            <w:shd w:val="clear" w:color="000000" w:fill="E2EFDA"/>
            <w:vAlign w:val="center"/>
            <w:hideMark/>
          </w:tcPr>
          <w:p w14:paraId="752776B6" w14:textId="77777777" w:rsidR="00216897" w:rsidRPr="001F3BCA" w:rsidRDefault="00216897" w:rsidP="00216897">
            <w:pPr>
              <w:keepLines w:val="0"/>
              <w:spacing w:before="0" w:after="0"/>
              <w:rPr>
                <w:rFonts w:eastAsia="Times New Roman" w:cs="Calibri"/>
                <w:b/>
                <w:bCs/>
                <w:color w:val="000000"/>
                <w:sz w:val="23"/>
                <w:lang w:eastAsia="en-NZ"/>
              </w:rPr>
            </w:pPr>
            <w:r w:rsidRPr="001F3BCA">
              <w:rPr>
                <w:rFonts w:eastAsia="Times New Roman" w:cs="Calibri"/>
                <w:b/>
                <w:bCs/>
                <w:color w:val="000000"/>
                <w:sz w:val="23"/>
                <w:lang w:eastAsia="en-NZ"/>
              </w:rPr>
              <w:t>Non-Departmental MYAs</w:t>
            </w:r>
          </w:p>
        </w:tc>
        <w:tc>
          <w:tcPr>
            <w:tcW w:w="4800" w:type="dxa"/>
            <w:gridSpan w:val="5"/>
            <w:tcBorders>
              <w:top w:val="single" w:sz="8" w:space="0" w:color="auto"/>
              <w:left w:val="nil"/>
              <w:bottom w:val="single" w:sz="8" w:space="0" w:color="auto"/>
              <w:right w:val="single" w:sz="8" w:space="0" w:color="000000"/>
            </w:tcBorders>
            <w:shd w:val="clear" w:color="000000" w:fill="E2EFDA"/>
            <w:vAlign w:val="center"/>
            <w:hideMark/>
          </w:tcPr>
          <w:p w14:paraId="06020A19" w14:textId="77777777" w:rsidR="00216897" w:rsidRPr="001F3BCA" w:rsidRDefault="00216897" w:rsidP="00216897">
            <w:pPr>
              <w:keepLines w:val="0"/>
              <w:spacing w:before="0" w:after="0"/>
              <w:jc w:val="center"/>
              <w:rPr>
                <w:rFonts w:eastAsia="Times New Roman" w:cs="Calibri"/>
                <w:b/>
                <w:bCs/>
                <w:color w:val="000000"/>
                <w:sz w:val="23"/>
                <w:lang w:eastAsia="en-NZ"/>
              </w:rPr>
            </w:pPr>
            <w:r w:rsidRPr="001F3BCA">
              <w:rPr>
                <w:rFonts w:eastAsia="Times New Roman" w:cs="Calibri"/>
                <w:b/>
                <w:bCs/>
                <w:color w:val="000000"/>
                <w:sz w:val="23"/>
                <w:lang w:eastAsia="en-NZ"/>
              </w:rPr>
              <w:t>$M</w:t>
            </w:r>
          </w:p>
        </w:tc>
      </w:tr>
      <w:tr w:rsidR="00216897" w:rsidRPr="009B6CE5" w14:paraId="0E984BAE" w14:textId="77777777" w:rsidTr="00216897">
        <w:trPr>
          <w:trHeight w:val="247"/>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113FB566" w14:textId="77777777" w:rsidR="00216897" w:rsidRPr="001F3BCA" w:rsidRDefault="00216897" w:rsidP="00216897">
            <w:pPr>
              <w:keepLines w:val="0"/>
              <w:spacing w:before="0" w:after="0"/>
              <w:rPr>
                <w:rFonts w:eastAsia="Times New Roman" w:cs="Calibri"/>
                <w:color w:val="000000"/>
                <w:sz w:val="23"/>
                <w:lang w:eastAsia="en-NZ"/>
              </w:rPr>
            </w:pPr>
            <w:r w:rsidRPr="001F3BCA">
              <w:rPr>
                <w:rFonts w:eastAsia="Times New Roman" w:cs="Calibri"/>
                <w:color w:val="000000"/>
                <w:sz w:val="23"/>
                <w:lang w:eastAsia="en-NZ"/>
              </w:rPr>
              <w:t>Current combined non-departmental baselines</w:t>
            </w:r>
          </w:p>
        </w:tc>
        <w:tc>
          <w:tcPr>
            <w:tcW w:w="960" w:type="dxa"/>
            <w:tcBorders>
              <w:top w:val="nil"/>
              <w:left w:val="nil"/>
              <w:bottom w:val="single" w:sz="8" w:space="0" w:color="auto"/>
              <w:right w:val="single" w:sz="8" w:space="0" w:color="auto"/>
            </w:tcBorders>
            <w:shd w:val="clear" w:color="auto" w:fill="auto"/>
            <w:vAlign w:val="center"/>
            <w:hideMark/>
          </w:tcPr>
          <w:p w14:paraId="541EC420"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2.221</w:t>
            </w:r>
          </w:p>
        </w:tc>
        <w:tc>
          <w:tcPr>
            <w:tcW w:w="960" w:type="dxa"/>
            <w:tcBorders>
              <w:top w:val="nil"/>
              <w:left w:val="nil"/>
              <w:bottom w:val="single" w:sz="8" w:space="0" w:color="auto"/>
              <w:right w:val="single" w:sz="8" w:space="0" w:color="auto"/>
            </w:tcBorders>
            <w:shd w:val="clear" w:color="auto" w:fill="auto"/>
            <w:vAlign w:val="center"/>
            <w:hideMark/>
          </w:tcPr>
          <w:p w14:paraId="3B56D0B3"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2.221</w:t>
            </w:r>
          </w:p>
        </w:tc>
        <w:tc>
          <w:tcPr>
            <w:tcW w:w="960" w:type="dxa"/>
            <w:tcBorders>
              <w:top w:val="nil"/>
              <w:left w:val="nil"/>
              <w:bottom w:val="single" w:sz="8" w:space="0" w:color="auto"/>
              <w:right w:val="single" w:sz="8" w:space="0" w:color="auto"/>
            </w:tcBorders>
            <w:shd w:val="clear" w:color="auto" w:fill="auto"/>
            <w:vAlign w:val="center"/>
            <w:hideMark/>
          </w:tcPr>
          <w:p w14:paraId="0C912B09"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2.221</w:t>
            </w:r>
          </w:p>
        </w:tc>
        <w:tc>
          <w:tcPr>
            <w:tcW w:w="960" w:type="dxa"/>
            <w:tcBorders>
              <w:top w:val="nil"/>
              <w:left w:val="nil"/>
              <w:bottom w:val="single" w:sz="8" w:space="0" w:color="auto"/>
              <w:right w:val="single" w:sz="8" w:space="0" w:color="auto"/>
            </w:tcBorders>
            <w:shd w:val="clear" w:color="auto" w:fill="auto"/>
            <w:vAlign w:val="center"/>
            <w:hideMark/>
          </w:tcPr>
          <w:p w14:paraId="382CC11A"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2.221</w:t>
            </w:r>
          </w:p>
        </w:tc>
        <w:tc>
          <w:tcPr>
            <w:tcW w:w="960" w:type="dxa"/>
            <w:tcBorders>
              <w:top w:val="nil"/>
              <w:left w:val="nil"/>
              <w:bottom w:val="single" w:sz="8" w:space="0" w:color="auto"/>
              <w:right w:val="single" w:sz="8" w:space="0" w:color="auto"/>
            </w:tcBorders>
            <w:shd w:val="clear" w:color="auto" w:fill="auto"/>
            <w:vAlign w:val="center"/>
            <w:hideMark/>
          </w:tcPr>
          <w:p w14:paraId="27F8CB34"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8.882</w:t>
            </w:r>
          </w:p>
        </w:tc>
      </w:tr>
      <w:tr w:rsidR="00216897" w:rsidRPr="009B6CE5" w14:paraId="46C708A4" w14:textId="77777777" w:rsidTr="00216897">
        <w:trPr>
          <w:trHeight w:val="30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039C1820" w14:textId="77777777" w:rsidR="00216897" w:rsidRPr="001F3BCA" w:rsidRDefault="00216897" w:rsidP="00216897">
            <w:pPr>
              <w:keepLines w:val="0"/>
              <w:spacing w:before="0" w:after="0"/>
              <w:rPr>
                <w:rFonts w:eastAsia="Times New Roman" w:cs="Calibri"/>
                <w:sz w:val="23"/>
                <w:lang w:eastAsia="en-NZ"/>
              </w:rPr>
            </w:pPr>
            <w:r w:rsidRPr="001F3BCA">
              <w:rPr>
                <w:rFonts w:eastAsia="Times New Roman" w:cs="Calibri"/>
                <w:sz w:val="23"/>
                <w:lang w:eastAsia="en-NZ"/>
              </w:rPr>
              <w:t>Add OBU 19/20 transfers</w:t>
            </w:r>
          </w:p>
        </w:tc>
        <w:tc>
          <w:tcPr>
            <w:tcW w:w="960" w:type="dxa"/>
            <w:tcBorders>
              <w:top w:val="nil"/>
              <w:left w:val="nil"/>
              <w:bottom w:val="single" w:sz="8" w:space="0" w:color="auto"/>
              <w:right w:val="single" w:sz="8" w:space="0" w:color="auto"/>
            </w:tcBorders>
            <w:shd w:val="clear" w:color="auto" w:fill="auto"/>
            <w:vAlign w:val="center"/>
            <w:hideMark/>
          </w:tcPr>
          <w:p w14:paraId="165622CC"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0181B52B"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8.416</w:t>
            </w:r>
          </w:p>
        </w:tc>
        <w:tc>
          <w:tcPr>
            <w:tcW w:w="960" w:type="dxa"/>
            <w:tcBorders>
              <w:top w:val="nil"/>
              <w:left w:val="nil"/>
              <w:bottom w:val="single" w:sz="8" w:space="0" w:color="auto"/>
              <w:right w:val="single" w:sz="8" w:space="0" w:color="auto"/>
            </w:tcBorders>
            <w:shd w:val="clear" w:color="auto" w:fill="auto"/>
            <w:vAlign w:val="center"/>
            <w:hideMark/>
          </w:tcPr>
          <w:p w14:paraId="680FE9EB"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458DB829"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68DECF63"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8.416</w:t>
            </w:r>
          </w:p>
        </w:tc>
      </w:tr>
      <w:tr w:rsidR="00216897" w:rsidRPr="009B6CE5" w14:paraId="7F2A7878" w14:textId="77777777" w:rsidTr="00216897">
        <w:trPr>
          <w:trHeight w:val="30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5CA36932" w14:textId="77777777" w:rsidR="00216897" w:rsidRPr="001F3BCA" w:rsidRDefault="00216897" w:rsidP="00216897">
            <w:pPr>
              <w:keepLines w:val="0"/>
              <w:spacing w:before="0" w:after="0"/>
              <w:rPr>
                <w:rFonts w:eastAsia="Times New Roman" w:cs="Calibri"/>
                <w:color w:val="000000"/>
                <w:sz w:val="23"/>
                <w:lang w:eastAsia="en-NZ"/>
              </w:rPr>
            </w:pPr>
            <w:r w:rsidRPr="001F3BCA">
              <w:rPr>
                <w:rFonts w:eastAsia="Times New Roman" w:cs="Calibri"/>
                <w:color w:val="000000"/>
                <w:sz w:val="23"/>
                <w:lang w:eastAsia="en-NZ"/>
              </w:rPr>
              <w:t>Add OBU 21/22 and outyear transfers</w:t>
            </w:r>
          </w:p>
        </w:tc>
        <w:tc>
          <w:tcPr>
            <w:tcW w:w="960" w:type="dxa"/>
            <w:tcBorders>
              <w:top w:val="nil"/>
              <w:left w:val="nil"/>
              <w:bottom w:val="single" w:sz="8" w:space="0" w:color="auto"/>
              <w:right w:val="single" w:sz="8" w:space="0" w:color="auto"/>
            </w:tcBorders>
            <w:shd w:val="clear" w:color="auto" w:fill="auto"/>
            <w:vAlign w:val="center"/>
            <w:hideMark/>
          </w:tcPr>
          <w:p w14:paraId="04079968" w14:textId="77777777" w:rsidR="00216897" w:rsidRPr="001F3BCA" w:rsidRDefault="00216897" w:rsidP="00216897">
            <w:pPr>
              <w:keepLines w:val="0"/>
              <w:spacing w:before="0" w:after="0"/>
              <w:jc w:val="center"/>
              <w:rPr>
                <w:rFonts w:eastAsia="Times New Roman" w:cs="Calibri"/>
                <w:color w:val="FF0000"/>
                <w:sz w:val="23"/>
                <w:lang w:eastAsia="en-NZ"/>
              </w:rPr>
            </w:pPr>
            <w:r w:rsidRPr="001F3BCA">
              <w:rPr>
                <w:rFonts w:eastAsia="Times New Roman" w:cs="Calibri"/>
                <w:color w:val="FF0000"/>
                <w:sz w:val="23"/>
                <w:lang w:eastAsia="en-NZ"/>
              </w:rPr>
              <w:t>(0.797)</w:t>
            </w:r>
          </w:p>
        </w:tc>
        <w:tc>
          <w:tcPr>
            <w:tcW w:w="960" w:type="dxa"/>
            <w:tcBorders>
              <w:top w:val="nil"/>
              <w:left w:val="nil"/>
              <w:bottom w:val="single" w:sz="8" w:space="0" w:color="auto"/>
              <w:right w:val="single" w:sz="8" w:space="0" w:color="auto"/>
            </w:tcBorders>
            <w:shd w:val="clear" w:color="auto" w:fill="auto"/>
            <w:vAlign w:val="center"/>
            <w:hideMark/>
          </w:tcPr>
          <w:p w14:paraId="3294D006"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12.153</w:t>
            </w:r>
          </w:p>
        </w:tc>
        <w:tc>
          <w:tcPr>
            <w:tcW w:w="960" w:type="dxa"/>
            <w:tcBorders>
              <w:top w:val="nil"/>
              <w:left w:val="nil"/>
              <w:bottom w:val="single" w:sz="8" w:space="0" w:color="auto"/>
              <w:right w:val="single" w:sz="8" w:space="0" w:color="auto"/>
            </w:tcBorders>
            <w:shd w:val="clear" w:color="auto" w:fill="auto"/>
            <w:vAlign w:val="center"/>
            <w:hideMark/>
          </w:tcPr>
          <w:p w14:paraId="11FD3439" w14:textId="77777777" w:rsidR="00216897" w:rsidRPr="001F3BCA" w:rsidRDefault="00216897" w:rsidP="00216897">
            <w:pPr>
              <w:keepLines w:val="0"/>
              <w:spacing w:before="0" w:after="0"/>
              <w:jc w:val="center"/>
              <w:rPr>
                <w:rFonts w:eastAsia="Times New Roman" w:cs="Calibri"/>
                <w:color w:val="FF0000"/>
                <w:sz w:val="23"/>
                <w:lang w:eastAsia="en-NZ"/>
              </w:rPr>
            </w:pPr>
            <w:r w:rsidRPr="001F3BCA">
              <w:rPr>
                <w:rFonts w:eastAsia="Times New Roman" w:cs="Calibri"/>
                <w:color w:val="FF0000"/>
                <w:sz w:val="23"/>
                <w:lang w:eastAsia="en-NZ"/>
              </w:rPr>
              <w:t>(0.426)</w:t>
            </w:r>
          </w:p>
        </w:tc>
        <w:tc>
          <w:tcPr>
            <w:tcW w:w="960" w:type="dxa"/>
            <w:tcBorders>
              <w:top w:val="nil"/>
              <w:left w:val="nil"/>
              <w:bottom w:val="single" w:sz="8" w:space="0" w:color="auto"/>
              <w:right w:val="single" w:sz="8" w:space="0" w:color="auto"/>
            </w:tcBorders>
            <w:shd w:val="clear" w:color="auto" w:fill="auto"/>
            <w:vAlign w:val="center"/>
            <w:hideMark/>
          </w:tcPr>
          <w:p w14:paraId="39C93178" w14:textId="77777777" w:rsidR="00216897" w:rsidRPr="001F3BCA" w:rsidRDefault="00216897" w:rsidP="00216897">
            <w:pPr>
              <w:keepLines w:val="0"/>
              <w:spacing w:before="0" w:after="0"/>
              <w:jc w:val="center"/>
              <w:rPr>
                <w:rFonts w:eastAsia="Times New Roman" w:cs="Calibri"/>
                <w:color w:val="FF0000"/>
                <w:sz w:val="23"/>
                <w:lang w:eastAsia="en-NZ"/>
              </w:rPr>
            </w:pPr>
            <w:r w:rsidRPr="001F3BCA">
              <w:rPr>
                <w:rFonts w:eastAsia="Times New Roman" w:cs="Calibri"/>
                <w:color w:val="FF0000"/>
                <w:sz w:val="23"/>
                <w:lang w:eastAsia="en-NZ"/>
              </w:rPr>
              <w:t>(0.249)</w:t>
            </w:r>
          </w:p>
        </w:tc>
        <w:tc>
          <w:tcPr>
            <w:tcW w:w="960" w:type="dxa"/>
            <w:tcBorders>
              <w:top w:val="nil"/>
              <w:left w:val="nil"/>
              <w:bottom w:val="single" w:sz="8" w:space="0" w:color="auto"/>
              <w:right w:val="single" w:sz="8" w:space="0" w:color="auto"/>
            </w:tcBorders>
            <w:shd w:val="clear" w:color="auto" w:fill="auto"/>
            <w:vAlign w:val="center"/>
            <w:hideMark/>
          </w:tcPr>
          <w:p w14:paraId="767B9C5C"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10.681</w:t>
            </w:r>
          </w:p>
        </w:tc>
      </w:tr>
      <w:tr w:rsidR="00216897" w:rsidRPr="009B6CE5" w14:paraId="3A8CA169" w14:textId="77777777" w:rsidTr="00216897">
        <w:trPr>
          <w:trHeight w:val="300"/>
        </w:trPr>
        <w:tc>
          <w:tcPr>
            <w:tcW w:w="4163" w:type="dxa"/>
            <w:tcBorders>
              <w:top w:val="nil"/>
              <w:left w:val="single" w:sz="8" w:space="0" w:color="auto"/>
              <w:bottom w:val="single" w:sz="8" w:space="0" w:color="auto"/>
              <w:right w:val="single" w:sz="8" w:space="0" w:color="auto"/>
            </w:tcBorders>
            <w:shd w:val="clear" w:color="auto" w:fill="auto"/>
            <w:vAlign w:val="center"/>
            <w:hideMark/>
          </w:tcPr>
          <w:p w14:paraId="1B5C87F6" w14:textId="77777777" w:rsidR="00216897" w:rsidRPr="001F3BCA" w:rsidRDefault="00216897" w:rsidP="00216897">
            <w:pPr>
              <w:keepLines w:val="0"/>
              <w:spacing w:before="0" w:after="0"/>
              <w:rPr>
                <w:rFonts w:eastAsia="Times New Roman" w:cs="Calibri"/>
                <w:sz w:val="23"/>
                <w:lang w:eastAsia="en-NZ"/>
              </w:rPr>
            </w:pPr>
            <w:r w:rsidRPr="001F3BCA">
              <w:rPr>
                <w:rFonts w:eastAsia="Times New Roman" w:cs="Calibri"/>
                <w:sz w:val="23"/>
                <w:lang w:eastAsia="en-NZ"/>
              </w:rPr>
              <w:t>Less OBU transfers to departmental</w:t>
            </w:r>
          </w:p>
        </w:tc>
        <w:tc>
          <w:tcPr>
            <w:tcW w:w="960" w:type="dxa"/>
            <w:tcBorders>
              <w:top w:val="nil"/>
              <w:left w:val="nil"/>
              <w:bottom w:val="single" w:sz="8" w:space="0" w:color="auto"/>
              <w:right w:val="single" w:sz="8" w:space="0" w:color="auto"/>
            </w:tcBorders>
            <w:shd w:val="clear" w:color="auto" w:fill="auto"/>
            <w:vAlign w:val="center"/>
            <w:hideMark/>
          </w:tcPr>
          <w:p w14:paraId="47D89F4A"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5C63B931" w14:textId="77777777" w:rsidR="00216897" w:rsidRPr="001F3BCA" w:rsidRDefault="00216897" w:rsidP="00216897">
            <w:pPr>
              <w:keepLines w:val="0"/>
              <w:spacing w:before="0" w:after="0"/>
              <w:jc w:val="center"/>
              <w:rPr>
                <w:rFonts w:eastAsia="Times New Roman" w:cs="Calibri"/>
                <w:color w:val="FF0000"/>
                <w:sz w:val="23"/>
                <w:lang w:eastAsia="en-NZ"/>
              </w:rPr>
            </w:pPr>
            <w:r w:rsidRPr="001F3BCA">
              <w:rPr>
                <w:rFonts w:eastAsia="Times New Roman" w:cs="Calibri"/>
                <w:color w:val="FF0000"/>
                <w:sz w:val="23"/>
                <w:lang w:eastAsia="en-NZ"/>
              </w:rPr>
              <w:t>(20.900)</w:t>
            </w:r>
          </w:p>
        </w:tc>
        <w:tc>
          <w:tcPr>
            <w:tcW w:w="960" w:type="dxa"/>
            <w:tcBorders>
              <w:top w:val="nil"/>
              <w:left w:val="nil"/>
              <w:bottom w:val="single" w:sz="8" w:space="0" w:color="auto"/>
              <w:right w:val="single" w:sz="8" w:space="0" w:color="auto"/>
            </w:tcBorders>
            <w:shd w:val="clear" w:color="auto" w:fill="auto"/>
            <w:vAlign w:val="center"/>
            <w:hideMark/>
          </w:tcPr>
          <w:p w14:paraId="78C4686F"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21E77026" w14:textId="77777777" w:rsidR="00216897" w:rsidRPr="001F3BCA" w:rsidRDefault="00216897" w:rsidP="00216897">
            <w:pPr>
              <w:keepLines w:val="0"/>
              <w:spacing w:before="0" w:after="0"/>
              <w:jc w:val="center"/>
              <w:rPr>
                <w:rFonts w:eastAsia="Times New Roman" w:cs="Calibri"/>
                <w:color w:val="000000"/>
                <w:sz w:val="23"/>
                <w:lang w:eastAsia="en-NZ"/>
              </w:rPr>
            </w:pPr>
            <w:r w:rsidRPr="001F3BCA">
              <w:rPr>
                <w:rFonts w:eastAsia="Times New Roman" w:cs="Calibri"/>
                <w:color w:val="000000"/>
                <w:sz w:val="23"/>
                <w:lang w:eastAsia="en-NZ"/>
              </w:rPr>
              <w:t> </w:t>
            </w:r>
          </w:p>
        </w:tc>
        <w:tc>
          <w:tcPr>
            <w:tcW w:w="960" w:type="dxa"/>
            <w:tcBorders>
              <w:top w:val="nil"/>
              <w:left w:val="nil"/>
              <w:bottom w:val="single" w:sz="8" w:space="0" w:color="auto"/>
              <w:right w:val="single" w:sz="8" w:space="0" w:color="auto"/>
            </w:tcBorders>
            <w:shd w:val="clear" w:color="auto" w:fill="auto"/>
            <w:vAlign w:val="center"/>
            <w:hideMark/>
          </w:tcPr>
          <w:p w14:paraId="46C6252A" w14:textId="77777777" w:rsidR="00216897" w:rsidRPr="001F3BCA" w:rsidRDefault="00216897" w:rsidP="00216897">
            <w:pPr>
              <w:keepLines w:val="0"/>
              <w:spacing w:before="0" w:after="0"/>
              <w:jc w:val="center"/>
              <w:rPr>
                <w:rFonts w:eastAsia="Times New Roman" w:cs="Calibri"/>
                <w:color w:val="FF0000"/>
                <w:sz w:val="23"/>
                <w:lang w:eastAsia="en-NZ"/>
              </w:rPr>
            </w:pPr>
            <w:r w:rsidRPr="001F3BCA">
              <w:rPr>
                <w:rFonts w:eastAsia="Times New Roman" w:cs="Calibri"/>
                <w:color w:val="FF0000"/>
                <w:sz w:val="23"/>
                <w:lang w:eastAsia="en-NZ"/>
              </w:rPr>
              <w:t>(20.900)</w:t>
            </w:r>
          </w:p>
        </w:tc>
      </w:tr>
      <w:tr w:rsidR="00216897" w:rsidRPr="009B6CE5" w14:paraId="5D8933D8" w14:textId="77777777" w:rsidTr="00216897">
        <w:trPr>
          <w:trHeight w:val="300"/>
        </w:trPr>
        <w:tc>
          <w:tcPr>
            <w:tcW w:w="4163" w:type="dxa"/>
            <w:tcBorders>
              <w:top w:val="nil"/>
              <w:left w:val="single" w:sz="8" w:space="0" w:color="auto"/>
              <w:bottom w:val="single" w:sz="8" w:space="0" w:color="auto"/>
              <w:right w:val="single" w:sz="8" w:space="0" w:color="auto"/>
            </w:tcBorders>
            <w:shd w:val="clear" w:color="000000" w:fill="E2EFDA"/>
            <w:noWrap/>
            <w:vAlign w:val="bottom"/>
            <w:hideMark/>
          </w:tcPr>
          <w:p w14:paraId="40191B3A"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Remaining combined non-departmental baselines</w:t>
            </w:r>
          </w:p>
        </w:tc>
        <w:tc>
          <w:tcPr>
            <w:tcW w:w="960" w:type="dxa"/>
            <w:tcBorders>
              <w:top w:val="nil"/>
              <w:left w:val="nil"/>
              <w:bottom w:val="single" w:sz="8" w:space="0" w:color="auto"/>
              <w:right w:val="single" w:sz="8" w:space="0" w:color="auto"/>
            </w:tcBorders>
            <w:shd w:val="clear" w:color="000000" w:fill="E2EFDA"/>
            <w:noWrap/>
            <w:vAlign w:val="center"/>
            <w:hideMark/>
          </w:tcPr>
          <w:p w14:paraId="1E3650FF"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1.424</w:t>
            </w:r>
          </w:p>
        </w:tc>
        <w:tc>
          <w:tcPr>
            <w:tcW w:w="960" w:type="dxa"/>
            <w:tcBorders>
              <w:top w:val="nil"/>
              <w:left w:val="nil"/>
              <w:bottom w:val="single" w:sz="8" w:space="0" w:color="auto"/>
              <w:right w:val="single" w:sz="8" w:space="0" w:color="auto"/>
            </w:tcBorders>
            <w:shd w:val="clear" w:color="000000" w:fill="E2EFDA"/>
            <w:noWrap/>
            <w:vAlign w:val="center"/>
            <w:hideMark/>
          </w:tcPr>
          <w:p w14:paraId="24CE00B5"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1.889</w:t>
            </w:r>
          </w:p>
        </w:tc>
        <w:tc>
          <w:tcPr>
            <w:tcW w:w="960" w:type="dxa"/>
            <w:tcBorders>
              <w:top w:val="nil"/>
              <w:left w:val="nil"/>
              <w:bottom w:val="single" w:sz="8" w:space="0" w:color="auto"/>
              <w:right w:val="single" w:sz="8" w:space="0" w:color="auto"/>
            </w:tcBorders>
            <w:shd w:val="clear" w:color="000000" w:fill="E2EFDA"/>
            <w:noWrap/>
            <w:vAlign w:val="center"/>
            <w:hideMark/>
          </w:tcPr>
          <w:p w14:paraId="0DFDF0D4"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1.795</w:t>
            </w:r>
          </w:p>
        </w:tc>
        <w:tc>
          <w:tcPr>
            <w:tcW w:w="960" w:type="dxa"/>
            <w:tcBorders>
              <w:top w:val="nil"/>
              <w:left w:val="nil"/>
              <w:bottom w:val="single" w:sz="8" w:space="0" w:color="auto"/>
              <w:right w:val="single" w:sz="8" w:space="0" w:color="auto"/>
            </w:tcBorders>
            <w:shd w:val="clear" w:color="000000" w:fill="E2EFDA"/>
            <w:noWrap/>
            <w:vAlign w:val="center"/>
            <w:hideMark/>
          </w:tcPr>
          <w:p w14:paraId="620CBD05"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1.972</w:t>
            </w:r>
          </w:p>
        </w:tc>
        <w:tc>
          <w:tcPr>
            <w:tcW w:w="960" w:type="dxa"/>
            <w:tcBorders>
              <w:top w:val="nil"/>
              <w:left w:val="nil"/>
              <w:bottom w:val="single" w:sz="8" w:space="0" w:color="auto"/>
              <w:right w:val="single" w:sz="8" w:space="0" w:color="auto"/>
            </w:tcBorders>
            <w:shd w:val="clear" w:color="000000" w:fill="E2EFDA"/>
            <w:noWrap/>
            <w:vAlign w:val="center"/>
            <w:hideMark/>
          </w:tcPr>
          <w:p w14:paraId="1DBC5803"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7.078</w:t>
            </w:r>
          </w:p>
        </w:tc>
      </w:tr>
      <w:tr w:rsidR="00216897" w:rsidRPr="009B6CE5" w14:paraId="20FC9A3D" w14:textId="77777777" w:rsidTr="00216897">
        <w:trPr>
          <w:trHeight w:val="300"/>
        </w:trPr>
        <w:tc>
          <w:tcPr>
            <w:tcW w:w="5123" w:type="dxa"/>
            <w:gridSpan w:val="2"/>
            <w:tcBorders>
              <w:top w:val="nil"/>
              <w:left w:val="nil"/>
              <w:bottom w:val="nil"/>
              <w:right w:val="nil"/>
            </w:tcBorders>
            <w:shd w:val="clear" w:color="auto" w:fill="auto"/>
            <w:noWrap/>
            <w:vAlign w:val="bottom"/>
            <w:hideMark/>
          </w:tcPr>
          <w:p w14:paraId="7396CD9E" w14:textId="7F0B5AF3" w:rsidR="00216897" w:rsidRPr="001F3BCA" w:rsidRDefault="00216897" w:rsidP="00216897">
            <w:pPr>
              <w:keepLines w:val="0"/>
              <w:spacing w:before="0" w:after="0"/>
              <w:rPr>
                <w:rFonts w:eastAsia="Times New Roman" w:cs="Calibri"/>
                <w:b/>
                <w:bCs/>
                <w:color w:val="000000"/>
                <w:sz w:val="23"/>
                <w:lang w:eastAsia="en-NZ"/>
              </w:rPr>
            </w:pPr>
            <w:r w:rsidRPr="001F3BCA">
              <w:rPr>
                <w:rFonts w:eastAsia="Times New Roman" w:cs="Calibri"/>
                <w:b/>
                <w:bCs/>
                <w:color w:val="000000"/>
                <w:sz w:val="23"/>
                <w:lang w:eastAsia="en-NZ"/>
              </w:rPr>
              <w:t>Non-</w:t>
            </w:r>
            <w:r w:rsidR="001F3BCA" w:rsidRPr="001F3BCA">
              <w:rPr>
                <w:rFonts w:eastAsia="Times New Roman" w:cs="Calibri"/>
                <w:b/>
                <w:bCs/>
                <w:color w:val="000000"/>
                <w:sz w:val="23"/>
                <w:lang w:eastAsia="en-NZ"/>
              </w:rPr>
              <w:t xml:space="preserve">departmental baselines split by </w:t>
            </w:r>
            <w:r w:rsidRPr="001F3BCA">
              <w:rPr>
                <w:rFonts w:eastAsia="Times New Roman" w:cs="Calibri"/>
                <w:b/>
                <w:bCs/>
                <w:color w:val="000000"/>
                <w:sz w:val="23"/>
                <w:lang w:eastAsia="en-NZ"/>
              </w:rPr>
              <w:t>Appropriation</w:t>
            </w:r>
          </w:p>
        </w:tc>
        <w:tc>
          <w:tcPr>
            <w:tcW w:w="960" w:type="dxa"/>
            <w:tcBorders>
              <w:top w:val="nil"/>
              <w:left w:val="nil"/>
              <w:bottom w:val="nil"/>
              <w:right w:val="nil"/>
            </w:tcBorders>
            <w:shd w:val="clear" w:color="auto" w:fill="auto"/>
            <w:noWrap/>
            <w:vAlign w:val="center"/>
            <w:hideMark/>
          </w:tcPr>
          <w:p w14:paraId="7B5B12AB" w14:textId="77777777" w:rsidR="00216897" w:rsidRPr="001F3BCA" w:rsidRDefault="00216897" w:rsidP="00216897">
            <w:pPr>
              <w:keepLines w:val="0"/>
              <w:spacing w:before="0" w:after="0"/>
              <w:rPr>
                <w:rFonts w:eastAsia="Times New Roman" w:cs="Calibri"/>
                <w:b/>
                <w:bCs/>
                <w:color w:val="000000"/>
                <w:sz w:val="23"/>
                <w:lang w:eastAsia="en-NZ"/>
              </w:rPr>
            </w:pPr>
          </w:p>
        </w:tc>
        <w:tc>
          <w:tcPr>
            <w:tcW w:w="960" w:type="dxa"/>
            <w:tcBorders>
              <w:top w:val="nil"/>
              <w:left w:val="nil"/>
              <w:bottom w:val="nil"/>
              <w:right w:val="nil"/>
            </w:tcBorders>
            <w:shd w:val="clear" w:color="auto" w:fill="auto"/>
            <w:noWrap/>
            <w:vAlign w:val="center"/>
            <w:hideMark/>
          </w:tcPr>
          <w:p w14:paraId="6FE81617" w14:textId="77777777" w:rsidR="00216897" w:rsidRPr="001F3BCA" w:rsidRDefault="00216897" w:rsidP="00216897">
            <w:pPr>
              <w:keepLines w:val="0"/>
              <w:spacing w:before="0" w:after="0"/>
              <w:jc w:val="center"/>
              <w:rPr>
                <w:rFonts w:ascii="Times New Roman" w:eastAsia="Times New Roman" w:hAnsi="Times New Roman"/>
                <w:sz w:val="23"/>
                <w:lang w:eastAsia="en-NZ"/>
              </w:rPr>
            </w:pPr>
          </w:p>
        </w:tc>
        <w:tc>
          <w:tcPr>
            <w:tcW w:w="960" w:type="dxa"/>
            <w:tcBorders>
              <w:top w:val="nil"/>
              <w:left w:val="nil"/>
              <w:bottom w:val="nil"/>
              <w:right w:val="nil"/>
            </w:tcBorders>
            <w:shd w:val="clear" w:color="auto" w:fill="auto"/>
            <w:noWrap/>
            <w:vAlign w:val="center"/>
            <w:hideMark/>
          </w:tcPr>
          <w:p w14:paraId="35A466D1" w14:textId="77777777" w:rsidR="00216897" w:rsidRPr="001F3BCA" w:rsidRDefault="00216897" w:rsidP="00216897">
            <w:pPr>
              <w:keepLines w:val="0"/>
              <w:spacing w:before="0" w:after="0"/>
              <w:jc w:val="center"/>
              <w:rPr>
                <w:rFonts w:ascii="Times New Roman" w:eastAsia="Times New Roman" w:hAnsi="Times New Roman"/>
                <w:sz w:val="23"/>
                <w:lang w:eastAsia="en-NZ"/>
              </w:rPr>
            </w:pPr>
          </w:p>
        </w:tc>
        <w:tc>
          <w:tcPr>
            <w:tcW w:w="960" w:type="dxa"/>
            <w:tcBorders>
              <w:top w:val="nil"/>
              <w:left w:val="nil"/>
              <w:bottom w:val="nil"/>
              <w:right w:val="nil"/>
            </w:tcBorders>
            <w:shd w:val="clear" w:color="auto" w:fill="auto"/>
            <w:noWrap/>
            <w:vAlign w:val="center"/>
            <w:hideMark/>
          </w:tcPr>
          <w:p w14:paraId="7F094081" w14:textId="77777777" w:rsidR="00216897" w:rsidRPr="001F3BCA" w:rsidRDefault="00216897" w:rsidP="00216897">
            <w:pPr>
              <w:keepLines w:val="0"/>
              <w:spacing w:before="0" w:after="0"/>
              <w:jc w:val="center"/>
              <w:rPr>
                <w:rFonts w:ascii="Times New Roman" w:eastAsia="Times New Roman" w:hAnsi="Times New Roman"/>
                <w:sz w:val="23"/>
                <w:lang w:eastAsia="en-NZ"/>
              </w:rPr>
            </w:pPr>
          </w:p>
        </w:tc>
      </w:tr>
      <w:tr w:rsidR="00216897" w:rsidRPr="009B6CE5" w14:paraId="00AE92B4" w14:textId="77777777" w:rsidTr="00216897">
        <w:trPr>
          <w:trHeight w:val="300"/>
        </w:trPr>
        <w:tc>
          <w:tcPr>
            <w:tcW w:w="416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14:paraId="15B5D5ED"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Total Commissioner fees</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7BDCAEA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0.365</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5C260AEC"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0.365</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3A7DE51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0.365</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0ACB5A29"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0.365</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364E9B74"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1.459</w:t>
            </w:r>
          </w:p>
        </w:tc>
      </w:tr>
      <w:tr w:rsidR="00216897" w:rsidRPr="009B6CE5" w14:paraId="1F1A1346" w14:textId="77777777" w:rsidTr="00216897">
        <w:trPr>
          <w:trHeight w:val="300"/>
        </w:trPr>
        <w:tc>
          <w:tcPr>
            <w:tcW w:w="4163" w:type="dxa"/>
            <w:tcBorders>
              <w:top w:val="nil"/>
              <w:left w:val="single" w:sz="8" w:space="0" w:color="auto"/>
              <w:bottom w:val="single" w:sz="8" w:space="0" w:color="auto"/>
              <w:right w:val="single" w:sz="8" w:space="0" w:color="auto"/>
            </w:tcBorders>
            <w:shd w:val="clear" w:color="000000" w:fill="92D050"/>
            <w:noWrap/>
            <w:vAlign w:val="bottom"/>
            <w:hideMark/>
          </w:tcPr>
          <w:p w14:paraId="443EA389"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Total Legal Assistance</w:t>
            </w:r>
          </w:p>
        </w:tc>
        <w:tc>
          <w:tcPr>
            <w:tcW w:w="960" w:type="dxa"/>
            <w:tcBorders>
              <w:top w:val="nil"/>
              <w:left w:val="nil"/>
              <w:bottom w:val="single" w:sz="8" w:space="0" w:color="auto"/>
              <w:right w:val="single" w:sz="8" w:space="0" w:color="auto"/>
            </w:tcBorders>
            <w:shd w:val="clear" w:color="000000" w:fill="92D050"/>
            <w:noWrap/>
            <w:vAlign w:val="center"/>
            <w:hideMark/>
          </w:tcPr>
          <w:p w14:paraId="321495B0"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0.690</w:t>
            </w:r>
          </w:p>
        </w:tc>
        <w:tc>
          <w:tcPr>
            <w:tcW w:w="960" w:type="dxa"/>
            <w:tcBorders>
              <w:top w:val="nil"/>
              <w:left w:val="nil"/>
              <w:bottom w:val="single" w:sz="8" w:space="0" w:color="auto"/>
              <w:right w:val="single" w:sz="8" w:space="0" w:color="auto"/>
            </w:tcBorders>
            <w:shd w:val="clear" w:color="000000" w:fill="92D050"/>
            <w:noWrap/>
            <w:vAlign w:val="center"/>
            <w:hideMark/>
          </w:tcPr>
          <w:p w14:paraId="5ABF5ADA"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1.176</w:t>
            </w:r>
          </w:p>
        </w:tc>
        <w:tc>
          <w:tcPr>
            <w:tcW w:w="960" w:type="dxa"/>
            <w:tcBorders>
              <w:top w:val="nil"/>
              <w:left w:val="nil"/>
              <w:bottom w:val="single" w:sz="8" w:space="0" w:color="auto"/>
              <w:right w:val="single" w:sz="8" w:space="0" w:color="auto"/>
            </w:tcBorders>
            <w:shd w:val="clear" w:color="000000" w:fill="92D050"/>
            <w:noWrap/>
            <w:vAlign w:val="center"/>
            <w:hideMark/>
          </w:tcPr>
          <w:p w14:paraId="7A0D35D5"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1.037</w:t>
            </w:r>
          </w:p>
        </w:tc>
        <w:tc>
          <w:tcPr>
            <w:tcW w:w="960" w:type="dxa"/>
            <w:tcBorders>
              <w:top w:val="nil"/>
              <w:left w:val="nil"/>
              <w:bottom w:val="single" w:sz="8" w:space="0" w:color="auto"/>
              <w:right w:val="single" w:sz="8" w:space="0" w:color="auto"/>
            </w:tcBorders>
            <w:shd w:val="clear" w:color="000000" w:fill="92D050"/>
            <w:noWrap/>
            <w:vAlign w:val="center"/>
            <w:hideMark/>
          </w:tcPr>
          <w:p w14:paraId="67D72802"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1.176</w:t>
            </w:r>
          </w:p>
        </w:tc>
        <w:tc>
          <w:tcPr>
            <w:tcW w:w="960" w:type="dxa"/>
            <w:tcBorders>
              <w:top w:val="nil"/>
              <w:left w:val="nil"/>
              <w:bottom w:val="single" w:sz="8" w:space="0" w:color="auto"/>
              <w:right w:val="single" w:sz="8" w:space="0" w:color="auto"/>
            </w:tcBorders>
            <w:shd w:val="clear" w:color="000000" w:fill="92D050"/>
            <w:noWrap/>
            <w:vAlign w:val="center"/>
            <w:hideMark/>
          </w:tcPr>
          <w:p w14:paraId="4426C9D7"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4.079</w:t>
            </w:r>
          </w:p>
        </w:tc>
      </w:tr>
      <w:tr w:rsidR="00216897" w:rsidRPr="009B6CE5" w14:paraId="2DB577CF" w14:textId="77777777" w:rsidTr="00216897">
        <w:trPr>
          <w:trHeight w:val="300"/>
        </w:trPr>
        <w:tc>
          <w:tcPr>
            <w:tcW w:w="4163" w:type="dxa"/>
            <w:tcBorders>
              <w:top w:val="nil"/>
              <w:left w:val="single" w:sz="8" w:space="0" w:color="auto"/>
              <w:bottom w:val="single" w:sz="8" w:space="0" w:color="auto"/>
              <w:right w:val="single" w:sz="8" w:space="0" w:color="auto"/>
            </w:tcBorders>
            <w:shd w:val="clear" w:color="000000" w:fill="92D050"/>
            <w:noWrap/>
            <w:vAlign w:val="bottom"/>
            <w:hideMark/>
          </w:tcPr>
          <w:p w14:paraId="466239EC"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Total Counselling Assistance</w:t>
            </w:r>
          </w:p>
        </w:tc>
        <w:tc>
          <w:tcPr>
            <w:tcW w:w="960" w:type="dxa"/>
            <w:tcBorders>
              <w:top w:val="nil"/>
              <w:left w:val="nil"/>
              <w:bottom w:val="single" w:sz="8" w:space="0" w:color="auto"/>
              <w:right w:val="single" w:sz="8" w:space="0" w:color="auto"/>
            </w:tcBorders>
            <w:shd w:val="clear" w:color="000000" w:fill="92D050"/>
            <w:noWrap/>
            <w:vAlign w:val="center"/>
            <w:hideMark/>
          </w:tcPr>
          <w:p w14:paraId="4154F63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0.370</w:t>
            </w:r>
          </w:p>
        </w:tc>
        <w:tc>
          <w:tcPr>
            <w:tcW w:w="960" w:type="dxa"/>
            <w:tcBorders>
              <w:top w:val="nil"/>
              <w:left w:val="nil"/>
              <w:bottom w:val="single" w:sz="8" w:space="0" w:color="auto"/>
              <w:right w:val="single" w:sz="8" w:space="0" w:color="auto"/>
            </w:tcBorders>
            <w:shd w:val="clear" w:color="000000" w:fill="92D050"/>
            <w:noWrap/>
            <w:vAlign w:val="center"/>
            <w:hideMark/>
          </w:tcPr>
          <w:p w14:paraId="73776463"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0.393</w:t>
            </w:r>
          </w:p>
        </w:tc>
        <w:tc>
          <w:tcPr>
            <w:tcW w:w="960" w:type="dxa"/>
            <w:tcBorders>
              <w:top w:val="nil"/>
              <w:left w:val="nil"/>
              <w:bottom w:val="single" w:sz="8" w:space="0" w:color="auto"/>
              <w:right w:val="single" w:sz="8" w:space="0" w:color="auto"/>
            </w:tcBorders>
            <w:shd w:val="clear" w:color="000000" w:fill="92D050"/>
            <w:noWrap/>
            <w:vAlign w:val="center"/>
            <w:hideMark/>
          </w:tcPr>
          <w:p w14:paraId="46532F30"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0.393</w:t>
            </w:r>
          </w:p>
        </w:tc>
        <w:tc>
          <w:tcPr>
            <w:tcW w:w="960" w:type="dxa"/>
            <w:tcBorders>
              <w:top w:val="nil"/>
              <w:left w:val="nil"/>
              <w:bottom w:val="single" w:sz="8" w:space="0" w:color="auto"/>
              <w:right w:val="single" w:sz="8" w:space="0" w:color="auto"/>
            </w:tcBorders>
            <w:shd w:val="clear" w:color="000000" w:fill="92D050"/>
            <w:noWrap/>
            <w:vAlign w:val="center"/>
            <w:hideMark/>
          </w:tcPr>
          <w:p w14:paraId="00461CC8"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0.386</w:t>
            </w:r>
          </w:p>
        </w:tc>
        <w:tc>
          <w:tcPr>
            <w:tcW w:w="960" w:type="dxa"/>
            <w:tcBorders>
              <w:top w:val="nil"/>
              <w:left w:val="nil"/>
              <w:bottom w:val="single" w:sz="8" w:space="0" w:color="auto"/>
              <w:right w:val="single" w:sz="8" w:space="0" w:color="auto"/>
            </w:tcBorders>
            <w:shd w:val="clear" w:color="000000" w:fill="92D050"/>
            <w:noWrap/>
            <w:vAlign w:val="center"/>
            <w:hideMark/>
          </w:tcPr>
          <w:p w14:paraId="1CCADE0E"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1.541</w:t>
            </w:r>
          </w:p>
        </w:tc>
      </w:tr>
      <w:tr w:rsidR="00216897" w:rsidRPr="009B6CE5" w14:paraId="4606697E" w14:textId="77777777" w:rsidTr="00216897">
        <w:trPr>
          <w:trHeight w:val="300"/>
        </w:trPr>
        <w:tc>
          <w:tcPr>
            <w:tcW w:w="4163" w:type="dxa"/>
            <w:tcBorders>
              <w:top w:val="nil"/>
              <w:left w:val="single" w:sz="8" w:space="0" w:color="auto"/>
              <w:bottom w:val="single" w:sz="8" w:space="0" w:color="auto"/>
              <w:right w:val="single" w:sz="8" w:space="0" w:color="auto"/>
            </w:tcBorders>
            <w:shd w:val="clear" w:color="000000" w:fill="E2EFDA"/>
            <w:noWrap/>
            <w:vAlign w:val="bottom"/>
            <w:hideMark/>
          </w:tcPr>
          <w:p w14:paraId="25C21552" w14:textId="77777777" w:rsidR="00216897" w:rsidRPr="001F3BCA" w:rsidRDefault="00216897" w:rsidP="00216897">
            <w:pPr>
              <w:keepLines w:val="0"/>
              <w:spacing w:before="0" w:after="0"/>
              <w:rPr>
                <w:rFonts w:eastAsia="Times New Roman" w:cs="Calibri"/>
                <w:b/>
                <w:bCs/>
                <w:sz w:val="23"/>
                <w:lang w:eastAsia="en-NZ"/>
              </w:rPr>
            </w:pPr>
            <w:r w:rsidRPr="001F3BCA">
              <w:rPr>
                <w:rFonts w:eastAsia="Times New Roman" w:cs="Calibri"/>
                <w:b/>
                <w:bCs/>
                <w:sz w:val="23"/>
                <w:lang w:eastAsia="en-NZ"/>
              </w:rPr>
              <w:t>Combined non-departmental baselines</w:t>
            </w:r>
          </w:p>
        </w:tc>
        <w:tc>
          <w:tcPr>
            <w:tcW w:w="960" w:type="dxa"/>
            <w:tcBorders>
              <w:top w:val="nil"/>
              <w:left w:val="nil"/>
              <w:bottom w:val="single" w:sz="8" w:space="0" w:color="auto"/>
              <w:right w:val="single" w:sz="8" w:space="0" w:color="auto"/>
            </w:tcBorders>
            <w:shd w:val="clear" w:color="000000" w:fill="E2EFDA"/>
            <w:noWrap/>
            <w:vAlign w:val="center"/>
            <w:hideMark/>
          </w:tcPr>
          <w:p w14:paraId="21B8AB74"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1.424</w:t>
            </w:r>
          </w:p>
        </w:tc>
        <w:tc>
          <w:tcPr>
            <w:tcW w:w="960" w:type="dxa"/>
            <w:tcBorders>
              <w:top w:val="nil"/>
              <w:left w:val="nil"/>
              <w:bottom w:val="single" w:sz="8" w:space="0" w:color="auto"/>
              <w:right w:val="single" w:sz="8" w:space="0" w:color="auto"/>
            </w:tcBorders>
            <w:shd w:val="clear" w:color="000000" w:fill="E2EFDA"/>
            <w:noWrap/>
            <w:vAlign w:val="center"/>
            <w:hideMark/>
          </w:tcPr>
          <w:p w14:paraId="4496519D"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1.934</w:t>
            </w:r>
          </w:p>
        </w:tc>
        <w:tc>
          <w:tcPr>
            <w:tcW w:w="960" w:type="dxa"/>
            <w:tcBorders>
              <w:top w:val="nil"/>
              <w:left w:val="nil"/>
              <w:bottom w:val="single" w:sz="8" w:space="0" w:color="auto"/>
              <w:right w:val="single" w:sz="8" w:space="0" w:color="auto"/>
            </w:tcBorders>
            <w:shd w:val="clear" w:color="000000" w:fill="E2EFDA"/>
            <w:noWrap/>
            <w:vAlign w:val="center"/>
            <w:hideMark/>
          </w:tcPr>
          <w:p w14:paraId="55C5D105"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1.795</w:t>
            </w:r>
          </w:p>
        </w:tc>
        <w:tc>
          <w:tcPr>
            <w:tcW w:w="960" w:type="dxa"/>
            <w:tcBorders>
              <w:top w:val="nil"/>
              <w:left w:val="nil"/>
              <w:bottom w:val="single" w:sz="8" w:space="0" w:color="auto"/>
              <w:right w:val="single" w:sz="8" w:space="0" w:color="auto"/>
            </w:tcBorders>
            <w:shd w:val="clear" w:color="000000" w:fill="E2EFDA"/>
            <w:noWrap/>
            <w:vAlign w:val="center"/>
            <w:hideMark/>
          </w:tcPr>
          <w:p w14:paraId="20F0969E"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1.927</w:t>
            </w:r>
          </w:p>
        </w:tc>
        <w:tc>
          <w:tcPr>
            <w:tcW w:w="960" w:type="dxa"/>
            <w:tcBorders>
              <w:top w:val="nil"/>
              <w:left w:val="nil"/>
              <w:bottom w:val="single" w:sz="8" w:space="0" w:color="auto"/>
              <w:right w:val="single" w:sz="8" w:space="0" w:color="auto"/>
            </w:tcBorders>
            <w:shd w:val="clear" w:color="000000" w:fill="E2EFDA"/>
            <w:noWrap/>
            <w:vAlign w:val="center"/>
            <w:hideMark/>
          </w:tcPr>
          <w:p w14:paraId="48CEF128" w14:textId="77777777" w:rsidR="00216897" w:rsidRPr="001F3BCA" w:rsidRDefault="00216897" w:rsidP="00216897">
            <w:pPr>
              <w:keepLines w:val="0"/>
              <w:spacing w:before="0" w:after="0"/>
              <w:jc w:val="center"/>
              <w:rPr>
                <w:rFonts w:eastAsia="Times New Roman" w:cs="Calibri"/>
                <w:b/>
                <w:bCs/>
                <w:sz w:val="23"/>
                <w:lang w:eastAsia="en-NZ"/>
              </w:rPr>
            </w:pPr>
            <w:r w:rsidRPr="001F3BCA">
              <w:rPr>
                <w:rFonts w:eastAsia="Times New Roman" w:cs="Calibri"/>
                <w:b/>
                <w:bCs/>
                <w:sz w:val="23"/>
                <w:lang w:eastAsia="en-NZ"/>
              </w:rPr>
              <w:t>7.078</w:t>
            </w:r>
          </w:p>
        </w:tc>
      </w:tr>
    </w:tbl>
    <w:p w14:paraId="7F09D811" w14:textId="77777777" w:rsidR="00216897" w:rsidRPr="00D440F0" w:rsidRDefault="00216897" w:rsidP="00216897">
      <w:pPr>
        <w:spacing w:after="120"/>
      </w:pPr>
      <w:r w:rsidRPr="00D440F0">
        <w:t>Table Notes:</w:t>
      </w:r>
    </w:p>
    <w:p w14:paraId="37B30773" w14:textId="5A096ADF" w:rsidR="00216897" w:rsidRPr="00D440F0" w:rsidRDefault="00216897" w:rsidP="00216897">
      <w:pPr>
        <w:pStyle w:val="ListParagraph"/>
        <w:numPr>
          <w:ilvl w:val="0"/>
          <w:numId w:val="30"/>
        </w:numPr>
        <w:spacing w:after="120"/>
      </w:pPr>
      <w:r w:rsidRPr="00216897">
        <w:rPr>
          <w:vertAlign w:val="superscript"/>
        </w:rPr>
        <w:t>(A)</w:t>
      </w:r>
      <w:r>
        <w:t xml:space="preserve"> </w:t>
      </w:r>
      <w:r w:rsidRPr="00D440F0">
        <w:t>Required adjustments at OBU to roll over 19/20 Capex underspend</w:t>
      </w:r>
    </w:p>
    <w:p w14:paraId="6A31A99B" w14:textId="77777777" w:rsidR="00216897" w:rsidRPr="00D440F0" w:rsidRDefault="00216897" w:rsidP="00216897">
      <w:pPr>
        <w:pStyle w:val="ListParagraph"/>
        <w:numPr>
          <w:ilvl w:val="0"/>
          <w:numId w:val="30"/>
        </w:numPr>
        <w:spacing w:after="120"/>
      </w:pPr>
      <w:r w:rsidRPr="00D440F0">
        <w:t>Total 20/21 funding required $49.928 (Sum of Departmental/Non-Departmental/Capital)</w:t>
      </w:r>
    </w:p>
    <w:p w14:paraId="0E448F8E" w14:textId="77777777" w:rsidR="00216897" w:rsidRPr="00522E85" w:rsidRDefault="00216897" w:rsidP="00216897">
      <w:pPr>
        <w:pStyle w:val="ListParagraph"/>
        <w:numPr>
          <w:ilvl w:val="0"/>
          <w:numId w:val="30"/>
        </w:numPr>
        <w:spacing w:after="120"/>
      </w:pPr>
      <w:r w:rsidRPr="00D440F0">
        <w:t>2020/21 Budget reflects approved appropriations as per Cabinet papers [CAB-18-MIN-0572. 01] and [SWC-19-MIN-0136], includes planned OBU adjustments, and an anticipated request to draw down tagged contingency [CAB-20-MIN-0155.19].</w:t>
      </w:r>
    </w:p>
    <w:p w14:paraId="7743F1CE" w14:textId="77777777" w:rsidR="00216897" w:rsidRDefault="00216897" w:rsidP="00216897"/>
    <w:p w14:paraId="04A06706" w14:textId="77777777" w:rsidR="00216897" w:rsidRPr="00BE67AB" w:rsidRDefault="00216897" w:rsidP="00216897"/>
    <w:bookmarkEnd w:id="13"/>
    <w:bookmarkEnd w:id="14"/>
    <w:p w14:paraId="57A24475" w14:textId="77777777" w:rsidR="00AE478C" w:rsidRDefault="00AE478C" w:rsidP="00BE67AB"/>
    <w:p w14:paraId="072925C8" w14:textId="5C64A631" w:rsidR="000C2E09" w:rsidRPr="00216897" w:rsidRDefault="000C2E09" w:rsidP="00216897">
      <w:pPr>
        <w:spacing w:before="240" w:after="120"/>
        <w:ind w:right="-1"/>
        <w:rPr>
          <w:rFonts w:ascii="Arial" w:hAnsi="Arial" w:cs="Arial"/>
          <w:sz w:val="22"/>
          <w:szCs w:val="22"/>
        </w:rPr>
      </w:pPr>
    </w:p>
    <w:sectPr w:rsidR="000C2E09" w:rsidRPr="00216897" w:rsidSect="008D3027">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851" w:left="1559"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2D11" w14:textId="77777777" w:rsidR="0038040A" w:rsidRDefault="0038040A">
      <w:r>
        <w:separator/>
      </w:r>
    </w:p>
    <w:p w14:paraId="26EEE0CF" w14:textId="77777777" w:rsidR="0038040A" w:rsidRDefault="0038040A"/>
    <w:p w14:paraId="353333CD" w14:textId="77777777" w:rsidR="0038040A" w:rsidRDefault="0038040A"/>
  </w:endnote>
  <w:endnote w:type="continuationSeparator" w:id="0">
    <w:p w14:paraId="0DCF6221" w14:textId="77777777" w:rsidR="0038040A" w:rsidRDefault="0038040A">
      <w:r>
        <w:continuationSeparator/>
      </w:r>
    </w:p>
    <w:p w14:paraId="67F44861" w14:textId="77777777" w:rsidR="0038040A" w:rsidRDefault="0038040A"/>
    <w:p w14:paraId="21899A84" w14:textId="77777777" w:rsidR="0038040A" w:rsidRDefault="00380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5584" w14:textId="77777777" w:rsidR="00091F63" w:rsidRDefault="0009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C975" w14:textId="77777777" w:rsidR="00091F63" w:rsidRDefault="00091F63"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E0DF" w14:textId="77777777" w:rsidR="00091F63" w:rsidRDefault="0009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30DE7" w14:textId="77777777" w:rsidR="0038040A" w:rsidRDefault="0038040A" w:rsidP="00FB1990">
      <w:pPr>
        <w:pStyle w:val="Spacer"/>
      </w:pPr>
      <w:r>
        <w:separator/>
      </w:r>
    </w:p>
    <w:p w14:paraId="5D7912B6" w14:textId="77777777" w:rsidR="0038040A" w:rsidRDefault="0038040A" w:rsidP="00FB1990">
      <w:pPr>
        <w:pStyle w:val="Spacer"/>
      </w:pPr>
    </w:p>
  </w:footnote>
  <w:footnote w:type="continuationSeparator" w:id="0">
    <w:p w14:paraId="216D310A" w14:textId="77777777" w:rsidR="0038040A" w:rsidRDefault="0038040A">
      <w:r>
        <w:continuationSeparator/>
      </w:r>
    </w:p>
    <w:p w14:paraId="74FF1E14" w14:textId="77777777" w:rsidR="0038040A" w:rsidRDefault="0038040A"/>
    <w:p w14:paraId="7A31D01C" w14:textId="77777777" w:rsidR="0038040A" w:rsidRDefault="00380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704B" w14:textId="77777777" w:rsidR="00091F63" w:rsidRDefault="0009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6487" w14:textId="21B22956" w:rsidR="00091F63" w:rsidRPr="00591BDC" w:rsidRDefault="00091F63"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53A4" w14:textId="77777777" w:rsidR="00091F63" w:rsidRDefault="0009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44A0092"/>
    <w:multiLevelType w:val="hybridMultilevel"/>
    <w:tmpl w:val="0128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13F2E3D"/>
    <w:multiLevelType w:val="hybridMultilevel"/>
    <w:tmpl w:val="37447D08"/>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4" w15:restartNumberingAfterBreak="0">
    <w:nsid w:val="22E85617"/>
    <w:multiLevelType w:val="hybridMultilevel"/>
    <w:tmpl w:val="0E3682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D1F34E1"/>
    <w:multiLevelType w:val="hybridMultilevel"/>
    <w:tmpl w:val="B78AD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99E1B28"/>
    <w:multiLevelType w:val="hybridMultilevel"/>
    <w:tmpl w:val="160E9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84B0285"/>
    <w:multiLevelType w:val="hybridMultilevel"/>
    <w:tmpl w:val="E1BEED70"/>
    <w:lvl w:ilvl="0" w:tplc="8848D446">
      <w:start w:val="1"/>
      <w:numFmt w:val="upperLetter"/>
      <w:lvlText w:val="(%1)"/>
      <w:lvlJc w:val="left"/>
      <w:pPr>
        <w:ind w:left="502" w:hanging="360"/>
      </w:pPr>
      <w:rPr>
        <w:rFonts w:eastAsiaTheme="minorHAnsi" w:hint="default"/>
        <w:vertAlign w:val="superscrip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2"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615137AA"/>
    <w:multiLevelType w:val="hybridMultilevel"/>
    <w:tmpl w:val="6AFCDD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1C0AFB"/>
    <w:multiLevelType w:val="hybridMultilevel"/>
    <w:tmpl w:val="D864FD3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65664227"/>
    <w:multiLevelType w:val="hybridMultilevel"/>
    <w:tmpl w:val="A35C736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15:restartNumberingAfterBreak="0">
    <w:nsid w:val="731E1885"/>
    <w:multiLevelType w:val="multilevel"/>
    <w:tmpl w:val="140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4" w15:restartNumberingAfterBreak="0">
    <w:nsid w:val="79CB4504"/>
    <w:multiLevelType w:val="hybridMultilevel"/>
    <w:tmpl w:val="BEA071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FE1215D"/>
    <w:multiLevelType w:val="hybridMultilevel"/>
    <w:tmpl w:val="605E91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2"/>
  </w:num>
  <w:num w:numId="8">
    <w:abstractNumId w:val="23"/>
  </w:num>
  <w:num w:numId="9">
    <w:abstractNumId w:val="19"/>
  </w:num>
  <w:num w:numId="10">
    <w:abstractNumId w:val="11"/>
  </w:num>
  <w:num w:numId="11">
    <w:abstractNumId w:val="24"/>
  </w:num>
  <w:num w:numId="12">
    <w:abstractNumId w:val="29"/>
  </w:num>
  <w:num w:numId="13">
    <w:abstractNumId w:val="31"/>
  </w:num>
  <w:num w:numId="14">
    <w:abstractNumId w:val="7"/>
  </w:num>
  <w:num w:numId="15">
    <w:abstractNumId w:val="16"/>
  </w:num>
  <w:num w:numId="16">
    <w:abstractNumId w:val="33"/>
  </w:num>
  <w:num w:numId="17">
    <w:abstractNumId w:val="30"/>
  </w:num>
  <w:num w:numId="18">
    <w:abstractNumId w:val="28"/>
  </w:num>
  <w:num w:numId="19">
    <w:abstractNumId w:val="20"/>
  </w:num>
  <w:num w:numId="20">
    <w:abstractNumId w:val="17"/>
  </w:num>
  <w:num w:numId="21">
    <w:abstractNumId w:val="9"/>
  </w:num>
  <w:num w:numId="22">
    <w:abstractNumId w:val="6"/>
  </w:num>
  <w:num w:numId="23">
    <w:abstractNumId w:val="12"/>
  </w:num>
  <w:num w:numId="24">
    <w:abstractNumId w:val="8"/>
  </w:num>
  <w:num w:numId="25">
    <w:abstractNumId w:val="14"/>
  </w:num>
  <w:num w:numId="26">
    <w:abstractNumId w:val="35"/>
  </w:num>
  <w:num w:numId="27">
    <w:abstractNumId w:val="13"/>
  </w:num>
  <w:num w:numId="28">
    <w:abstractNumId w:val="10"/>
  </w:num>
  <w:num w:numId="29">
    <w:abstractNumId w:val="27"/>
  </w:num>
  <w:num w:numId="30">
    <w:abstractNumId w:val="18"/>
  </w:num>
  <w:num w:numId="31">
    <w:abstractNumId w:val="26"/>
  </w:num>
  <w:num w:numId="32">
    <w:abstractNumId w:val="15"/>
  </w:num>
  <w:num w:numId="33">
    <w:abstractNumId w:val="34"/>
  </w:num>
  <w:num w:numId="34">
    <w:abstractNumId w:val="30"/>
  </w:num>
  <w:num w:numId="35">
    <w:abstractNumId w:val="25"/>
  </w:num>
  <w:num w:numId="36">
    <w:abstractNumId w:val="32"/>
  </w:num>
  <w:num w:numId="3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AB"/>
    <w:rsid w:val="00003360"/>
    <w:rsid w:val="00003FC7"/>
    <w:rsid w:val="00005919"/>
    <w:rsid w:val="00007C42"/>
    <w:rsid w:val="00015020"/>
    <w:rsid w:val="0001647B"/>
    <w:rsid w:val="00020010"/>
    <w:rsid w:val="00025E8A"/>
    <w:rsid w:val="00034673"/>
    <w:rsid w:val="00036671"/>
    <w:rsid w:val="00037226"/>
    <w:rsid w:val="0004085B"/>
    <w:rsid w:val="000409E2"/>
    <w:rsid w:val="00044EA1"/>
    <w:rsid w:val="0005322B"/>
    <w:rsid w:val="00054574"/>
    <w:rsid w:val="0005649A"/>
    <w:rsid w:val="00060802"/>
    <w:rsid w:val="00063BB2"/>
    <w:rsid w:val="00065F18"/>
    <w:rsid w:val="00067005"/>
    <w:rsid w:val="00076035"/>
    <w:rsid w:val="00076CAF"/>
    <w:rsid w:val="00077013"/>
    <w:rsid w:val="00083B37"/>
    <w:rsid w:val="00091C3A"/>
    <w:rsid w:val="00091F63"/>
    <w:rsid w:val="00094178"/>
    <w:rsid w:val="000A5733"/>
    <w:rsid w:val="000C0509"/>
    <w:rsid w:val="000C2E09"/>
    <w:rsid w:val="000D44C4"/>
    <w:rsid w:val="000D61F6"/>
    <w:rsid w:val="000E3240"/>
    <w:rsid w:val="000E677B"/>
    <w:rsid w:val="000F4ADF"/>
    <w:rsid w:val="000F61AF"/>
    <w:rsid w:val="0010171C"/>
    <w:rsid w:val="00102FAD"/>
    <w:rsid w:val="00104CB8"/>
    <w:rsid w:val="00112557"/>
    <w:rsid w:val="00121870"/>
    <w:rsid w:val="00126FDE"/>
    <w:rsid w:val="001308A0"/>
    <w:rsid w:val="00136B88"/>
    <w:rsid w:val="0013703F"/>
    <w:rsid w:val="001373C5"/>
    <w:rsid w:val="00140ED2"/>
    <w:rsid w:val="00143A6C"/>
    <w:rsid w:val="00143E7C"/>
    <w:rsid w:val="0014415C"/>
    <w:rsid w:val="0014565E"/>
    <w:rsid w:val="00151CB9"/>
    <w:rsid w:val="00152E07"/>
    <w:rsid w:val="001536C9"/>
    <w:rsid w:val="00154CAF"/>
    <w:rsid w:val="0016433D"/>
    <w:rsid w:val="00172864"/>
    <w:rsid w:val="00184C0F"/>
    <w:rsid w:val="001A5F55"/>
    <w:rsid w:val="001B0263"/>
    <w:rsid w:val="001B139A"/>
    <w:rsid w:val="001C0031"/>
    <w:rsid w:val="001C0C30"/>
    <w:rsid w:val="001D0111"/>
    <w:rsid w:val="001D7EAE"/>
    <w:rsid w:val="001E49F7"/>
    <w:rsid w:val="001E64FC"/>
    <w:rsid w:val="001F0724"/>
    <w:rsid w:val="001F3BCA"/>
    <w:rsid w:val="001F454B"/>
    <w:rsid w:val="002007DF"/>
    <w:rsid w:val="00201492"/>
    <w:rsid w:val="00205247"/>
    <w:rsid w:val="00205FE8"/>
    <w:rsid w:val="00206BA3"/>
    <w:rsid w:val="002130EF"/>
    <w:rsid w:val="00215160"/>
    <w:rsid w:val="00216897"/>
    <w:rsid w:val="002224B4"/>
    <w:rsid w:val="00224151"/>
    <w:rsid w:val="00225C4B"/>
    <w:rsid w:val="00226D5E"/>
    <w:rsid w:val="00227FA2"/>
    <w:rsid w:val="0023133F"/>
    <w:rsid w:val="00232643"/>
    <w:rsid w:val="002361BB"/>
    <w:rsid w:val="00237A3D"/>
    <w:rsid w:val="00240E83"/>
    <w:rsid w:val="002502D1"/>
    <w:rsid w:val="00260A17"/>
    <w:rsid w:val="00270EEC"/>
    <w:rsid w:val="00276964"/>
    <w:rsid w:val="002777D8"/>
    <w:rsid w:val="002806A2"/>
    <w:rsid w:val="00297CC7"/>
    <w:rsid w:val="002A09C5"/>
    <w:rsid w:val="002A194F"/>
    <w:rsid w:val="002A4BD9"/>
    <w:rsid w:val="002A4FE7"/>
    <w:rsid w:val="002A7723"/>
    <w:rsid w:val="002B1CEB"/>
    <w:rsid w:val="002B3126"/>
    <w:rsid w:val="002B52CC"/>
    <w:rsid w:val="002D3125"/>
    <w:rsid w:val="002D4F42"/>
    <w:rsid w:val="0030084C"/>
    <w:rsid w:val="003039E1"/>
    <w:rsid w:val="003069A2"/>
    <w:rsid w:val="003129BA"/>
    <w:rsid w:val="003148FC"/>
    <w:rsid w:val="0032132E"/>
    <w:rsid w:val="00330820"/>
    <w:rsid w:val="003465C8"/>
    <w:rsid w:val="00351BEA"/>
    <w:rsid w:val="003562F8"/>
    <w:rsid w:val="0037016B"/>
    <w:rsid w:val="00370365"/>
    <w:rsid w:val="00370FC0"/>
    <w:rsid w:val="00373206"/>
    <w:rsid w:val="003737ED"/>
    <w:rsid w:val="00375B80"/>
    <w:rsid w:val="00377352"/>
    <w:rsid w:val="0038040A"/>
    <w:rsid w:val="003A10DA"/>
    <w:rsid w:val="003A12C8"/>
    <w:rsid w:val="003A6FFE"/>
    <w:rsid w:val="003A7695"/>
    <w:rsid w:val="003B3A23"/>
    <w:rsid w:val="003B6592"/>
    <w:rsid w:val="003C1595"/>
    <w:rsid w:val="003C772C"/>
    <w:rsid w:val="003D7A92"/>
    <w:rsid w:val="003F2B58"/>
    <w:rsid w:val="003F5886"/>
    <w:rsid w:val="003F5DCC"/>
    <w:rsid w:val="0040020C"/>
    <w:rsid w:val="00401CA0"/>
    <w:rsid w:val="0040700B"/>
    <w:rsid w:val="00407F54"/>
    <w:rsid w:val="00411341"/>
    <w:rsid w:val="00413966"/>
    <w:rsid w:val="00415015"/>
    <w:rsid w:val="00415CDB"/>
    <w:rsid w:val="00416115"/>
    <w:rsid w:val="004231DC"/>
    <w:rsid w:val="0042551E"/>
    <w:rsid w:val="00433AD8"/>
    <w:rsid w:val="00437A53"/>
    <w:rsid w:val="00440071"/>
    <w:rsid w:val="00441916"/>
    <w:rsid w:val="004552A0"/>
    <w:rsid w:val="0045721D"/>
    <w:rsid w:val="00457E34"/>
    <w:rsid w:val="00460A83"/>
    <w:rsid w:val="00460B3F"/>
    <w:rsid w:val="004643F4"/>
    <w:rsid w:val="00464752"/>
    <w:rsid w:val="00472A55"/>
    <w:rsid w:val="00476068"/>
    <w:rsid w:val="004763B3"/>
    <w:rsid w:val="00477619"/>
    <w:rsid w:val="00484A3A"/>
    <w:rsid w:val="00486E6E"/>
    <w:rsid w:val="004875DF"/>
    <w:rsid w:val="00487C1D"/>
    <w:rsid w:val="0049194C"/>
    <w:rsid w:val="00494AE9"/>
    <w:rsid w:val="00494C6F"/>
    <w:rsid w:val="00497C0C"/>
    <w:rsid w:val="004A43E8"/>
    <w:rsid w:val="004A5823"/>
    <w:rsid w:val="004B041E"/>
    <w:rsid w:val="004B0AAF"/>
    <w:rsid w:val="004B214C"/>
    <w:rsid w:val="004B3924"/>
    <w:rsid w:val="004B3B7A"/>
    <w:rsid w:val="004B4046"/>
    <w:rsid w:val="004C32E4"/>
    <w:rsid w:val="004C4DDD"/>
    <w:rsid w:val="004C5F40"/>
    <w:rsid w:val="004C6953"/>
    <w:rsid w:val="004C7001"/>
    <w:rsid w:val="004D1706"/>
    <w:rsid w:val="004D243F"/>
    <w:rsid w:val="004D3AEF"/>
    <w:rsid w:val="004D7473"/>
    <w:rsid w:val="004E178D"/>
    <w:rsid w:val="004F24A0"/>
    <w:rsid w:val="004F2E8A"/>
    <w:rsid w:val="004F55E1"/>
    <w:rsid w:val="00501C4B"/>
    <w:rsid w:val="005028A7"/>
    <w:rsid w:val="0050299F"/>
    <w:rsid w:val="00504723"/>
    <w:rsid w:val="005078B7"/>
    <w:rsid w:val="00510D73"/>
    <w:rsid w:val="00512ACB"/>
    <w:rsid w:val="0052216D"/>
    <w:rsid w:val="00526115"/>
    <w:rsid w:val="005329DD"/>
    <w:rsid w:val="00533097"/>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B7B1B"/>
    <w:rsid w:val="005D3066"/>
    <w:rsid w:val="005D7A0F"/>
    <w:rsid w:val="005E4B13"/>
    <w:rsid w:val="005E4C02"/>
    <w:rsid w:val="005E737A"/>
    <w:rsid w:val="005F01DF"/>
    <w:rsid w:val="005F5640"/>
    <w:rsid w:val="005F76CC"/>
    <w:rsid w:val="005F7FF8"/>
    <w:rsid w:val="006004C4"/>
    <w:rsid w:val="00600CA4"/>
    <w:rsid w:val="00602416"/>
    <w:rsid w:val="006025CE"/>
    <w:rsid w:val="00603635"/>
    <w:rsid w:val="006041F2"/>
    <w:rsid w:val="006064F5"/>
    <w:rsid w:val="00612AB4"/>
    <w:rsid w:val="00617298"/>
    <w:rsid w:val="00637753"/>
    <w:rsid w:val="00657694"/>
    <w:rsid w:val="00660CE4"/>
    <w:rsid w:val="00662716"/>
    <w:rsid w:val="0066313E"/>
    <w:rsid w:val="00664521"/>
    <w:rsid w:val="006651F3"/>
    <w:rsid w:val="00676C9F"/>
    <w:rsid w:val="00677B13"/>
    <w:rsid w:val="00677F4E"/>
    <w:rsid w:val="00677F8A"/>
    <w:rsid w:val="00681A08"/>
    <w:rsid w:val="006823E4"/>
    <w:rsid w:val="00685ECF"/>
    <w:rsid w:val="006875B8"/>
    <w:rsid w:val="00687CEA"/>
    <w:rsid w:val="00694E01"/>
    <w:rsid w:val="00695171"/>
    <w:rsid w:val="00695B75"/>
    <w:rsid w:val="006A1A95"/>
    <w:rsid w:val="006A2AC3"/>
    <w:rsid w:val="006A38B7"/>
    <w:rsid w:val="006A5C31"/>
    <w:rsid w:val="006B09CA"/>
    <w:rsid w:val="006B1CB2"/>
    <w:rsid w:val="006B1DD1"/>
    <w:rsid w:val="006B3396"/>
    <w:rsid w:val="006B4FE7"/>
    <w:rsid w:val="006C195E"/>
    <w:rsid w:val="006D638F"/>
    <w:rsid w:val="006D7384"/>
    <w:rsid w:val="006E00CC"/>
    <w:rsid w:val="006E7BF7"/>
    <w:rsid w:val="00702F2C"/>
    <w:rsid w:val="007068C8"/>
    <w:rsid w:val="00715B8F"/>
    <w:rsid w:val="0073106E"/>
    <w:rsid w:val="00755142"/>
    <w:rsid w:val="00756709"/>
    <w:rsid w:val="00756BB7"/>
    <w:rsid w:val="0075764B"/>
    <w:rsid w:val="00760C01"/>
    <w:rsid w:val="00761293"/>
    <w:rsid w:val="00762B70"/>
    <w:rsid w:val="00767C04"/>
    <w:rsid w:val="007736A2"/>
    <w:rsid w:val="00781CFB"/>
    <w:rsid w:val="007A6226"/>
    <w:rsid w:val="007B3AC7"/>
    <w:rsid w:val="007B3C61"/>
    <w:rsid w:val="007B3E9C"/>
    <w:rsid w:val="007D1918"/>
    <w:rsid w:val="007D1FD9"/>
    <w:rsid w:val="007D33BA"/>
    <w:rsid w:val="007D41EC"/>
    <w:rsid w:val="007F03F2"/>
    <w:rsid w:val="008031DF"/>
    <w:rsid w:val="008065D7"/>
    <w:rsid w:val="00810B25"/>
    <w:rsid w:val="008111A3"/>
    <w:rsid w:val="00816E30"/>
    <w:rsid w:val="0082264B"/>
    <w:rsid w:val="00823A2F"/>
    <w:rsid w:val="0082765B"/>
    <w:rsid w:val="00834B76"/>
    <w:rsid w:val="008352B1"/>
    <w:rsid w:val="008353E7"/>
    <w:rsid w:val="00835AFC"/>
    <w:rsid w:val="00835BD7"/>
    <w:rsid w:val="008428E8"/>
    <w:rsid w:val="00843D71"/>
    <w:rsid w:val="00846F11"/>
    <w:rsid w:val="0084745A"/>
    <w:rsid w:val="008504D0"/>
    <w:rsid w:val="008642E0"/>
    <w:rsid w:val="00870045"/>
    <w:rsid w:val="00875228"/>
    <w:rsid w:val="00876E5F"/>
    <w:rsid w:val="008772FC"/>
    <w:rsid w:val="00884A12"/>
    <w:rsid w:val="00890CE4"/>
    <w:rsid w:val="00891ED7"/>
    <w:rsid w:val="008B00C0"/>
    <w:rsid w:val="008B7B54"/>
    <w:rsid w:val="008C3187"/>
    <w:rsid w:val="008C5E4F"/>
    <w:rsid w:val="008C60EC"/>
    <w:rsid w:val="008D3027"/>
    <w:rsid w:val="008D63B7"/>
    <w:rsid w:val="008D6A03"/>
    <w:rsid w:val="008D6CA7"/>
    <w:rsid w:val="008E1003"/>
    <w:rsid w:val="008E508C"/>
    <w:rsid w:val="008E7FEE"/>
    <w:rsid w:val="008F0B59"/>
    <w:rsid w:val="008F2F06"/>
    <w:rsid w:val="008F31F5"/>
    <w:rsid w:val="008F67F5"/>
    <w:rsid w:val="008F6BCE"/>
    <w:rsid w:val="00900D4B"/>
    <w:rsid w:val="00905F9B"/>
    <w:rsid w:val="00906F0A"/>
    <w:rsid w:val="00913E95"/>
    <w:rsid w:val="009170B9"/>
    <w:rsid w:val="00921E63"/>
    <w:rsid w:val="00923A87"/>
    <w:rsid w:val="00927482"/>
    <w:rsid w:val="00932B51"/>
    <w:rsid w:val="00936FF5"/>
    <w:rsid w:val="0094654B"/>
    <w:rsid w:val="0095112B"/>
    <w:rsid w:val="0095712A"/>
    <w:rsid w:val="009734CF"/>
    <w:rsid w:val="00973A6D"/>
    <w:rsid w:val="009804E0"/>
    <w:rsid w:val="00983735"/>
    <w:rsid w:val="009865AA"/>
    <w:rsid w:val="00987080"/>
    <w:rsid w:val="0098765A"/>
    <w:rsid w:val="00987E5B"/>
    <w:rsid w:val="00991620"/>
    <w:rsid w:val="0099633A"/>
    <w:rsid w:val="009968B0"/>
    <w:rsid w:val="009A4CED"/>
    <w:rsid w:val="009A6CB2"/>
    <w:rsid w:val="009A7D32"/>
    <w:rsid w:val="009B0218"/>
    <w:rsid w:val="009B0982"/>
    <w:rsid w:val="009B4C99"/>
    <w:rsid w:val="009C13FB"/>
    <w:rsid w:val="009C60AC"/>
    <w:rsid w:val="009C6A4E"/>
    <w:rsid w:val="009C7717"/>
    <w:rsid w:val="009D28CF"/>
    <w:rsid w:val="009E5D36"/>
    <w:rsid w:val="009E6375"/>
    <w:rsid w:val="009E7CA0"/>
    <w:rsid w:val="009F0013"/>
    <w:rsid w:val="00A04392"/>
    <w:rsid w:val="00A069CE"/>
    <w:rsid w:val="00A07959"/>
    <w:rsid w:val="00A109D8"/>
    <w:rsid w:val="00A15307"/>
    <w:rsid w:val="00A16003"/>
    <w:rsid w:val="00A167D7"/>
    <w:rsid w:val="00A172F7"/>
    <w:rsid w:val="00A23D39"/>
    <w:rsid w:val="00A23EC2"/>
    <w:rsid w:val="00A24FBB"/>
    <w:rsid w:val="00A30EA4"/>
    <w:rsid w:val="00A3453E"/>
    <w:rsid w:val="00A42ED2"/>
    <w:rsid w:val="00A433A1"/>
    <w:rsid w:val="00A44B33"/>
    <w:rsid w:val="00A50E00"/>
    <w:rsid w:val="00A52529"/>
    <w:rsid w:val="00A53624"/>
    <w:rsid w:val="00A55EAF"/>
    <w:rsid w:val="00A5766B"/>
    <w:rsid w:val="00A746D4"/>
    <w:rsid w:val="00A76337"/>
    <w:rsid w:val="00A77512"/>
    <w:rsid w:val="00A81974"/>
    <w:rsid w:val="00A85AB9"/>
    <w:rsid w:val="00A863E3"/>
    <w:rsid w:val="00A94161"/>
    <w:rsid w:val="00A97BFB"/>
    <w:rsid w:val="00AB0BBC"/>
    <w:rsid w:val="00AB3A92"/>
    <w:rsid w:val="00AB478B"/>
    <w:rsid w:val="00AB47AC"/>
    <w:rsid w:val="00AB4AD9"/>
    <w:rsid w:val="00AB6C62"/>
    <w:rsid w:val="00AC2AED"/>
    <w:rsid w:val="00AD6E77"/>
    <w:rsid w:val="00AD7A25"/>
    <w:rsid w:val="00AE2666"/>
    <w:rsid w:val="00AE3A8D"/>
    <w:rsid w:val="00AE478C"/>
    <w:rsid w:val="00AF3A5A"/>
    <w:rsid w:val="00AF3E15"/>
    <w:rsid w:val="00AF5218"/>
    <w:rsid w:val="00AF60A0"/>
    <w:rsid w:val="00B01A6F"/>
    <w:rsid w:val="00B0480E"/>
    <w:rsid w:val="00B1026A"/>
    <w:rsid w:val="00B15691"/>
    <w:rsid w:val="00B21166"/>
    <w:rsid w:val="00B263AE"/>
    <w:rsid w:val="00B2714A"/>
    <w:rsid w:val="00B33A6C"/>
    <w:rsid w:val="00B41CD3"/>
    <w:rsid w:val="00B42F17"/>
    <w:rsid w:val="00B43A02"/>
    <w:rsid w:val="00B47091"/>
    <w:rsid w:val="00B56534"/>
    <w:rsid w:val="00B57A21"/>
    <w:rsid w:val="00B60791"/>
    <w:rsid w:val="00B61F26"/>
    <w:rsid w:val="00B62C3E"/>
    <w:rsid w:val="00B645DE"/>
    <w:rsid w:val="00B65857"/>
    <w:rsid w:val="00B66698"/>
    <w:rsid w:val="00B745DC"/>
    <w:rsid w:val="00B84350"/>
    <w:rsid w:val="00B855A6"/>
    <w:rsid w:val="00B91098"/>
    <w:rsid w:val="00B91904"/>
    <w:rsid w:val="00B92735"/>
    <w:rsid w:val="00B969ED"/>
    <w:rsid w:val="00BA39A5"/>
    <w:rsid w:val="00BA77F1"/>
    <w:rsid w:val="00BA7C17"/>
    <w:rsid w:val="00BB0D90"/>
    <w:rsid w:val="00BB60C6"/>
    <w:rsid w:val="00BB7984"/>
    <w:rsid w:val="00BC45F7"/>
    <w:rsid w:val="00BC6A06"/>
    <w:rsid w:val="00BD0E02"/>
    <w:rsid w:val="00BD137C"/>
    <w:rsid w:val="00BD2C9E"/>
    <w:rsid w:val="00BE3BC7"/>
    <w:rsid w:val="00BE67AB"/>
    <w:rsid w:val="00BF1AB7"/>
    <w:rsid w:val="00BF7347"/>
    <w:rsid w:val="00BF7FE9"/>
    <w:rsid w:val="00C03596"/>
    <w:rsid w:val="00C05EEC"/>
    <w:rsid w:val="00C15A13"/>
    <w:rsid w:val="00C238D9"/>
    <w:rsid w:val="00C24A9D"/>
    <w:rsid w:val="00C2531D"/>
    <w:rsid w:val="00C2677E"/>
    <w:rsid w:val="00C26F72"/>
    <w:rsid w:val="00C31542"/>
    <w:rsid w:val="00C43C29"/>
    <w:rsid w:val="00C5028E"/>
    <w:rsid w:val="00C51A95"/>
    <w:rsid w:val="00C54E78"/>
    <w:rsid w:val="00C6078D"/>
    <w:rsid w:val="00C657CF"/>
    <w:rsid w:val="00C7795B"/>
    <w:rsid w:val="00C80D62"/>
    <w:rsid w:val="00C8388B"/>
    <w:rsid w:val="00C84944"/>
    <w:rsid w:val="00C90217"/>
    <w:rsid w:val="00C96BFD"/>
    <w:rsid w:val="00C96C98"/>
    <w:rsid w:val="00CA49F0"/>
    <w:rsid w:val="00CA5358"/>
    <w:rsid w:val="00CA5D39"/>
    <w:rsid w:val="00CB0B17"/>
    <w:rsid w:val="00CB15B8"/>
    <w:rsid w:val="00CB1DCA"/>
    <w:rsid w:val="00CD4C07"/>
    <w:rsid w:val="00CD502A"/>
    <w:rsid w:val="00CE1B60"/>
    <w:rsid w:val="00CE668F"/>
    <w:rsid w:val="00CF12CF"/>
    <w:rsid w:val="00CF346B"/>
    <w:rsid w:val="00CF3D34"/>
    <w:rsid w:val="00CF4BE3"/>
    <w:rsid w:val="00D060D2"/>
    <w:rsid w:val="00D10946"/>
    <w:rsid w:val="00D13E2D"/>
    <w:rsid w:val="00D14394"/>
    <w:rsid w:val="00D14A35"/>
    <w:rsid w:val="00D242CD"/>
    <w:rsid w:val="00D26F74"/>
    <w:rsid w:val="00D341C3"/>
    <w:rsid w:val="00D42843"/>
    <w:rsid w:val="00D44B05"/>
    <w:rsid w:val="00D5152A"/>
    <w:rsid w:val="00D560EB"/>
    <w:rsid w:val="00D65145"/>
    <w:rsid w:val="00D71DBB"/>
    <w:rsid w:val="00D73D87"/>
    <w:rsid w:val="00D741AE"/>
    <w:rsid w:val="00D74314"/>
    <w:rsid w:val="00D77BBC"/>
    <w:rsid w:val="00D81410"/>
    <w:rsid w:val="00D86344"/>
    <w:rsid w:val="00D86FC0"/>
    <w:rsid w:val="00D92281"/>
    <w:rsid w:val="00D92505"/>
    <w:rsid w:val="00D92B66"/>
    <w:rsid w:val="00D96D45"/>
    <w:rsid w:val="00D96DCD"/>
    <w:rsid w:val="00DA267C"/>
    <w:rsid w:val="00DA27B3"/>
    <w:rsid w:val="00DA5101"/>
    <w:rsid w:val="00DA669F"/>
    <w:rsid w:val="00DA79EF"/>
    <w:rsid w:val="00DB0C0B"/>
    <w:rsid w:val="00DB3B74"/>
    <w:rsid w:val="00DB5979"/>
    <w:rsid w:val="00DC5870"/>
    <w:rsid w:val="00DD0384"/>
    <w:rsid w:val="00DD0901"/>
    <w:rsid w:val="00DD4AB0"/>
    <w:rsid w:val="00DE16B6"/>
    <w:rsid w:val="00DE3323"/>
    <w:rsid w:val="00DE36CA"/>
    <w:rsid w:val="00DE7E63"/>
    <w:rsid w:val="00DF77A2"/>
    <w:rsid w:val="00E00C3E"/>
    <w:rsid w:val="00E11D08"/>
    <w:rsid w:val="00E2379C"/>
    <w:rsid w:val="00E367C5"/>
    <w:rsid w:val="00E37E71"/>
    <w:rsid w:val="00E42486"/>
    <w:rsid w:val="00E42847"/>
    <w:rsid w:val="00E46064"/>
    <w:rsid w:val="00E51032"/>
    <w:rsid w:val="00E521AB"/>
    <w:rsid w:val="00E52620"/>
    <w:rsid w:val="00E56462"/>
    <w:rsid w:val="00E604A1"/>
    <w:rsid w:val="00E7293C"/>
    <w:rsid w:val="00E73AA8"/>
    <w:rsid w:val="00E76812"/>
    <w:rsid w:val="00E80228"/>
    <w:rsid w:val="00E828C1"/>
    <w:rsid w:val="00E86D2A"/>
    <w:rsid w:val="00E8711A"/>
    <w:rsid w:val="00E9549B"/>
    <w:rsid w:val="00EA2ED4"/>
    <w:rsid w:val="00EA491A"/>
    <w:rsid w:val="00EB0033"/>
    <w:rsid w:val="00EB0C9E"/>
    <w:rsid w:val="00EB1583"/>
    <w:rsid w:val="00EB54A9"/>
    <w:rsid w:val="00EC23FB"/>
    <w:rsid w:val="00EC49DC"/>
    <w:rsid w:val="00EC7017"/>
    <w:rsid w:val="00ED05C0"/>
    <w:rsid w:val="00ED0BE8"/>
    <w:rsid w:val="00ED4356"/>
    <w:rsid w:val="00ED7681"/>
    <w:rsid w:val="00EE173C"/>
    <w:rsid w:val="00EE243C"/>
    <w:rsid w:val="00EF63C6"/>
    <w:rsid w:val="00F034FB"/>
    <w:rsid w:val="00F05606"/>
    <w:rsid w:val="00F105F5"/>
    <w:rsid w:val="00F1075A"/>
    <w:rsid w:val="00F14CFC"/>
    <w:rsid w:val="00F22E82"/>
    <w:rsid w:val="00F2483A"/>
    <w:rsid w:val="00F30665"/>
    <w:rsid w:val="00F337BF"/>
    <w:rsid w:val="00F33B87"/>
    <w:rsid w:val="00F33D14"/>
    <w:rsid w:val="00F34AB8"/>
    <w:rsid w:val="00F35A04"/>
    <w:rsid w:val="00F40D28"/>
    <w:rsid w:val="00F473B6"/>
    <w:rsid w:val="00F52E57"/>
    <w:rsid w:val="00F53E06"/>
    <w:rsid w:val="00F54188"/>
    <w:rsid w:val="00F54CC0"/>
    <w:rsid w:val="00F727A5"/>
    <w:rsid w:val="00F847A9"/>
    <w:rsid w:val="00FA3D61"/>
    <w:rsid w:val="00FA5FE9"/>
    <w:rsid w:val="00FA67D2"/>
    <w:rsid w:val="00FB1990"/>
    <w:rsid w:val="00FB302F"/>
    <w:rsid w:val="00FB5A92"/>
    <w:rsid w:val="00FC1C69"/>
    <w:rsid w:val="00FC3739"/>
    <w:rsid w:val="00FC4270"/>
    <w:rsid w:val="00FD00D8"/>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BDEAEC"/>
  <w15:chartTrackingRefBased/>
  <w15:docId w15:val="{46539035-3757-4751-918A-896DC7B6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7A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abel3">
    <w:name w:val="label3"/>
    <w:basedOn w:val="DefaultParagraphFont"/>
    <w:rsid w:val="00BE67AB"/>
  </w:style>
  <w:style w:type="paragraph" w:customStyle="1" w:styleId="text5">
    <w:name w:val="text5"/>
    <w:basedOn w:val="Normal"/>
    <w:rsid w:val="00BE67AB"/>
    <w:pPr>
      <w:keepLines w:val="0"/>
      <w:spacing w:before="83" w:after="216" w:line="288" w:lineRule="atLeast"/>
    </w:pPr>
    <w:rPr>
      <w:rFonts w:ascii="Times New Roman" w:eastAsia="Times New Roman" w:hAnsi="Times New Roman"/>
      <w:lang w:eastAsia="en-NZ"/>
    </w:rPr>
  </w:style>
  <w:style w:type="paragraph" w:styleId="CommentText">
    <w:name w:val="annotation text"/>
    <w:basedOn w:val="Normal"/>
    <w:link w:val="CommentTextChar"/>
    <w:uiPriority w:val="99"/>
    <w:semiHidden/>
    <w:unhideWhenUsed/>
    <w:rsid w:val="00D86FC0"/>
    <w:rPr>
      <w:sz w:val="20"/>
      <w:szCs w:val="20"/>
    </w:rPr>
  </w:style>
  <w:style w:type="character" w:customStyle="1" w:styleId="CommentTextChar">
    <w:name w:val="Comment Text Char"/>
    <w:basedOn w:val="DefaultParagraphFont"/>
    <w:link w:val="CommentText"/>
    <w:uiPriority w:val="99"/>
    <w:semiHidden/>
    <w:rsid w:val="00D86FC0"/>
    <w:rPr>
      <w:sz w:val="20"/>
      <w:szCs w:val="20"/>
      <w:lang w:eastAsia="en-US"/>
    </w:rPr>
  </w:style>
  <w:style w:type="paragraph" w:styleId="CommentSubject">
    <w:name w:val="annotation subject"/>
    <w:basedOn w:val="CommentText"/>
    <w:next w:val="CommentText"/>
    <w:link w:val="CommentSubjectChar"/>
    <w:uiPriority w:val="99"/>
    <w:semiHidden/>
    <w:unhideWhenUsed/>
    <w:rsid w:val="00D86FC0"/>
    <w:rPr>
      <w:b/>
      <w:bCs/>
    </w:rPr>
  </w:style>
  <w:style w:type="character" w:customStyle="1" w:styleId="CommentSubjectChar">
    <w:name w:val="Comment Subject Char"/>
    <w:basedOn w:val="CommentTextChar"/>
    <w:link w:val="CommentSubject"/>
    <w:uiPriority w:val="99"/>
    <w:semiHidden/>
    <w:rsid w:val="00D86FC0"/>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904">
      <w:bodyDiv w:val="1"/>
      <w:marLeft w:val="0"/>
      <w:marRight w:val="0"/>
      <w:marTop w:val="0"/>
      <w:marBottom w:val="0"/>
      <w:divBdr>
        <w:top w:val="none" w:sz="0" w:space="0" w:color="auto"/>
        <w:left w:val="none" w:sz="0" w:space="0" w:color="auto"/>
        <w:bottom w:val="none" w:sz="0" w:space="0" w:color="auto"/>
        <w:right w:val="none" w:sz="0" w:space="0" w:color="auto"/>
      </w:divBdr>
      <w:divsChild>
        <w:div w:id="402800007">
          <w:marLeft w:val="0"/>
          <w:marRight w:val="0"/>
          <w:marTop w:val="0"/>
          <w:marBottom w:val="0"/>
          <w:divBdr>
            <w:top w:val="none" w:sz="0" w:space="0" w:color="auto"/>
            <w:left w:val="none" w:sz="0" w:space="0" w:color="auto"/>
            <w:bottom w:val="none" w:sz="0" w:space="0" w:color="auto"/>
            <w:right w:val="none" w:sz="0" w:space="0" w:color="auto"/>
          </w:divBdr>
          <w:divsChild>
            <w:div w:id="726102518">
              <w:marLeft w:val="0"/>
              <w:marRight w:val="0"/>
              <w:marTop w:val="0"/>
              <w:marBottom w:val="0"/>
              <w:divBdr>
                <w:top w:val="none" w:sz="0" w:space="0" w:color="auto"/>
                <w:left w:val="none" w:sz="0" w:space="0" w:color="auto"/>
                <w:bottom w:val="none" w:sz="0" w:space="0" w:color="auto"/>
                <w:right w:val="none" w:sz="0" w:space="0" w:color="auto"/>
              </w:divBdr>
              <w:divsChild>
                <w:div w:id="1406873971">
                  <w:marLeft w:val="0"/>
                  <w:marRight w:val="0"/>
                  <w:marTop w:val="105"/>
                  <w:marBottom w:val="0"/>
                  <w:divBdr>
                    <w:top w:val="none" w:sz="0" w:space="0" w:color="auto"/>
                    <w:left w:val="none" w:sz="0" w:space="0" w:color="auto"/>
                    <w:bottom w:val="none" w:sz="0" w:space="0" w:color="auto"/>
                    <w:right w:val="none" w:sz="0" w:space="0" w:color="auto"/>
                  </w:divBdr>
                  <w:divsChild>
                    <w:div w:id="614094232">
                      <w:marLeft w:val="450"/>
                      <w:marRight w:val="225"/>
                      <w:marTop w:val="0"/>
                      <w:marBottom w:val="0"/>
                      <w:divBdr>
                        <w:top w:val="none" w:sz="0" w:space="0" w:color="auto"/>
                        <w:left w:val="none" w:sz="0" w:space="0" w:color="auto"/>
                        <w:bottom w:val="none" w:sz="0" w:space="0" w:color="auto"/>
                        <w:right w:val="none" w:sz="0" w:space="0" w:color="auto"/>
                      </w:divBdr>
                      <w:divsChild>
                        <w:div w:id="2134592688">
                          <w:marLeft w:val="0"/>
                          <w:marRight w:val="0"/>
                          <w:marTop w:val="0"/>
                          <w:marBottom w:val="600"/>
                          <w:divBdr>
                            <w:top w:val="single" w:sz="6" w:space="0" w:color="314664"/>
                            <w:left w:val="single" w:sz="6" w:space="0" w:color="314664"/>
                            <w:bottom w:val="single" w:sz="6" w:space="0" w:color="314664"/>
                            <w:right w:val="single" w:sz="6" w:space="0" w:color="314664"/>
                          </w:divBdr>
                          <w:divsChild>
                            <w:div w:id="1119884186">
                              <w:marLeft w:val="0"/>
                              <w:marRight w:val="0"/>
                              <w:marTop w:val="0"/>
                              <w:marBottom w:val="0"/>
                              <w:divBdr>
                                <w:top w:val="none" w:sz="0" w:space="0" w:color="auto"/>
                                <w:left w:val="none" w:sz="0" w:space="0" w:color="auto"/>
                                <w:bottom w:val="none" w:sz="0" w:space="0" w:color="auto"/>
                                <w:right w:val="none" w:sz="0" w:space="0" w:color="auto"/>
                              </w:divBdr>
                              <w:divsChild>
                                <w:div w:id="568536092">
                                  <w:marLeft w:val="0"/>
                                  <w:marRight w:val="0"/>
                                  <w:marTop w:val="0"/>
                                  <w:marBottom w:val="0"/>
                                  <w:divBdr>
                                    <w:top w:val="none" w:sz="0" w:space="0" w:color="auto"/>
                                    <w:left w:val="none" w:sz="0" w:space="0" w:color="auto"/>
                                    <w:bottom w:val="none" w:sz="0" w:space="0" w:color="auto"/>
                                    <w:right w:val="none" w:sz="0" w:space="0" w:color="auto"/>
                                  </w:divBdr>
                                  <w:divsChild>
                                    <w:div w:id="1687361278">
                                      <w:marLeft w:val="0"/>
                                      <w:marRight w:val="0"/>
                                      <w:marTop w:val="0"/>
                                      <w:marBottom w:val="0"/>
                                      <w:divBdr>
                                        <w:top w:val="none" w:sz="0" w:space="0" w:color="auto"/>
                                        <w:left w:val="none" w:sz="0" w:space="0" w:color="auto"/>
                                        <w:bottom w:val="none" w:sz="0" w:space="0" w:color="auto"/>
                                        <w:right w:val="none" w:sz="0" w:space="0" w:color="auto"/>
                                      </w:divBdr>
                                      <w:divsChild>
                                        <w:div w:id="1225212695">
                                          <w:marLeft w:val="0"/>
                                          <w:marRight w:val="0"/>
                                          <w:marTop w:val="0"/>
                                          <w:marBottom w:val="0"/>
                                          <w:divBdr>
                                            <w:top w:val="none" w:sz="0" w:space="0" w:color="auto"/>
                                            <w:left w:val="none" w:sz="0" w:space="0" w:color="auto"/>
                                            <w:bottom w:val="none" w:sz="0" w:space="0" w:color="auto"/>
                                            <w:right w:val="none" w:sz="0" w:space="0" w:color="auto"/>
                                          </w:divBdr>
                                          <w:divsChild>
                                            <w:div w:id="1381051517">
                                              <w:marLeft w:val="0"/>
                                              <w:marRight w:val="0"/>
                                              <w:marTop w:val="0"/>
                                              <w:marBottom w:val="0"/>
                                              <w:divBdr>
                                                <w:top w:val="none" w:sz="0" w:space="0" w:color="auto"/>
                                                <w:left w:val="none" w:sz="0" w:space="0" w:color="auto"/>
                                                <w:bottom w:val="none" w:sz="0" w:space="0" w:color="auto"/>
                                                <w:right w:val="none" w:sz="0" w:space="0" w:color="auto"/>
                                              </w:divBdr>
                                              <w:divsChild>
                                                <w:div w:id="304511240">
                                                  <w:marLeft w:val="0"/>
                                                  <w:marRight w:val="0"/>
                                                  <w:marTop w:val="0"/>
                                                  <w:marBottom w:val="0"/>
                                                  <w:divBdr>
                                                    <w:top w:val="none" w:sz="0" w:space="0" w:color="auto"/>
                                                    <w:left w:val="none" w:sz="0" w:space="0" w:color="auto"/>
                                                    <w:bottom w:val="none" w:sz="0" w:space="0" w:color="auto"/>
                                                    <w:right w:val="none" w:sz="0" w:space="0" w:color="auto"/>
                                                  </w:divBdr>
                                                  <w:divsChild>
                                                    <w:div w:id="948589030">
                                                      <w:marLeft w:val="0"/>
                                                      <w:marRight w:val="0"/>
                                                      <w:marTop w:val="0"/>
                                                      <w:marBottom w:val="0"/>
                                                      <w:divBdr>
                                                        <w:top w:val="none" w:sz="0" w:space="0" w:color="auto"/>
                                                        <w:left w:val="none" w:sz="0" w:space="0" w:color="auto"/>
                                                        <w:bottom w:val="none" w:sz="0" w:space="0" w:color="auto"/>
                                                        <w:right w:val="none" w:sz="0" w:space="0" w:color="auto"/>
                                                      </w:divBdr>
                                                      <w:divsChild>
                                                        <w:div w:id="867525510">
                                                          <w:marLeft w:val="0"/>
                                                          <w:marRight w:val="0"/>
                                                          <w:marTop w:val="0"/>
                                                          <w:marBottom w:val="0"/>
                                                          <w:divBdr>
                                                            <w:top w:val="none" w:sz="0" w:space="0" w:color="auto"/>
                                                            <w:left w:val="none" w:sz="0" w:space="0" w:color="auto"/>
                                                            <w:bottom w:val="none" w:sz="0" w:space="0" w:color="auto"/>
                                                            <w:right w:val="none" w:sz="0" w:space="0" w:color="auto"/>
                                                          </w:divBdr>
                                                          <w:divsChild>
                                                            <w:div w:id="592594867">
                                                              <w:marLeft w:val="0"/>
                                                              <w:marRight w:val="0"/>
                                                              <w:marTop w:val="0"/>
                                                              <w:marBottom w:val="0"/>
                                                              <w:divBdr>
                                                                <w:top w:val="none" w:sz="0" w:space="0" w:color="auto"/>
                                                                <w:left w:val="none" w:sz="0" w:space="0" w:color="auto"/>
                                                                <w:bottom w:val="none" w:sz="0" w:space="0" w:color="auto"/>
                                                                <w:right w:val="none" w:sz="0" w:space="0" w:color="auto"/>
                                                              </w:divBdr>
                                                              <w:divsChild>
                                                                <w:div w:id="1185249816">
                                                                  <w:marLeft w:val="0"/>
                                                                  <w:marRight w:val="0"/>
                                                                  <w:marTop w:val="0"/>
                                                                  <w:marBottom w:val="0"/>
                                                                  <w:divBdr>
                                                                    <w:top w:val="none" w:sz="0" w:space="0" w:color="auto"/>
                                                                    <w:left w:val="none" w:sz="0" w:space="0" w:color="auto"/>
                                                                    <w:bottom w:val="none" w:sz="0" w:space="0" w:color="auto"/>
                                                                    <w:right w:val="none" w:sz="0" w:space="0" w:color="auto"/>
                                                                  </w:divBdr>
                                                                  <w:divsChild>
                                                                    <w:div w:id="324018460">
                                                                      <w:marLeft w:val="0"/>
                                                                      <w:marRight w:val="0"/>
                                                                      <w:marTop w:val="83"/>
                                                                      <w:marBottom w:val="0"/>
                                                                      <w:divBdr>
                                                                        <w:top w:val="none" w:sz="0" w:space="0" w:color="auto"/>
                                                                        <w:left w:val="none" w:sz="0" w:space="0" w:color="auto"/>
                                                                        <w:bottom w:val="none" w:sz="0" w:space="0" w:color="auto"/>
                                                                        <w:right w:val="none" w:sz="0" w:space="0" w:color="auto"/>
                                                                      </w:divBdr>
                                                                      <w:divsChild>
                                                                        <w:div w:id="1101491806">
                                                                          <w:marLeft w:val="0"/>
                                                                          <w:marRight w:val="0"/>
                                                                          <w:marTop w:val="0"/>
                                                                          <w:marBottom w:val="0"/>
                                                                          <w:divBdr>
                                                                            <w:top w:val="none" w:sz="0" w:space="0" w:color="auto"/>
                                                                            <w:left w:val="none" w:sz="0" w:space="0" w:color="auto"/>
                                                                            <w:bottom w:val="none" w:sz="0" w:space="0" w:color="auto"/>
                                                                            <w:right w:val="none" w:sz="0" w:space="0" w:color="auto"/>
                                                                          </w:divBdr>
                                                                          <w:divsChild>
                                                                            <w:div w:id="270430955">
                                                                              <w:marLeft w:val="0"/>
                                                                              <w:marRight w:val="0"/>
                                                                              <w:marTop w:val="83"/>
                                                                              <w:marBottom w:val="0"/>
                                                                              <w:divBdr>
                                                                                <w:top w:val="none" w:sz="0" w:space="0" w:color="auto"/>
                                                                                <w:left w:val="none" w:sz="0" w:space="0" w:color="auto"/>
                                                                                <w:bottom w:val="none" w:sz="0" w:space="0" w:color="auto"/>
                                                                                <w:right w:val="none" w:sz="0" w:space="0" w:color="auto"/>
                                                                              </w:divBdr>
                                                                            </w:div>
                                                                          </w:divsChild>
                                                                        </w:div>
                                                                        <w:div w:id="2101875972">
                                                                          <w:marLeft w:val="0"/>
                                                                          <w:marRight w:val="0"/>
                                                                          <w:marTop w:val="0"/>
                                                                          <w:marBottom w:val="0"/>
                                                                          <w:divBdr>
                                                                            <w:top w:val="none" w:sz="0" w:space="0" w:color="auto"/>
                                                                            <w:left w:val="none" w:sz="0" w:space="0" w:color="auto"/>
                                                                            <w:bottom w:val="none" w:sz="0" w:space="0" w:color="auto"/>
                                                                            <w:right w:val="none" w:sz="0" w:space="0" w:color="auto"/>
                                                                          </w:divBdr>
                                                                          <w:divsChild>
                                                                            <w:div w:id="1131482436">
                                                                              <w:marLeft w:val="0"/>
                                                                              <w:marRight w:val="0"/>
                                                                              <w:marTop w:val="83"/>
                                                                              <w:marBottom w:val="0"/>
                                                                              <w:divBdr>
                                                                                <w:top w:val="none" w:sz="0" w:space="0" w:color="auto"/>
                                                                                <w:left w:val="none" w:sz="0" w:space="0" w:color="auto"/>
                                                                                <w:bottom w:val="none" w:sz="0" w:space="0" w:color="auto"/>
                                                                                <w:right w:val="none" w:sz="0" w:space="0" w:color="auto"/>
                                                                              </w:divBdr>
                                                                            </w:div>
                                                                          </w:divsChild>
                                                                        </w:div>
                                                                        <w:div w:id="2120953348">
                                                                          <w:marLeft w:val="0"/>
                                                                          <w:marRight w:val="0"/>
                                                                          <w:marTop w:val="0"/>
                                                                          <w:marBottom w:val="0"/>
                                                                          <w:divBdr>
                                                                            <w:top w:val="none" w:sz="0" w:space="0" w:color="auto"/>
                                                                            <w:left w:val="none" w:sz="0" w:space="0" w:color="auto"/>
                                                                            <w:bottom w:val="none" w:sz="0" w:space="0" w:color="auto"/>
                                                                            <w:right w:val="none" w:sz="0" w:space="0" w:color="auto"/>
                                                                          </w:divBdr>
                                                                          <w:divsChild>
                                                                            <w:div w:id="1357971526">
                                                                              <w:marLeft w:val="0"/>
                                                                              <w:marRight w:val="0"/>
                                                                              <w:marTop w:val="83"/>
                                                                              <w:marBottom w:val="0"/>
                                                                              <w:divBdr>
                                                                                <w:top w:val="none" w:sz="0" w:space="0" w:color="auto"/>
                                                                                <w:left w:val="none" w:sz="0" w:space="0" w:color="auto"/>
                                                                                <w:bottom w:val="none" w:sz="0" w:space="0" w:color="auto"/>
                                                                                <w:right w:val="none" w:sz="0" w:space="0" w:color="auto"/>
                                                                              </w:divBdr>
                                                                            </w:div>
                                                                          </w:divsChild>
                                                                        </w:div>
                                                                        <w:div w:id="129174552">
                                                                          <w:marLeft w:val="0"/>
                                                                          <w:marRight w:val="0"/>
                                                                          <w:marTop w:val="0"/>
                                                                          <w:marBottom w:val="0"/>
                                                                          <w:divBdr>
                                                                            <w:top w:val="none" w:sz="0" w:space="0" w:color="auto"/>
                                                                            <w:left w:val="none" w:sz="0" w:space="0" w:color="auto"/>
                                                                            <w:bottom w:val="none" w:sz="0" w:space="0" w:color="auto"/>
                                                                            <w:right w:val="none" w:sz="0" w:space="0" w:color="auto"/>
                                                                          </w:divBdr>
                                                                          <w:divsChild>
                                                                            <w:div w:id="1394306152">
                                                                              <w:marLeft w:val="0"/>
                                                                              <w:marRight w:val="0"/>
                                                                              <w:marTop w:val="83"/>
                                                                              <w:marBottom w:val="0"/>
                                                                              <w:divBdr>
                                                                                <w:top w:val="none" w:sz="0" w:space="0" w:color="auto"/>
                                                                                <w:left w:val="none" w:sz="0" w:space="0" w:color="auto"/>
                                                                                <w:bottom w:val="none" w:sz="0" w:space="0" w:color="auto"/>
                                                                                <w:right w:val="none" w:sz="0" w:space="0" w:color="auto"/>
                                                                              </w:divBdr>
                                                                            </w:div>
                                                                          </w:divsChild>
                                                                        </w:div>
                                                                        <w:div w:id="1333099509">
                                                                          <w:marLeft w:val="0"/>
                                                                          <w:marRight w:val="0"/>
                                                                          <w:marTop w:val="0"/>
                                                                          <w:marBottom w:val="0"/>
                                                                          <w:divBdr>
                                                                            <w:top w:val="none" w:sz="0" w:space="0" w:color="auto"/>
                                                                            <w:left w:val="none" w:sz="0" w:space="0" w:color="auto"/>
                                                                            <w:bottom w:val="none" w:sz="0" w:space="0" w:color="auto"/>
                                                                            <w:right w:val="none" w:sz="0" w:space="0" w:color="auto"/>
                                                                          </w:divBdr>
                                                                          <w:divsChild>
                                                                            <w:div w:id="17565791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761063">
      <w:bodyDiv w:val="1"/>
      <w:marLeft w:val="0"/>
      <w:marRight w:val="0"/>
      <w:marTop w:val="0"/>
      <w:marBottom w:val="0"/>
      <w:divBdr>
        <w:top w:val="none" w:sz="0" w:space="0" w:color="auto"/>
        <w:left w:val="none" w:sz="0" w:space="0" w:color="auto"/>
        <w:bottom w:val="none" w:sz="0" w:space="0" w:color="auto"/>
        <w:right w:val="none" w:sz="0" w:space="0" w:color="auto"/>
      </w:divBdr>
    </w:div>
    <w:div w:id="375544292">
      <w:bodyDiv w:val="1"/>
      <w:marLeft w:val="0"/>
      <w:marRight w:val="0"/>
      <w:marTop w:val="0"/>
      <w:marBottom w:val="0"/>
      <w:divBdr>
        <w:top w:val="none" w:sz="0" w:space="0" w:color="auto"/>
        <w:left w:val="none" w:sz="0" w:space="0" w:color="auto"/>
        <w:bottom w:val="none" w:sz="0" w:space="0" w:color="auto"/>
        <w:right w:val="none" w:sz="0" w:space="0" w:color="auto"/>
      </w:divBdr>
    </w:div>
    <w:div w:id="696469063">
      <w:bodyDiv w:val="1"/>
      <w:marLeft w:val="0"/>
      <w:marRight w:val="0"/>
      <w:marTop w:val="0"/>
      <w:marBottom w:val="0"/>
      <w:divBdr>
        <w:top w:val="none" w:sz="0" w:space="0" w:color="auto"/>
        <w:left w:val="none" w:sz="0" w:space="0" w:color="auto"/>
        <w:bottom w:val="none" w:sz="0" w:space="0" w:color="auto"/>
        <w:right w:val="none" w:sz="0" w:space="0" w:color="auto"/>
      </w:divBdr>
    </w:div>
    <w:div w:id="947663946">
      <w:bodyDiv w:val="1"/>
      <w:marLeft w:val="0"/>
      <w:marRight w:val="0"/>
      <w:marTop w:val="0"/>
      <w:marBottom w:val="0"/>
      <w:divBdr>
        <w:top w:val="none" w:sz="0" w:space="0" w:color="auto"/>
        <w:left w:val="none" w:sz="0" w:space="0" w:color="auto"/>
        <w:bottom w:val="none" w:sz="0" w:space="0" w:color="auto"/>
        <w:right w:val="none" w:sz="0" w:space="0" w:color="auto"/>
      </w:divBdr>
    </w:div>
    <w:div w:id="1075322481">
      <w:bodyDiv w:val="1"/>
      <w:marLeft w:val="0"/>
      <w:marRight w:val="0"/>
      <w:marTop w:val="0"/>
      <w:marBottom w:val="0"/>
      <w:divBdr>
        <w:top w:val="none" w:sz="0" w:space="0" w:color="auto"/>
        <w:left w:val="none" w:sz="0" w:space="0" w:color="auto"/>
        <w:bottom w:val="none" w:sz="0" w:space="0" w:color="auto"/>
        <w:right w:val="none" w:sz="0" w:space="0" w:color="auto"/>
      </w:divBdr>
    </w:div>
    <w:div w:id="1087069299">
      <w:bodyDiv w:val="1"/>
      <w:marLeft w:val="0"/>
      <w:marRight w:val="0"/>
      <w:marTop w:val="0"/>
      <w:marBottom w:val="0"/>
      <w:divBdr>
        <w:top w:val="none" w:sz="0" w:space="0" w:color="auto"/>
        <w:left w:val="none" w:sz="0" w:space="0" w:color="auto"/>
        <w:bottom w:val="none" w:sz="0" w:space="0" w:color="auto"/>
        <w:right w:val="none" w:sz="0" w:space="0" w:color="auto"/>
      </w:divBdr>
    </w:div>
    <w:div w:id="1258903771">
      <w:bodyDiv w:val="1"/>
      <w:marLeft w:val="0"/>
      <w:marRight w:val="0"/>
      <w:marTop w:val="0"/>
      <w:marBottom w:val="0"/>
      <w:divBdr>
        <w:top w:val="none" w:sz="0" w:space="0" w:color="auto"/>
        <w:left w:val="none" w:sz="0" w:space="0" w:color="auto"/>
        <w:bottom w:val="none" w:sz="0" w:space="0" w:color="auto"/>
        <w:right w:val="none" w:sz="0" w:space="0" w:color="auto"/>
      </w:divBdr>
    </w:div>
    <w:div w:id="1686514596">
      <w:bodyDiv w:val="1"/>
      <w:marLeft w:val="0"/>
      <w:marRight w:val="0"/>
      <w:marTop w:val="0"/>
      <w:marBottom w:val="0"/>
      <w:divBdr>
        <w:top w:val="none" w:sz="0" w:space="0" w:color="auto"/>
        <w:left w:val="none" w:sz="0" w:space="0" w:color="auto"/>
        <w:bottom w:val="none" w:sz="0" w:space="0" w:color="auto"/>
        <w:right w:val="none" w:sz="0" w:space="0" w:color="auto"/>
      </w:divBdr>
    </w:div>
    <w:div w:id="16890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695218EFDB34ABCEC1D8A5277E74E" ma:contentTypeVersion="4" ma:contentTypeDescription="Create a new document." ma:contentTypeScope="" ma:versionID="f71e97f49422bee66bd8cee92d9c234d">
  <xsd:schema xmlns:xsd="http://www.w3.org/2001/XMLSchema" xmlns:xs="http://www.w3.org/2001/XMLSchema" xmlns:p="http://schemas.microsoft.com/office/2006/metadata/properties" xmlns:ns2="55f734f0-82e3-448f-9814-59383e674136" targetNamespace="http://schemas.microsoft.com/office/2006/metadata/properties" ma:root="true" ma:fieldsID="4618fd2d04b46c7fdf405be2b66021ed" ns2:_="">
    <xsd:import namespace="55f734f0-82e3-448f-9814-59383e674136"/>
    <xsd:element name="properties">
      <xsd:complexType>
        <xsd:sequence>
          <xsd:element name="documentManagement">
            <xsd:complexType>
              <xsd:all>
                <xsd:element ref="ns2:_dlc_DocId" minOccurs="0"/>
                <xsd:element ref="ns2:_dlc_DocIdUrl" minOccurs="0"/>
                <xsd:element ref="ns2:_dlc_DocIdPersistId" minOccurs="0"/>
                <xsd:element ref="ns2:la465409791e42468d5f7b47ae5046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465409791e42468d5f7b47ae50468d" ma:index="12"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a465409791e42468d5f7b47ae50468d>
    <_dlc_DocId xmlns="55f734f0-82e3-448f-9814-59383e674136">ADXRF2XRTYKY-766683950-50</_dlc_DocId>
    <_dlc_DocIdUrl xmlns="55f734f0-82e3-448f-9814-59383e674136">
      <Url>https://dia.cohesion.net.nz/Sites/INQ/IVC/ESA/_layouts/15/DocIdRedir.aspx?ID=ADXRF2XRTYKY-766683950-50</Url>
      <Description>ADXRF2XRTYKY-766683950-50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24F3-1A36-4DC8-A4A1-69BAD6D7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F49CE-7D54-4CB3-B415-2A8E16D47B3C}">
  <ds:schemaRefs>
    <ds:schemaRef ds:uri="http://schemas.microsoft.com/office/2006/documentManagement/types"/>
    <ds:schemaRef ds:uri="55f734f0-82e3-448f-9814-59383e674136"/>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63AFB72-7580-4FE2-8234-90ADFA773E0D}">
  <ds:schemaRefs>
    <ds:schemaRef ds:uri="http://schemas.microsoft.com/sharepoint/v3/contenttype/forms"/>
  </ds:schemaRefs>
</ds:datastoreItem>
</file>

<file path=customXml/itemProps4.xml><?xml version="1.0" encoding="utf-8"?>
<ds:datastoreItem xmlns:ds="http://schemas.openxmlformats.org/officeDocument/2006/customXml" ds:itemID="{3F034A93-CC4B-4210-813C-A905BB5C7374}">
  <ds:schemaRefs>
    <ds:schemaRef ds:uri="http://schemas.microsoft.com/sharepoint/events"/>
  </ds:schemaRefs>
</ds:datastoreItem>
</file>

<file path=customXml/itemProps5.xml><?xml version="1.0" encoding="utf-8"?>
<ds:datastoreItem xmlns:ds="http://schemas.openxmlformats.org/officeDocument/2006/customXml" ds:itemID="{B7BAD679-E714-4CB2-B212-6A16D5D5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4615</Words>
  <Characters>26709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Quarterly report Oct-Dec 2020 FINAL</vt:lpstr>
    </vt:vector>
  </TitlesOfParts>
  <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Oct-Dec 2020 FINAL</dc:title>
  <dc:subject/>
  <dc:creator>Cheryl Chaplin</dc:creator>
  <cp:keywords/>
  <dc:description/>
  <cp:lastModifiedBy>Catherine Murray</cp:lastModifiedBy>
  <cp:revision>2</cp:revision>
  <cp:lastPrinted>2021-02-11T20:49:00Z</cp:lastPrinted>
  <dcterms:created xsi:type="dcterms:W3CDTF">2021-03-18T01:01:00Z</dcterms:created>
  <dcterms:modified xsi:type="dcterms:W3CDTF">2021-03-18T01:01:00Z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0x010100AA1695218EFDB34ABCEC1D8A5277E74E</vt:lpwstr>
  </property>
  <property fmtid="{D5CDD505-2E9C-101B-9397-08002B2CF9AE}" pid="3" name="f6a63413ce3d46c4a0c4711f8ed8587d">
    <vt:lpwstr>Correspondence|dcd6b05f-dc80-4336-b228-09aebf3d212c</vt:lpwstr>
  </property>
  <property fmtid="{D5CDD505-2E9C-101B-9397-08002B2CF9AE}" pid="4" name="_dlc_DocIdItemGuid">
    <vt:lpwstr>f4a74795-ddf3-4edf-a6d0-6c0e41df7927</vt:lpwstr>
  </property>
  <property fmtid="{D5CDD505-2E9C-101B-9397-08002B2CF9AE}" pid="5" name="TaxKeyword">
    <vt:lpwstr/>
  </property>
  <property fmtid="{D5CDD505-2E9C-101B-9397-08002B2CF9AE}" pid="6" name="TaxCatchAll">
    <vt:lpwstr>5;#Correspondence|dcd6b05f-dc80-4336-b228-09aebf3d212c;#12;#IN-CONFIDENCE|cf9276f4-acb3-404d-a80d-53cc76a30125</vt:lpwstr>
  </property>
  <property fmtid="{D5CDD505-2E9C-101B-9397-08002B2CF9AE}" pid="7" name="TaxKeywordTaxHTField">
    <vt:lpwstr/>
  </property>
  <property fmtid="{D5CDD505-2E9C-101B-9397-08002B2CF9AE}" pid="8" name="C3Topic">
    <vt:lpwstr/>
  </property>
  <property fmtid="{D5CDD505-2E9C-101B-9397-08002B2CF9AE}" pid="9" name="C3TopicNote">
    <vt:lpwstr/>
  </property>
  <property fmtid="{D5CDD505-2E9C-101B-9397-08002B2CF9AE}" pid="10" name="DIASecurityClassification">
    <vt:lpwstr>12;#IN-CONFIDENCE|cf9276f4-acb3-404d-a80d-53cc76a30125</vt:lpwstr>
  </property>
  <property fmtid="{D5CDD505-2E9C-101B-9397-08002B2CF9AE}" pid="11" name="DIAEmailContentType">
    <vt:lpwstr>5;#Correspondence|dcd6b05f-dc80-4336-b228-09aebf3d212c</vt:lpwstr>
  </property>
  <property fmtid="{D5CDD505-2E9C-101B-9397-08002B2CF9AE}" pid="12" name="SharedWithUsers">
    <vt:lpwstr>597;#Erica Nicholls</vt:lpwstr>
  </property>
</Properties>
</file>