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9A486" w14:textId="2D0DF98B" w:rsidR="00BE67AB" w:rsidRDefault="008D3027" w:rsidP="00BE67AB">
      <w:pPr>
        <w:jc w:val="right"/>
      </w:pPr>
      <w:r w:rsidRPr="00FA5886">
        <w:rPr>
          <w:rFonts w:ascii="Arial" w:hAnsi="Arial" w:cs="Arial"/>
          <w:noProof/>
        </w:rPr>
        <w:drawing>
          <wp:anchor distT="0" distB="0" distL="114300" distR="114300" simplePos="0" relativeHeight="251659264" behindDoc="0" locked="0" layoutInCell="1" allowOverlap="1" wp14:anchorId="0C2B25E3" wp14:editId="40BE9A6E">
            <wp:simplePos x="0" y="0"/>
            <wp:positionH relativeFrom="column">
              <wp:posOffset>3403600</wp:posOffset>
            </wp:positionH>
            <wp:positionV relativeFrom="paragraph">
              <wp:posOffset>0</wp:posOffset>
            </wp:positionV>
            <wp:extent cx="2604770" cy="559435"/>
            <wp:effectExtent l="0" t="0" r="5080" b="0"/>
            <wp:wrapThrough wrapText="bothSides">
              <wp:wrapPolygon edited="0">
                <wp:start x="0" y="0"/>
                <wp:lineTo x="0" y="20595"/>
                <wp:lineTo x="21484" y="20595"/>
                <wp:lineTo x="21484"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04770" cy="559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09612E" w14:textId="77777777" w:rsidR="00BE67AB" w:rsidRDefault="00BE67AB" w:rsidP="00BE67AB"/>
    <w:p w14:paraId="22E1D38A" w14:textId="6B3740AE" w:rsidR="00BE67AB" w:rsidRPr="008D4934" w:rsidRDefault="008D3027" w:rsidP="00BE67AB">
      <w:pPr>
        <w:rPr>
          <w:b/>
          <w:sz w:val="36"/>
          <w:szCs w:val="36"/>
        </w:rPr>
      </w:pPr>
      <w:r>
        <w:rPr>
          <w:b/>
          <w:sz w:val="36"/>
          <w:szCs w:val="36"/>
        </w:rPr>
        <w:br/>
      </w:r>
      <w:r w:rsidR="00BE67AB" w:rsidRPr="008D4934">
        <w:rPr>
          <w:b/>
          <w:sz w:val="36"/>
          <w:szCs w:val="36"/>
        </w:rPr>
        <w:t>Royal Commission into Historical Abuse in State Care and in the Care of Faith-Based Institutions</w:t>
      </w:r>
    </w:p>
    <w:p w14:paraId="4C7D26F4" w14:textId="77777777" w:rsidR="00BE67AB" w:rsidRPr="008D4934" w:rsidRDefault="00BE67AB" w:rsidP="00BE67AB">
      <w:pPr>
        <w:rPr>
          <w:b/>
          <w:sz w:val="36"/>
          <w:szCs w:val="36"/>
        </w:rPr>
      </w:pPr>
    </w:p>
    <w:p w14:paraId="784C45F7" w14:textId="6A3E6B88" w:rsidR="00BE67AB" w:rsidRPr="008D4934" w:rsidRDefault="00BE67AB" w:rsidP="00BE67AB">
      <w:pPr>
        <w:contextualSpacing/>
        <w:rPr>
          <w:b/>
          <w:sz w:val="36"/>
          <w:szCs w:val="36"/>
        </w:rPr>
      </w:pPr>
      <w:r w:rsidRPr="008D4934">
        <w:rPr>
          <w:b/>
          <w:sz w:val="36"/>
          <w:szCs w:val="36"/>
        </w:rPr>
        <w:t xml:space="preserve">Quarterly Report </w:t>
      </w:r>
      <w:r>
        <w:rPr>
          <w:b/>
          <w:sz w:val="36"/>
          <w:szCs w:val="36"/>
        </w:rPr>
        <w:t xml:space="preserve">(1 </w:t>
      </w:r>
      <w:r w:rsidR="00D14499">
        <w:rPr>
          <w:b/>
          <w:sz w:val="36"/>
          <w:szCs w:val="36"/>
        </w:rPr>
        <w:t xml:space="preserve">January 2021 </w:t>
      </w:r>
      <w:r>
        <w:rPr>
          <w:b/>
          <w:sz w:val="36"/>
          <w:szCs w:val="36"/>
        </w:rPr>
        <w:t>– 3</w:t>
      </w:r>
      <w:r w:rsidR="002B3126">
        <w:rPr>
          <w:b/>
          <w:sz w:val="36"/>
          <w:szCs w:val="36"/>
        </w:rPr>
        <w:t xml:space="preserve">1 </w:t>
      </w:r>
      <w:r w:rsidR="00D14499">
        <w:rPr>
          <w:b/>
          <w:sz w:val="36"/>
          <w:szCs w:val="36"/>
        </w:rPr>
        <w:t>March 2021</w:t>
      </w:r>
      <w:r>
        <w:rPr>
          <w:b/>
          <w:sz w:val="36"/>
          <w:szCs w:val="36"/>
        </w:rPr>
        <w:t>)</w:t>
      </w:r>
    </w:p>
    <w:p w14:paraId="21250114" w14:textId="77777777" w:rsidR="00BE67AB" w:rsidRDefault="00BE67AB" w:rsidP="00BE67AB">
      <w:pPr>
        <w:contextualSpacing/>
        <w:rPr>
          <w:b/>
          <w:sz w:val="36"/>
          <w:szCs w:val="36"/>
        </w:rPr>
      </w:pPr>
    </w:p>
    <w:p w14:paraId="5ED9923D" w14:textId="77777777" w:rsidR="00BE67AB" w:rsidRDefault="00BE67AB" w:rsidP="00BE67AB">
      <w:pPr>
        <w:contextualSpacing/>
        <w:rPr>
          <w:b/>
          <w:sz w:val="36"/>
          <w:szCs w:val="36"/>
        </w:rPr>
      </w:pPr>
    </w:p>
    <w:p w14:paraId="5BCC2A51" w14:textId="77777777" w:rsidR="00BE67AB" w:rsidRDefault="00BE67AB" w:rsidP="00BE67AB">
      <w:pPr>
        <w:contextualSpacing/>
        <w:rPr>
          <w:b/>
          <w:sz w:val="36"/>
          <w:szCs w:val="36"/>
        </w:rPr>
      </w:pPr>
    </w:p>
    <w:p w14:paraId="42803E71" w14:textId="77777777" w:rsidR="00BE67AB" w:rsidRPr="008D4934" w:rsidRDefault="00BE67AB" w:rsidP="00BE67AB">
      <w:pPr>
        <w:contextualSpacing/>
        <w:rPr>
          <w:b/>
        </w:rPr>
      </w:pPr>
    </w:p>
    <w:p w14:paraId="4CE846CC" w14:textId="77777777" w:rsidR="00BE67AB" w:rsidRDefault="00BE67AB">
      <w:pPr>
        <w:keepLines w:val="0"/>
        <w:rPr>
          <w:rFonts w:asciiTheme="minorHAnsi" w:hAnsiTheme="minorHAnsi" w:cstheme="minorHAnsi"/>
          <w:b/>
        </w:rPr>
      </w:pPr>
      <w:r>
        <w:rPr>
          <w:rFonts w:asciiTheme="minorHAnsi" w:hAnsiTheme="minorHAnsi" w:cstheme="minorHAnsi"/>
          <w:b/>
        </w:rPr>
        <w:br w:type="page"/>
      </w:r>
    </w:p>
    <w:p w14:paraId="05F0E079" w14:textId="77777777" w:rsidR="00BE67AB" w:rsidRPr="00BE67AB" w:rsidRDefault="00BE67AB" w:rsidP="00BE67AB">
      <w:pPr>
        <w:pStyle w:val="Heading1"/>
      </w:pPr>
      <w:r w:rsidRPr="00E11D08">
        <w:lastRenderedPageBreak/>
        <w:t>Overall comments</w:t>
      </w:r>
    </w:p>
    <w:p w14:paraId="04E025B4" w14:textId="77777777" w:rsidR="00BE67AB" w:rsidRPr="004652C3" w:rsidRDefault="00BE67AB" w:rsidP="00BE67AB">
      <w:pPr>
        <w:rPr>
          <w:rFonts w:asciiTheme="minorHAnsi" w:hAnsiTheme="minorHAnsi" w:cstheme="minorHAnsi"/>
          <w:b/>
        </w:rPr>
      </w:pPr>
      <w:r w:rsidRPr="004652C3">
        <w:rPr>
          <w:rFonts w:asciiTheme="minorHAnsi" w:hAnsiTheme="minorHAnsi" w:cstheme="minorHAnsi"/>
          <w:b/>
        </w:rPr>
        <w:t>Purpose</w:t>
      </w:r>
    </w:p>
    <w:p w14:paraId="26131028" w14:textId="687E386F" w:rsidR="00BE67AB" w:rsidRPr="00094734" w:rsidRDefault="00BE67AB" w:rsidP="00BE67AB">
      <w:pPr>
        <w:keepLines w:val="0"/>
        <w:spacing w:before="100" w:beforeAutospacing="1" w:after="100" w:afterAutospacing="1"/>
        <w:rPr>
          <w:rFonts w:cs="Calibri"/>
        </w:rPr>
      </w:pPr>
      <w:r>
        <w:rPr>
          <w:rFonts w:cs="Calibri"/>
        </w:rPr>
        <w:t xml:space="preserve">This report updates the high-level activity and performance expectations of </w:t>
      </w:r>
      <w:r w:rsidRPr="00094734">
        <w:rPr>
          <w:rFonts w:cs="Calibri"/>
        </w:rPr>
        <w:t xml:space="preserve">the Royal Commission into Historical Abuse in State Care and in the Care of Faith-based Institutions (the </w:t>
      </w:r>
      <w:r>
        <w:rPr>
          <w:rFonts w:cs="Calibri"/>
        </w:rPr>
        <w:t>Inquiry</w:t>
      </w:r>
      <w:r w:rsidRPr="00094734">
        <w:rPr>
          <w:rFonts w:cs="Calibri"/>
        </w:rPr>
        <w:t xml:space="preserve">) for </w:t>
      </w:r>
      <w:r w:rsidR="00094178">
        <w:rPr>
          <w:rFonts w:cs="Calibri"/>
        </w:rPr>
        <w:t xml:space="preserve">the </w:t>
      </w:r>
      <w:r w:rsidRPr="00E11D08">
        <w:rPr>
          <w:rFonts w:cs="Calibri"/>
        </w:rPr>
        <w:t>2020/</w:t>
      </w:r>
      <w:r w:rsidR="00351BEA">
        <w:rPr>
          <w:rFonts w:cs="Calibri"/>
        </w:rPr>
        <w:t>20</w:t>
      </w:r>
      <w:r w:rsidRPr="00E11D08">
        <w:rPr>
          <w:rFonts w:cs="Calibri"/>
        </w:rPr>
        <w:t>21</w:t>
      </w:r>
      <w:r w:rsidR="00094178">
        <w:rPr>
          <w:rFonts w:cs="Calibri"/>
        </w:rPr>
        <w:t xml:space="preserve"> year for the</w:t>
      </w:r>
      <w:r>
        <w:rPr>
          <w:rFonts w:cs="Calibri"/>
        </w:rPr>
        <w:t xml:space="preserve"> </w:t>
      </w:r>
      <w:r w:rsidR="002B3126">
        <w:rPr>
          <w:rFonts w:cs="Calibri"/>
        </w:rPr>
        <w:t xml:space="preserve">quarter ended 31 </w:t>
      </w:r>
      <w:r w:rsidR="00D14499">
        <w:rPr>
          <w:rFonts w:cs="Calibri"/>
        </w:rPr>
        <w:t>March 2021.</w:t>
      </w:r>
      <w:r>
        <w:rPr>
          <w:rFonts w:cs="Calibri"/>
        </w:rPr>
        <w:t xml:space="preserve"> </w:t>
      </w:r>
    </w:p>
    <w:p w14:paraId="445F96FD" w14:textId="6C29EF18" w:rsidR="00BE67AB" w:rsidRPr="002B3126" w:rsidRDefault="00BE67AB" w:rsidP="002B3126">
      <w:pPr>
        <w:rPr>
          <w:rFonts w:cs="Calibri"/>
        </w:rPr>
      </w:pPr>
      <w:r w:rsidRPr="004652C3">
        <w:rPr>
          <w:rFonts w:cs="Calibri"/>
        </w:rPr>
        <w:t>In completing this report, we have had regard to the requirements set out in the Ministeria</w:t>
      </w:r>
      <w:r>
        <w:rPr>
          <w:rFonts w:cs="Calibri"/>
        </w:rPr>
        <w:t>l Letter of Expectations for 2020/21</w:t>
      </w:r>
      <w:r w:rsidR="00154CAF">
        <w:rPr>
          <w:rFonts w:cs="Calibri"/>
        </w:rPr>
        <w:t>,</w:t>
      </w:r>
      <w:r>
        <w:rPr>
          <w:rFonts w:cs="Calibri"/>
        </w:rPr>
        <w:t xml:space="preserve"> </w:t>
      </w:r>
      <w:r w:rsidRPr="004652C3">
        <w:rPr>
          <w:rFonts w:cs="Calibri"/>
        </w:rPr>
        <w:t xml:space="preserve">dated </w:t>
      </w:r>
      <w:r>
        <w:rPr>
          <w:rFonts w:cs="Calibri"/>
        </w:rPr>
        <w:t xml:space="preserve">26 June </w:t>
      </w:r>
      <w:r w:rsidRPr="004652C3">
        <w:rPr>
          <w:rFonts w:cs="Calibri"/>
        </w:rPr>
        <w:t>2020</w:t>
      </w:r>
      <w:r>
        <w:rPr>
          <w:rFonts w:cs="Calibri"/>
        </w:rPr>
        <w:t>.</w:t>
      </w:r>
    </w:p>
    <w:p w14:paraId="22303430" w14:textId="6FDA1378" w:rsidR="00BE67AB" w:rsidRDefault="00BE67AB" w:rsidP="00BE67AB">
      <w:pPr>
        <w:contextualSpacing/>
        <w:rPr>
          <w:b/>
        </w:rPr>
      </w:pPr>
      <w:r w:rsidRPr="00687EEA">
        <w:rPr>
          <w:b/>
        </w:rPr>
        <w:t>Progressing core delivery</w:t>
      </w:r>
      <w:r w:rsidR="00970AD3">
        <w:rPr>
          <w:b/>
        </w:rPr>
        <w:t xml:space="preserve"> – </w:t>
      </w:r>
      <w:r w:rsidR="00410501">
        <w:rPr>
          <w:b/>
        </w:rPr>
        <w:t>O</w:t>
      </w:r>
      <w:r w:rsidR="00970AD3">
        <w:rPr>
          <w:b/>
        </w:rPr>
        <w:t>perational highlights</w:t>
      </w:r>
      <w:r w:rsidRPr="00687EEA">
        <w:rPr>
          <w:b/>
        </w:rPr>
        <w:t xml:space="preserve"> </w:t>
      </w:r>
      <w:r w:rsidR="0087423E">
        <w:rPr>
          <w:b/>
        </w:rPr>
        <w:br/>
      </w:r>
    </w:p>
    <w:p w14:paraId="2F6ACDCF" w14:textId="42EDF374" w:rsidR="00970AD3" w:rsidRDefault="00970AD3" w:rsidP="0087423E">
      <w:pPr>
        <w:contextualSpacing/>
        <w:rPr>
          <w:u w:val="single"/>
        </w:rPr>
      </w:pPr>
      <w:r>
        <w:rPr>
          <w:u w:val="single"/>
        </w:rPr>
        <w:t>Investigations</w:t>
      </w:r>
    </w:p>
    <w:p w14:paraId="3DA17BDD" w14:textId="77199523" w:rsidR="0075440D" w:rsidRDefault="0075440D" w:rsidP="0087423E">
      <w:pPr>
        <w:contextualSpacing/>
        <w:rPr>
          <w:u w:val="single"/>
        </w:rPr>
      </w:pPr>
    </w:p>
    <w:p w14:paraId="01599EB8" w14:textId="77777777" w:rsidR="005D2AFC" w:rsidRPr="001C5D4C" w:rsidRDefault="0075440D" w:rsidP="005D2AFC">
      <w:pPr>
        <w:contextualSpacing/>
        <w:rPr>
          <w:u w:val="single"/>
        </w:rPr>
      </w:pPr>
      <w:r>
        <w:rPr>
          <w:bCs/>
        </w:rPr>
        <w:t>T</w:t>
      </w:r>
      <w:r w:rsidRPr="00567335">
        <w:rPr>
          <w:bCs/>
        </w:rPr>
        <w:t xml:space="preserve">he investigations </w:t>
      </w:r>
      <w:r>
        <w:rPr>
          <w:bCs/>
        </w:rPr>
        <w:t xml:space="preserve">workstreams </w:t>
      </w:r>
      <w:r w:rsidRPr="00567335">
        <w:rPr>
          <w:bCs/>
        </w:rPr>
        <w:t>are continuing</w:t>
      </w:r>
      <w:r>
        <w:rPr>
          <w:bCs/>
        </w:rPr>
        <w:t xml:space="preserve"> to make progress</w:t>
      </w:r>
      <w:r w:rsidR="00FA4F82">
        <w:rPr>
          <w:bCs/>
        </w:rPr>
        <w:t xml:space="preserve">. </w:t>
      </w:r>
      <w:r>
        <w:rPr>
          <w:bCs/>
        </w:rPr>
        <w:t>Mitigations are in place to limit delivery risks</w:t>
      </w:r>
      <w:r w:rsidRPr="001C5D4C">
        <w:rPr>
          <w:bCs/>
        </w:rPr>
        <w:t xml:space="preserve">.  </w:t>
      </w:r>
      <w:r w:rsidR="005D2AFC" w:rsidRPr="001C5D4C">
        <w:rPr>
          <w:bCs/>
        </w:rPr>
        <w:t>Refer to pages eight and nine for further commentary.</w:t>
      </w:r>
    </w:p>
    <w:p w14:paraId="0ACDB153" w14:textId="6C27A269" w:rsidR="00970AD3" w:rsidRDefault="00970AD3" w:rsidP="0087423E">
      <w:pPr>
        <w:contextualSpacing/>
        <w:rPr>
          <w:u w:val="single"/>
        </w:rPr>
      </w:pPr>
      <w:bookmarkStart w:id="0" w:name="_GoBack"/>
      <w:bookmarkEnd w:id="0"/>
    </w:p>
    <w:p w14:paraId="268703EB" w14:textId="533747E3" w:rsidR="0087423E" w:rsidRPr="002B3126" w:rsidRDefault="0087423E" w:rsidP="0087423E">
      <w:pPr>
        <w:contextualSpacing/>
        <w:rPr>
          <w:highlight w:val="yellow"/>
          <w:u w:val="single"/>
        </w:rPr>
      </w:pPr>
      <w:r w:rsidRPr="007B3AC7">
        <w:rPr>
          <w:u w:val="single"/>
        </w:rPr>
        <w:t>Survivor Accounts</w:t>
      </w:r>
      <w:r w:rsidRPr="002B3126">
        <w:rPr>
          <w:highlight w:val="yellow"/>
          <w:u w:val="single"/>
        </w:rPr>
        <w:br/>
      </w:r>
    </w:p>
    <w:p w14:paraId="24AE14A8" w14:textId="66B095A2" w:rsidR="0087423E" w:rsidRDefault="0087423E" w:rsidP="0087423E">
      <w:pPr>
        <w:spacing w:after="120"/>
        <w:contextualSpacing/>
      </w:pPr>
      <w:r>
        <w:t>S</w:t>
      </w:r>
      <w:r w:rsidRPr="007B3AC7">
        <w:t xml:space="preserve">urvivor contact (phone calls and emails) </w:t>
      </w:r>
      <w:r>
        <w:t>had a quiet start to</w:t>
      </w:r>
      <w:r w:rsidRPr="007B3AC7">
        <w:t xml:space="preserve"> this quarter</w:t>
      </w:r>
      <w:r>
        <w:t xml:space="preserve"> with the impact of the holiday period in January</w:t>
      </w:r>
      <w:r w:rsidRPr="007B3AC7">
        <w:t xml:space="preserve">. </w:t>
      </w:r>
      <w:r>
        <w:t xml:space="preserve"> As in the previous quarter, an increase was evident during p</w:t>
      </w:r>
      <w:r w:rsidRPr="006D68B8">
        <w:t>hase two of the Faith-based Redress hearing</w:t>
      </w:r>
      <w:r>
        <w:t>s</w:t>
      </w:r>
      <w:r w:rsidRPr="006D68B8">
        <w:t xml:space="preserve"> held </w:t>
      </w:r>
      <w:r>
        <w:t>in March.</w:t>
      </w:r>
      <w:r>
        <w:br/>
      </w:r>
    </w:p>
    <w:p w14:paraId="455B330B" w14:textId="62C110E8" w:rsidR="0087423E" w:rsidRPr="0005322B" w:rsidRDefault="0087423E" w:rsidP="0087423E">
      <w:pPr>
        <w:spacing w:after="120"/>
        <w:contextualSpacing/>
      </w:pPr>
      <w:r w:rsidRPr="0005322B">
        <w:t xml:space="preserve">Contact </w:t>
      </w:r>
      <w:r w:rsidR="00B27F2D">
        <w:t xml:space="preserve">and Support </w:t>
      </w:r>
      <w:r w:rsidRPr="0005322B">
        <w:t xml:space="preserve">Centre volumes increased </w:t>
      </w:r>
      <w:r>
        <w:t xml:space="preserve">two-fold </w:t>
      </w:r>
      <w:r w:rsidRPr="0005322B">
        <w:t xml:space="preserve">during the </w:t>
      </w:r>
      <w:r>
        <w:t>F</w:t>
      </w:r>
      <w:r w:rsidRPr="0005322B">
        <w:t xml:space="preserve">aith-based </w:t>
      </w:r>
      <w:r>
        <w:t>R</w:t>
      </w:r>
      <w:r w:rsidRPr="0005322B">
        <w:t xml:space="preserve">edress hearing with a corresponding increase in registrations. </w:t>
      </w:r>
      <w:r>
        <w:t xml:space="preserve"> </w:t>
      </w:r>
      <w:bookmarkStart w:id="1" w:name="_Hlk70431168"/>
      <w:r w:rsidRPr="0005322B">
        <w:t xml:space="preserve">A total of </w:t>
      </w:r>
      <w:r>
        <w:t>32</w:t>
      </w:r>
      <w:r w:rsidRPr="0005322B">
        <w:t xml:space="preserve"> registrations were received over the course of this two-week hearing </w:t>
      </w:r>
      <w:r>
        <w:t xml:space="preserve">in 2021 </w:t>
      </w:r>
      <w:r w:rsidRPr="0005322B">
        <w:t xml:space="preserve">(see table below). </w:t>
      </w:r>
      <w:r>
        <w:t xml:space="preserve"> </w:t>
      </w:r>
      <w:bookmarkStart w:id="2" w:name="_Hlk70431269"/>
      <w:bookmarkEnd w:id="1"/>
      <w:r>
        <w:t>However, this increase was only half that of the increase seen for phase one of the Redress hearings where survivors were actively participating as witnesses.</w:t>
      </w:r>
      <w:bookmarkEnd w:id="2"/>
    </w:p>
    <w:p w14:paraId="56C207CF" w14:textId="77777777" w:rsidR="0087423E" w:rsidRPr="0005322B" w:rsidRDefault="0087423E" w:rsidP="0087423E">
      <w:pPr>
        <w:spacing w:after="120"/>
        <w:contextualSpacing/>
      </w:pPr>
    </w:p>
    <w:p w14:paraId="6CB26FBB" w14:textId="77777777" w:rsidR="0087423E" w:rsidRPr="002B3126" w:rsidRDefault="0087423E" w:rsidP="0087423E">
      <w:pPr>
        <w:contextualSpacing/>
        <w:rPr>
          <w:b/>
          <w:highlight w:val="yellow"/>
        </w:rPr>
      </w:pPr>
      <w:r w:rsidRPr="0005322B">
        <w:rPr>
          <w:b/>
        </w:rPr>
        <w:t xml:space="preserve">Table: Contacts to and from the Contact </w:t>
      </w:r>
      <w:r>
        <w:rPr>
          <w:b/>
        </w:rPr>
        <w:t xml:space="preserve">and Support </w:t>
      </w:r>
      <w:r w:rsidRPr="0005322B">
        <w:rPr>
          <w:b/>
        </w:rPr>
        <w:t>Centre during the Faith-based Redress Hearing</w:t>
      </w:r>
      <w:r>
        <w:rPr>
          <w:b/>
        </w:rPr>
        <w:t>s (December 2020 – Survivors, March 2021 – Institutions)</w:t>
      </w:r>
      <w:r w:rsidRPr="002B3126">
        <w:rPr>
          <w:b/>
          <w:highlight w:val="yellow"/>
        </w:rPr>
        <w:br/>
      </w:r>
    </w:p>
    <w:tbl>
      <w:tblPr>
        <w:tblStyle w:val="DIATable"/>
        <w:tblW w:w="5000" w:type="pct"/>
        <w:tblInd w:w="-15" w:type="dxa"/>
        <w:tblLook w:val="04A0" w:firstRow="1" w:lastRow="0" w:firstColumn="1" w:lastColumn="0" w:noHBand="0" w:noVBand="1"/>
      </w:tblPr>
      <w:tblGrid>
        <w:gridCol w:w="2585"/>
        <w:gridCol w:w="1615"/>
        <w:gridCol w:w="1615"/>
        <w:gridCol w:w="1615"/>
        <w:gridCol w:w="1613"/>
      </w:tblGrid>
      <w:tr w:rsidR="0087423E" w:rsidRPr="002B3126" w14:paraId="4291117B" w14:textId="77777777" w:rsidTr="0039113D">
        <w:trPr>
          <w:cnfStyle w:val="100000000000" w:firstRow="1" w:lastRow="0" w:firstColumn="0" w:lastColumn="0" w:oddVBand="0" w:evenVBand="0" w:oddHBand="0" w:evenHBand="0" w:firstRowFirstColumn="0" w:firstRowLastColumn="0" w:lastRowFirstColumn="0" w:lastRowLastColumn="0"/>
        </w:trPr>
        <w:tc>
          <w:tcPr>
            <w:tcW w:w="1429" w:type="pct"/>
            <w:shd w:val="clear" w:color="auto" w:fill="173E50" w:themeFill="text2" w:themeFillShade="BF"/>
          </w:tcPr>
          <w:p w14:paraId="1475497B" w14:textId="77777777" w:rsidR="0087423E" w:rsidRPr="002B3126" w:rsidRDefault="0087423E" w:rsidP="009B56F3">
            <w:pPr>
              <w:ind w:left="-113"/>
              <w:contextualSpacing/>
              <w:rPr>
                <w:highlight w:val="yellow"/>
              </w:rPr>
            </w:pPr>
          </w:p>
        </w:tc>
        <w:tc>
          <w:tcPr>
            <w:tcW w:w="893" w:type="pct"/>
            <w:shd w:val="clear" w:color="auto" w:fill="173E50" w:themeFill="text2" w:themeFillShade="BF"/>
            <w:vAlign w:val="center"/>
          </w:tcPr>
          <w:p w14:paraId="7290A090" w14:textId="77777777" w:rsidR="0087423E" w:rsidRPr="0005322B" w:rsidRDefault="0087423E" w:rsidP="009B56F3">
            <w:pPr>
              <w:contextualSpacing/>
              <w:jc w:val="center"/>
            </w:pPr>
            <w:r>
              <w:rPr>
                <w:bCs/>
                <w:szCs w:val="22"/>
                <w:lang w:eastAsia="en-NZ"/>
              </w:rPr>
              <w:t>1st Week Public Hearing</w:t>
            </w:r>
            <w:r w:rsidRPr="0005322B">
              <w:rPr>
                <w:bCs/>
                <w:szCs w:val="22"/>
                <w:lang w:eastAsia="en-NZ"/>
              </w:rPr>
              <w:t xml:space="preserve"> </w:t>
            </w:r>
            <w:r>
              <w:rPr>
                <w:bCs/>
                <w:szCs w:val="22"/>
                <w:lang w:eastAsia="en-NZ"/>
              </w:rPr>
              <w:br/>
              <w:t>(W</w:t>
            </w:r>
            <w:r w:rsidRPr="0005322B">
              <w:rPr>
                <w:bCs/>
                <w:szCs w:val="22"/>
                <w:lang w:eastAsia="en-NZ"/>
              </w:rPr>
              <w:t>eek 30 Nov</w:t>
            </w:r>
            <w:r>
              <w:rPr>
                <w:bCs/>
                <w:szCs w:val="22"/>
                <w:lang w:eastAsia="en-NZ"/>
              </w:rPr>
              <w:t xml:space="preserve"> 2020</w:t>
            </w:r>
            <w:r w:rsidRPr="0005322B">
              <w:rPr>
                <w:bCs/>
                <w:szCs w:val="22"/>
                <w:lang w:eastAsia="en-NZ"/>
              </w:rPr>
              <w:t>)</w:t>
            </w:r>
          </w:p>
        </w:tc>
        <w:tc>
          <w:tcPr>
            <w:tcW w:w="893" w:type="pct"/>
            <w:shd w:val="clear" w:color="auto" w:fill="173E50" w:themeFill="text2" w:themeFillShade="BF"/>
            <w:vAlign w:val="center"/>
          </w:tcPr>
          <w:p w14:paraId="316CACF3" w14:textId="77777777" w:rsidR="0087423E" w:rsidRPr="0005322B" w:rsidRDefault="0087423E" w:rsidP="009B56F3">
            <w:pPr>
              <w:contextualSpacing/>
              <w:jc w:val="center"/>
              <w:rPr>
                <w:bCs/>
                <w:szCs w:val="22"/>
                <w:lang w:eastAsia="en-NZ"/>
              </w:rPr>
            </w:pPr>
            <w:r>
              <w:rPr>
                <w:bCs/>
                <w:szCs w:val="22"/>
                <w:lang w:eastAsia="en-NZ"/>
              </w:rPr>
              <w:t>2nd Week Public Hearing</w:t>
            </w:r>
            <w:r w:rsidRPr="0005322B">
              <w:rPr>
                <w:bCs/>
                <w:szCs w:val="22"/>
                <w:lang w:eastAsia="en-NZ"/>
              </w:rPr>
              <w:t xml:space="preserve"> </w:t>
            </w:r>
            <w:r w:rsidRPr="0005322B">
              <w:rPr>
                <w:bCs/>
                <w:szCs w:val="22"/>
                <w:lang w:eastAsia="en-NZ"/>
              </w:rPr>
              <w:br/>
            </w:r>
            <w:r>
              <w:rPr>
                <w:bCs/>
                <w:szCs w:val="22"/>
                <w:lang w:eastAsia="en-NZ"/>
              </w:rPr>
              <w:t>(W</w:t>
            </w:r>
            <w:r w:rsidRPr="0005322B">
              <w:rPr>
                <w:bCs/>
                <w:szCs w:val="22"/>
                <w:lang w:eastAsia="en-NZ"/>
              </w:rPr>
              <w:t>eek 7 Dec</w:t>
            </w:r>
            <w:r>
              <w:rPr>
                <w:bCs/>
                <w:szCs w:val="22"/>
                <w:lang w:eastAsia="en-NZ"/>
              </w:rPr>
              <w:t xml:space="preserve"> 2020</w:t>
            </w:r>
            <w:r w:rsidRPr="0005322B">
              <w:rPr>
                <w:bCs/>
                <w:szCs w:val="22"/>
                <w:lang w:eastAsia="en-NZ"/>
              </w:rPr>
              <w:t>)</w:t>
            </w:r>
          </w:p>
        </w:tc>
        <w:tc>
          <w:tcPr>
            <w:tcW w:w="893" w:type="pct"/>
            <w:shd w:val="clear" w:color="auto" w:fill="173E50" w:themeFill="text2" w:themeFillShade="BF"/>
          </w:tcPr>
          <w:p w14:paraId="3133AAD7" w14:textId="77777777" w:rsidR="0087423E" w:rsidRPr="0005322B" w:rsidRDefault="0087423E" w:rsidP="009B56F3">
            <w:pPr>
              <w:contextualSpacing/>
              <w:jc w:val="center"/>
              <w:rPr>
                <w:bCs/>
                <w:szCs w:val="22"/>
                <w:lang w:eastAsia="en-NZ"/>
              </w:rPr>
            </w:pPr>
            <w:r>
              <w:rPr>
                <w:bCs/>
                <w:szCs w:val="22"/>
                <w:lang w:eastAsia="en-NZ"/>
              </w:rPr>
              <w:t>1st Week Public Hearing</w:t>
            </w:r>
            <w:r w:rsidRPr="0005322B">
              <w:rPr>
                <w:bCs/>
                <w:szCs w:val="22"/>
                <w:lang w:eastAsia="en-NZ"/>
              </w:rPr>
              <w:t xml:space="preserve"> </w:t>
            </w:r>
            <w:r>
              <w:rPr>
                <w:bCs/>
                <w:szCs w:val="22"/>
                <w:lang w:eastAsia="en-NZ"/>
              </w:rPr>
              <w:br/>
              <w:t>(W</w:t>
            </w:r>
            <w:r w:rsidRPr="0005322B">
              <w:rPr>
                <w:bCs/>
                <w:szCs w:val="22"/>
                <w:lang w:eastAsia="en-NZ"/>
              </w:rPr>
              <w:t xml:space="preserve">eek </w:t>
            </w:r>
            <w:r>
              <w:rPr>
                <w:bCs/>
                <w:szCs w:val="22"/>
                <w:lang w:eastAsia="en-NZ"/>
              </w:rPr>
              <w:t>15 Mar 2021</w:t>
            </w:r>
            <w:r w:rsidRPr="0005322B">
              <w:rPr>
                <w:bCs/>
                <w:szCs w:val="22"/>
                <w:lang w:eastAsia="en-NZ"/>
              </w:rPr>
              <w:t>)</w:t>
            </w:r>
          </w:p>
        </w:tc>
        <w:tc>
          <w:tcPr>
            <w:tcW w:w="892" w:type="pct"/>
            <w:shd w:val="clear" w:color="auto" w:fill="173E50" w:themeFill="text2" w:themeFillShade="BF"/>
          </w:tcPr>
          <w:p w14:paraId="262DB54D" w14:textId="77777777" w:rsidR="0087423E" w:rsidRPr="0005322B" w:rsidRDefault="0087423E" w:rsidP="009B56F3">
            <w:pPr>
              <w:contextualSpacing/>
              <w:jc w:val="center"/>
              <w:rPr>
                <w:bCs/>
                <w:szCs w:val="22"/>
                <w:lang w:eastAsia="en-NZ"/>
              </w:rPr>
            </w:pPr>
            <w:r>
              <w:rPr>
                <w:bCs/>
                <w:szCs w:val="22"/>
                <w:lang w:eastAsia="en-NZ"/>
              </w:rPr>
              <w:t>2nd Week Public Hearing</w:t>
            </w:r>
            <w:r w:rsidRPr="0005322B">
              <w:rPr>
                <w:bCs/>
                <w:szCs w:val="22"/>
                <w:lang w:eastAsia="en-NZ"/>
              </w:rPr>
              <w:t xml:space="preserve"> </w:t>
            </w:r>
            <w:r>
              <w:rPr>
                <w:bCs/>
                <w:szCs w:val="22"/>
                <w:lang w:eastAsia="en-NZ"/>
              </w:rPr>
              <w:br/>
              <w:t>(W</w:t>
            </w:r>
            <w:r w:rsidRPr="0005322B">
              <w:rPr>
                <w:bCs/>
                <w:szCs w:val="22"/>
                <w:lang w:eastAsia="en-NZ"/>
              </w:rPr>
              <w:t xml:space="preserve">eek </w:t>
            </w:r>
            <w:r>
              <w:rPr>
                <w:bCs/>
                <w:szCs w:val="22"/>
                <w:lang w:eastAsia="en-NZ"/>
              </w:rPr>
              <w:t>22 Mar 2021</w:t>
            </w:r>
            <w:r w:rsidRPr="0005322B">
              <w:rPr>
                <w:bCs/>
                <w:szCs w:val="22"/>
                <w:lang w:eastAsia="en-NZ"/>
              </w:rPr>
              <w:t>)</w:t>
            </w:r>
          </w:p>
        </w:tc>
      </w:tr>
      <w:tr w:rsidR="0087423E" w:rsidRPr="00A746D4" w14:paraId="6F0EF8B5" w14:textId="77777777" w:rsidTr="0039113D">
        <w:tc>
          <w:tcPr>
            <w:tcW w:w="1429" w:type="pct"/>
          </w:tcPr>
          <w:p w14:paraId="5258729A" w14:textId="77777777" w:rsidR="0087423E" w:rsidRPr="00A746D4" w:rsidRDefault="0087423E" w:rsidP="009B56F3">
            <w:pPr>
              <w:contextualSpacing/>
            </w:pPr>
            <w:r w:rsidRPr="00A746D4">
              <w:t xml:space="preserve">Registrations Full </w:t>
            </w:r>
          </w:p>
        </w:tc>
        <w:tc>
          <w:tcPr>
            <w:tcW w:w="893" w:type="pct"/>
            <w:vAlign w:val="center"/>
          </w:tcPr>
          <w:p w14:paraId="26314C66" w14:textId="77777777" w:rsidR="0087423E" w:rsidRPr="00A746D4" w:rsidRDefault="0087423E" w:rsidP="009B56F3">
            <w:pPr>
              <w:contextualSpacing/>
              <w:jc w:val="center"/>
            </w:pPr>
            <w:r w:rsidRPr="00A746D4">
              <w:rPr>
                <w:color w:val="000000"/>
                <w:szCs w:val="22"/>
                <w:lang w:eastAsia="en-NZ"/>
              </w:rPr>
              <w:t>32</w:t>
            </w:r>
          </w:p>
        </w:tc>
        <w:tc>
          <w:tcPr>
            <w:tcW w:w="893" w:type="pct"/>
            <w:vAlign w:val="center"/>
          </w:tcPr>
          <w:p w14:paraId="4C4C9F59" w14:textId="77777777" w:rsidR="0087423E" w:rsidRPr="00A746D4" w:rsidRDefault="0087423E" w:rsidP="009B56F3">
            <w:pPr>
              <w:contextualSpacing/>
              <w:jc w:val="center"/>
              <w:rPr>
                <w:color w:val="000000"/>
                <w:szCs w:val="22"/>
                <w:lang w:eastAsia="en-NZ"/>
              </w:rPr>
            </w:pPr>
            <w:r w:rsidRPr="00A746D4">
              <w:rPr>
                <w:color w:val="000000"/>
                <w:szCs w:val="22"/>
                <w:lang w:eastAsia="en-NZ"/>
              </w:rPr>
              <w:t>32</w:t>
            </w:r>
          </w:p>
        </w:tc>
        <w:tc>
          <w:tcPr>
            <w:tcW w:w="893" w:type="pct"/>
          </w:tcPr>
          <w:p w14:paraId="3289FF50" w14:textId="77777777" w:rsidR="0087423E" w:rsidRPr="00A746D4" w:rsidRDefault="0087423E" w:rsidP="009B56F3">
            <w:pPr>
              <w:contextualSpacing/>
              <w:jc w:val="center"/>
              <w:rPr>
                <w:color w:val="000000"/>
                <w:szCs w:val="22"/>
                <w:lang w:eastAsia="en-NZ"/>
              </w:rPr>
            </w:pPr>
            <w:r>
              <w:rPr>
                <w:color w:val="000000"/>
                <w:szCs w:val="22"/>
                <w:lang w:eastAsia="en-NZ"/>
              </w:rPr>
              <w:t>17</w:t>
            </w:r>
          </w:p>
        </w:tc>
        <w:tc>
          <w:tcPr>
            <w:tcW w:w="892" w:type="pct"/>
          </w:tcPr>
          <w:p w14:paraId="73145BB4" w14:textId="77777777" w:rsidR="0087423E" w:rsidRPr="00A746D4" w:rsidRDefault="0087423E" w:rsidP="009B56F3">
            <w:pPr>
              <w:contextualSpacing/>
              <w:jc w:val="center"/>
              <w:rPr>
                <w:color w:val="000000"/>
                <w:szCs w:val="22"/>
                <w:lang w:eastAsia="en-NZ"/>
              </w:rPr>
            </w:pPr>
            <w:r>
              <w:rPr>
                <w:color w:val="000000"/>
                <w:szCs w:val="22"/>
                <w:lang w:eastAsia="en-NZ"/>
              </w:rPr>
              <w:t>15</w:t>
            </w:r>
          </w:p>
        </w:tc>
      </w:tr>
      <w:tr w:rsidR="0087423E" w:rsidRPr="00A746D4" w14:paraId="3416589F" w14:textId="77777777" w:rsidTr="0039113D">
        <w:tc>
          <w:tcPr>
            <w:tcW w:w="1429" w:type="pct"/>
          </w:tcPr>
          <w:p w14:paraId="2C681C62" w14:textId="77777777" w:rsidR="0087423E" w:rsidRPr="00A746D4" w:rsidRDefault="0087423E" w:rsidP="009B56F3">
            <w:pPr>
              <w:contextualSpacing/>
            </w:pPr>
            <w:r w:rsidRPr="00A746D4">
              <w:t>Phone Calls Out</w:t>
            </w:r>
          </w:p>
        </w:tc>
        <w:tc>
          <w:tcPr>
            <w:tcW w:w="893" w:type="pct"/>
            <w:vAlign w:val="center"/>
          </w:tcPr>
          <w:p w14:paraId="3115B358" w14:textId="77777777" w:rsidR="0087423E" w:rsidRPr="00A746D4" w:rsidRDefault="0087423E" w:rsidP="009B56F3">
            <w:pPr>
              <w:contextualSpacing/>
              <w:jc w:val="center"/>
            </w:pPr>
            <w:r w:rsidRPr="00A746D4">
              <w:rPr>
                <w:color w:val="000000"/>
                <w:szCs w:val="22"/>
                <w:lang w:eastAsia="en-NZ"/>
              </w:rPr>
              <w:t>73</w:t>
            </w:r>
          </w:p>
        </w:tc>
        <w:tc>
          <w:tcPr>
            <w:tcW w:w="893" w:type="pct"/>
            <w:vAlign w:val="center"/>
          </w:tcPr>
          <w:p w14:paraId="288E0558" w14:textId="77777777" w:rsidR="0087423E" w:rsidRPr="00A746D4" w:rsidRDefault="0087423E" w:rsidP="009B56F3">
            <w:pPr>
              <w:contextualSpacing/>
              <w:jc w:val="center"/>
              <w:rPr>
                <w:color w:val="000000"/>
                <w:szCs w:val="22"/>
                <w:lang w:eastAsia="en-NZ"/>
              </w:rPr>
            </w:pPr>
            <w:r w:rsidRPr="00A746D4">
              <w:rPr>
                <w:color w:val="000000"/>
                <w:szCs w:val="22"/>
                <w:lang w:eastAsia="en-NZ"/>
              </w:rPr>
              <w:t>76</w:t>
            </w:r>
          </w:p>
        </w:tc>
        <w:tc>
          <w:tcPr>
            <w:tcW w:w="893" w:type="pct"/>
            <w:vAlign w:val="center"/>
          </w:tcPr>
          <w:p w14:paraId="6B6FDAA8" w14:textId="77777777" w:rsidR="0087423E" w:rsidRPr="00A746D4" w:rsidRDefault="0087423E" w:rsidP="009B56F3">
            <w:pPr>
              <w:contextualSpacing/>
              <w:jc w:val="center"/>
              <w:rPr>
                <w:color w:val="000000"/>
                <w:szCs w:val="22"/>
                <w:lang w:eastAsia="en-NZ"/>
              </w:rPr>
            </w:pPr>
            <w:r>
              <w:rPr>
                <w:rFonts w:cs="Calibri"/>
                <w:color w:val="000000"/>
                <w:szCs w:val="22"/>
              </w:rPr>
              <w:t>94</w:t>
            </w:r>
          </w:p>
        </w:tc>
        <w:tc>
          <w:tcPr>
            <w:tcW w:w="892" w:type="pct"/>
            <w:vAlign w:val="center"/>
          </w:tcPr>
          <w:p w14:paraId="3D244921" w14:textId="77777777" w:rsidR="0087423E" w:rsidRPr="00A746D4" w:rsidRDefault="0087423E" w:rsidP="009B56F3">
            <w:pPr>
              <w:contextualSpacing/>
              <w:jc w:val="center"/>
              <w:rPr>
                <w:color w:val="000000"/>
                <w:szCs w:val="22"/>
                <w:lang w:eastAsia="en-NZ"/>
              </w:rPr>
            </w:pPr>
            <w:r>
              <w:rPr>
                <w:rFonts w:cs="Calibri"/>
                <w:color w:val="000000"/>
                <w:szCs w:val="22"/>
              </w:rPr>
              <w:t>140</w:t>
            </w:r>
          </w:p>
        </w:tc>
      </w:tr>
      <w:tr w:rsidR="0087423E" w:rsidRPr="00A746D4" w14:paraId="523F3D03" w14:textId="77777777" w:rsidTr="0039113D">
        <w:tc>
          <w:tcPr>
            <w:tcW w:w="1429" w:type="pct"/>
          </w:tcPr>
          <w:p w14:paraId="5852993D" w14:textId="77777777" w:rsidR="0087423E" w:rsidRPr="00A746D4" w:rsidRDefault="0087423E" w:rsidP="009B56F3">
            <w:pPr>
              <w:contextualSpacing/>
            </w:pPr>
            <w:r w:rsidRPr="00A746D4">
              <w:t xml:space="preserve">Phone Calls In </w:t>
            </w:r>
          </w:p>
        </w:tc>
        <w:tc>
          <w:tcPr>
            <w:tcW w:w="893" w:type="pct"/>
            <w:vAlign w:val="center"/>
          </w:tcPr>
          <w:p w14:paraId="73CD8BF4" w14:textId="77777777" w:rsidR="0087423E" w:rsidRPr="00A746D4" w:rsidRDefault="0087423E" w:rsidP="009B56F3">
            <w:pPr>
              <w:contextualSpacing/>
              <w:jc w:val="center"/>
            </w:pPr>
            <w:r w:rsidRPr="00A746D4">
              <w:rPr>
                <w:color w:val="000000"/>
                <w:szCs w:val="22"/>
                <w:lang w:eastAsia="en-NZ"/>
              </w:rPr>
              <w:t>157</w:t>
            </w:r>
          </w:p>
        </w:tc>
        <w:tc>
          <w:tcPr>
            <w:tcW w:w="893" w:type="pct"/>
            <w:vAlign w:val="center"/>
          </w:tcPr>
          <w:p w14:paraId="2F7F04D4" w14:textId="77777777" w:rsidR="0087423E" w:rsidRPr="00A746D4" w:rsidRDefault="0087423E" w:rsidP="009B56F3">
            <w:pPr>
              <w:contextualSpacing/>
              <w:jc w:val="center"/>
              <w:rPr>
                <w:color w:val="000000"/>
                <w:szCs w:val="22"/>
                <w:lang w:eastAsia="en-NZ"/>
              </w:rPr>
            </w:pPr>
            <w:r w:rsidRPr="00A746D4">
              <w:rPr>
                <w:color w:val="000000"/>
                <w:szCs w:val="22"/>
                <w:lang w:eastAsia="en-NZ"/>
              </w:rPr>
              <w:t>121</w:t>
            </w:r>
          </w:p>
        </w:tc>
        <w:tc>
          <w:tcPr>
            <w:tcW w:w="893" w:type="pct"/>
            <w:vAlign w:val="center"/>
          </w:tcPr>
          <w:p w14:paraId="36E91627" w14:textId="77777777" w:rsidR="0087423E" w:rsidRPr="00A746D4" w:rsidRDefault="0087423E" w:rsidP="009B56F3">
            <w:pPr>
              <w:contextualSpacing/>
              <w:jc w:val="center"/>
              <w:rPr>
                <w:color w:val="000000"/>
                <w:szCs w:val="22"/>
                <w:lang w:eastAsia="en-NZ"/>
              </w:rPr>
            </w:pPr>
            <w:r>
              <w:rPr>
                <w:rFonts w:cs="Calibri"/>
                <w:color w:val="000000"/>
                <w:szCs w:val="22"/>
              </w:rPr>
              <w:t>128</w:t>
            </w:r>
          </w:p>
        </w:tc>
        <w:tc>
          <w:tcPr>
            <w:tcW w:w="892" w:type="pct"/>
            <w:vAlign w:val="center"/>
          </w:tcPr>
          <w:p w14:paraId="2703A78B" w14:textId="77777777" w:rsidR="0087423E" w:rsidRPr="00A746D4" w:rsidRDefault="0087423E" w:rsidP="009B56F3">
            <w:pPr>
              <w:contextualSpacing/>
              <w:jc w:val="center"/>
              <w:rPr>
                <w:color w:val="000000"/>
                <w:szCs w:val="22"/>
                <w:lang w:eastAsia="en-NZ"/>
              </w:rPr>
            </w:pPr>
            <w:r>
              <w:rPr>
                <w:rFonts w:cs="Calibri"/>
                <w:color w:val="000000"/>
                <w:szCs w:val="22"/>
              </w:rPr>
              <w:t>131</w:t>
            </w:r>
          </w:p>
        </w:tc>
      </w:tr>
      <w:tr w:rsidR="0087423E" w:rsidRPr="00A746D4" w14:paraId="61A2E742" w14:textId="77777777" w:rsidTr="0039113D">
        <w:tc>
          <w:tcPr>
            <w:tcW w:w="1429" w:type="pct"/>
          </w:tcPr>
          <w:p w14:paraId="5F147ACC" w14:textId="77777777" w:rsidR="0087423E" w:rsidRPr="00A746D4" w:rsidRDefault="0087423E" w:rsidP="009B56F3">
            <w:pPr>
              <w:contextualSpacing/>
            </w:pPr>
            <w:r w:rsidRPr="00A746D4">
              <w:t>Emails Out</w:t>
            </w:r>
          </w:p>
        </w:tc>
        <w:tc>
          <w:tcPr>
            <w:tcW w:w="893" w:type="pct"/>
            <w:vAlign w:val="center"/>
          </w:tcPr>
          <w:p w14:paraId="2FB7D4BA" w14:textId="77777777" w:rsidR="0087423E" w:rsidRPr="00A746D4" w:rsidRDefault="0087423E" w:rsidP="009B56F3">
            <w:pPr>
              <w:contextualSpacing/>
              <w:jc w:val="center"/>
            </w:pPr>
            <w:r w:rsidRPr="00A746D4">
              <w:rPr>
                <w:color w:val="000000"/>
                <w:szCs w:val="22"/>
                <w:lang w:eastAsia="en-NZ"/>
              </w:rPr>
              <w:t>378</w:t>
            </w:r>
          </w:p>
        </w:tc>
        <w:tc>
          <w:tcPr>
            <w:tcW w:w="893" w:type="pct"/>
            <w:vAlign w:val="center"/>
          </w:tcPr>
          <w:p w14:paraId="3A68BDA3" w14:textId="77777777" w:rsidR="0087423E" w:rsidRPr="00A746D4" w:rsidRDefault="0087423E" w:rsidP="009B56F3">
            <w:pPr>
              <w:contextualSpacing/>
              <w:jc w:val="center"/>
              <w:rPr>
                <w:color w:val="000000"/>
                <w:szCs w:val="22"/>
                <w:lang w:eastAsia="en-NZ"/>
              </w:rPr>
            </w:pPr>
            <w:r w:rsidRPr="00A746D4">
              <w:rPr>
                <w:color w:val="000000"/>
                <w:szCs w:val="22"/>
                <w:lang w:eastAsia="en-NZ"/>
              </w:rPr>
              <w:t>313</w:t>
            </w:r>
          </w:p>
        </w:tc>
        <w:tc>
          <w:tcPr>
            <w:tcW w:w="893" w:type="pct"/>
            <w:vAlign w:val="center"/>
          </w:tcPr>
          <w:p w14:paraId="5F3FD66D" w14:textId="77777777" w:rsidR="0087423E" w:rsidRPr="00A746D4" w:rsidRDefault="0087423E" w:rsidP="009B56F3">
            <w:pPr>
              <w:contextualSpacing/>
              <w:jc w:val="center"/>
              <w:rPr>
                <w:color w:val="000000"/>
                <w:szCs w:val="22"/>
                <w:lang w:eastAsia="en-NZ"/>
              </w:rPr>
            </w:pPr>
            <w:r>
              <w:rPr>
                <w:rFonts w:cs="Calibri"/>
                <w:color w:val="000000"/>
                <w:szCs w:val="22"/>
              </w:rPr>
              <w:t>315</w:t>
            </w:r>
          </w:p>
        </w:tc>
        <w:tc>
          <w:tcPr>
            <w:tcW w:w="892" w:type="pct"/>
            <w:vAlign w:val="center"/>
          </w:tcPr>
          <w:p w14:paraId="2F1206FD" w14:textId="77777777" w:rsidR="0087423E" w:rsidRPr="00A746D4" w:rsidRDefault="0087423E" w:rsidP="009B56F3">
            <w:pPr>
              <w:contextualSpacing/>
              <w:jc w:val="center"/>
              <w:rPr>
                <w:color w:val="000000"/>
                <w:szCs w:val="22"/>
                <w:lang w:eastAsia="en-NZ"/>
              </w:rPr>
            </w:pPr>
            <w:r>
              <w:rPr>
                <w:rFonts w:cs="Calibri"/>
                <w:color w:val="000000"/>
                <w:szCs w:val="22"/>
              </w:rPr>
              <w:t>386</w:t>
            </w:r>
          </w:p>
        </w:tc>
      </w:tr>
      <w:tr w:rsidR="0087423E" w:rsidRPr="00A746D4" w14:paraId="62926E3E" w14:textId="77777777" w:rsidTr="0039113D">
        <w:tc>
          <w:tcPr>
            <w:tcW w:w="1429" w:type="pct"/>
          </w:tcPr>
          <w:p w14:paraId="418EB687" w14:textId="77777777" w:rsidR="0087423E" w:rsidRPr="00A746D4" w:rsidRDefault="0087423E" w:rsidP="009B56F3">
            <w:pPr>
              <w:contextualSpacing/>
            </w:pPr>
            <w:r w:rsidRPr="00A746D4">
              <w:t xml:space="preserve">Emails In </w:t>
            </w:r>
          </w:p>
        </w:tc>
        <w:tc>
          <w:tcPr>
            <w:tcW w:w="893" w:type="pct"/>
            <w:vAlign w:val="center"/>
          </w:tcPr>
          <w:p w14:paraId="1AFD33EF" w14:textId="77777777" w:rsidR="0087423E" w:rsidRPr="00A746D4" w:rsidRDefault="0087423E" w:rsidP="009B56F3">
            <w:pPr>
              <w:contextualSpacing/>
              <w:jc w:val="center"/>
            </w:pPr>
            <w:r w:rsidRPr="00A746D4">
              <w:rPr>
                <w:color w:val="000000"/>
                <w:szCs w:val="22"/>
                <w:lang w:eastAsia="en-NZ"/>
              </w:rPr>
              <w:t>583</w:t>
            </w:r>
          </w:p>
        </w:tc>
        <w:tc>
          <w:tcPr>
            <w:tcW w:w="893" w:type="pct"/>
            <w:vAlign w:val="center"/>
          </w:tcPr>
          <w:p w14:paraId="7EBE17F6" w14:textId="77777777" w:rsidR="0087423E" w:rsidRPr="00A746D4" w:rsidRDefault="0087423E" w:rsidP="009B56F3">
            <w:pPr>
              <w:contextualSpacing/>
              <w:jc w:val="center"/>
              <w:rPr>
                <w:color w:val="000000"/>
                <w:szCs w:val="22"/>
                <w:lang w:eastAsia="en-NZ"/>
              </w:rPr>
            </w:pPr>
            <w:r w:rsidRPr="00A746D4">
              <w:rPr>
                <w:color w:val="000000"/>
                <w:szCs w:val="22"/>
                <w:lang w:eastAsia="en-NZ"/>
              </w:rPr>
              <w:t>558</w:t>
            </w:r>
          </w:p>
        </w:tc>
        <w:tc>
          <w:tcPr>
            <w:tcW w:w="893" w:type="pct"/>
            <w:vAlign w:val="center"/>
          </w:tcPr>
          <w:p w14:paraId="5DAA24C9" w14:textId="77777777" w:rsidR="0087423E" w:rsidRPr="00A746D4" w:rsidRDefault="0087423E" w:rsidP="009B56F3">
            <w:pPr>
              <w:contextualSpacing/>
              <w:jc w:val="center"/>
              <w:rPr>
                <w:color w:val="000000"/>
                <w:szCs w:val="22"/>
                <w:lang w:eastAsia="en-NZ"/>
              </w:rPr>
            </w:pPr>
            <w:r>
              <w:rPr>
                <w:rFonts w:cs="Calibri"/>
                <w:color w:val="000000"/>
                <w:szCs w:val="22"/>
              </w:rPr>
              <w:t>623</w:t>
            </w:r>
          </w:p>
        </w:tc>
        <w:tc>
          <w:tcPr>
            <w:tcW w:w="892" w:type="pct"/>
            <w:vAlign w:val="center"/>
          </w:tcPr>
          <w:p w14:paraId="63522CED" w14:textId="77777777" w:rsidR="0087423E" w:rsidRPr="00A746D4" w:rsidRDefault="0087423E" w:rsidP="009B56F3">
            <w:pPr>
              <w:contextualSpacing/>
              <w:jc w:val="center"/>
              <w:rPr>
                <w:color w:val="000000"/>
                <w:szCs w:val="22"/>
                <w:lang w:eastAsia="en-NZ"/>
              </w:rPr>
            </w:pPr>
            <w:r>
              <w:rPr>
                <w:rFonts w:cs="Calibri"/>
                <w:color w:val="000000"/>
                <w:szCs w:val="22"/>
              </w:rPr>
              <w:t>506</w:t>
            </w:r>
          </w:p>
        </w:tc>
      </w:tr>
      <w:tr w:rsidR="0087423E" w:rsidRPr="00A746D4" w14:paraId="79DDFA47" w14:textId="77777777" w:rsidTr="0039113D">
        <w:tc>
          <w:tcPr>
            <w:tcW w:w="1429" w:type="pct"/>
          </w:tcPr>
          <w:p w14:paraId="269C1AD0" w14:textId="77777777" w:rsidR="0087423E" w:rsidRPr="00A746D4" w:rsidRDefault="0087423E" w:rsidP="009B56F3">
            <w:pPr>
              <w:contextualSpacing/>
            </w:pPr>
            <w:r w:rsidRPr="00A746D4">
              <w:t xml:space="preserve">Private Session Bookings </w:t>
            </w:r>
          </w:p>
        </w:tc>
        <w:tc>
          <w:tcPr>
            <w:tcW w:w="893" w:type="pct"/>
            <w:vAlign w:val="center"/>
          </w:tcPr>
          <w:p w14:paraId="4DBD72AE" w14:textId="77777777" w:rsidR="0087423E" w:rsidRPr="00A746D4" w:rsidRDefault="0087423E" w:rsidP="009B56F3">
            <w:pPr>
              <w:contextualSpacing/>
              <w:jc w:val="center"/>
            </w:pPr>
            <w:r w:rsidRPr="00A746D4">
              <w:rPr>
                <w:color w:val="000000"/>
                <w:szCs w:val="22"/>
                <w:lang w:eastAsia="en-NZ"/>
              </w:rPr>
              <w:t>0</w:t>
            </w:r>
          </w:p>
        </w:tc>
        <w:tc>
          <w:tcPr>
            <w:tcW w:w="893" w:type="pct"/>
            <w:vAlign w:val="center"/>
          </w:tcPr>
          <w:p w14:paraId="77E5643C" w14:textId="77777777" w:rsidR="0087423E" w:rsidRPr="00A746D4" w:rsidRDefault="0087423E" w:rsidP="009B56F3">
            <w:pPr>
              <w:contextualSpacing/>
              <w:jc w:val="center"/>
              <w:rPr>
                <w:color w:val="000000"/>
                <w:szCs w:val="22"/>
                <w:lang w:eastAsia="en-NZ"/>
              </w:rPr>
            </w:pPr>
            <w:r w:rsidRPr="00A746D4">
              <w:rPr>
                <w:color w:val="000000"/>
                <w:szCs w:val="22"/>
                <w:lang w:eastAsia="en-NZ"/>
              </w:rPr>
              <w:t>1</w:t>
            </w:r>
          </w:p>
        </w:tc>
        <w:tc>
          <w:tcPr>
            <w:tcW w:w="893" w:type="pct"/>
            <w:vAlign w:val="center"/>
          </w:tcPr>
          <w:p w14:paraId="364348A2" w14:textId="77777777" w:rsidR="0087423E" w:rsidRPr="00A746D4" w:rsidRDefault="0087423E" w:rsidP="009B56F3">
            <w:pPr>
              <w:contextualSpacing/>
              <w:jc w:val="center"/>
              <w:rPr>
                <w:color w:val="000000"/>
                <w:szCs w:val="22"/>
                <w:lang w:eastAsia="en-NZ"/>
              </w:rPr>
            </w:pPr>
            <w:r>
              <w:rPr>
                <w:rFonts w:cs="Calibri"/>
                <w:color w:val="000000"/>
                <w:szCs w:val="22"/>
              </w:rPr>
              <w:t>2</w:t>
            </w:r>
          </w:p>
        </w:tc>
        <w:tc>
          <w:tcPr>
            <w:tcW w:w="892" w:type="pct"/>
            <w:vAlign w:val="center"/>
          </w:tcPr>
          <w:p w14:paraId="4E464BFD" w14:textId="77777777" w:rsidR="0087423E" w:rsidRPr="00A746D4" w:rsidRDefault="0087423E" w:rsidP="009B56F3">
            <w:pPr>
              <w:contextualSpacing/>
              <w:jc w:val="center"/>
              <w:rPr>
                <w:color w:val="000000"/>
                <w:szCs w:val="22"/>
                <w:lang w:eastAsia="en-NZ"/>
              </w:rPr>
            </w:pPr>
            <w:r>
              <w:rPr>
                <w:rFonts w:cs="Calibri"/>
                <w:color w:val="000000"/>
                <w:szCs w:val="22"/>
              </w:rPr>
              <w:t>9</w:t>
            </w:r>
          </w:p>
        </w:tc>
      </w:tr>
      <w:tr w:rsidR="0087423E" w:rsidRPr="00A746D4" w14:paraId="14F832C9" w14:textId="77777777" w:rsidTr="0039113D">
        <w:tc>
          <w:tcPr>
            <w:tcW w:w="1429" w:type="pct"/>
          </w:tcPr>
          <w:p w14:paraId="53D78009" w14:textId="77777777" w:rsidR="0087423E" w:rsidRPr="00A746D4" w:rsidRDefault="0087423E" w:rsidP="009B56F3">
            <w:pPr>
              <w:contextualSpacing/>
            </w:pPr>
            <w:r w:rsidRPr="00A746D4">
              <w:t xml:space="preserve">Letters In </w:t>
            </w:r>
          </w:p>
        </w:tc>
        <w:tc>
          <w:tcPr>
            <w:tcW w:w="893" w:type="pct"/>
            <w:vAlign w:val="center"/>
          </w:tcPr>
          <w:p w14:paraId="0D57B80F" w14:textId="77777777" w:rsidR="0087423E" w:rsidRPr="00A746D4" w:rsidRDefault="0087423E" w:rsidP="009B56F3">
            <w:pPr>
              <w:contextualSpacing/>
              <w:jc w:val="center"/>
            </w:pPr>
            <w:r w:rsidRPr="00A746D4">
              <w:rPr>
                <w:color w:val="000000"/>
                <w:lang w:eastAsia="en-NZ"/>
              </w:rPr>
              <w:t>6</w:t>
            </w:r>
          </w:p>
        </w:tc>
        <w:tc>
          <w:tcPr>
            <w:tcW w:w="893" w:type="pct"/>
            <w:vAlign w:val="center"/>
          </w:tcPr>
          <w:p w14:paraId="793CC24E" w14:textId="77777777" w:rsidR="0087423E" w:rsidRPr="00A746D4" w:rsidRDefault="0087423E" w:rsidP="009B56F3">
            <w:pPr>
              <w:contextualSpacing/>
              <w:jc w:val="center"/>
              <w:rPr>
                <w:color w:val="000000"/>
                <w:lang w:eastAsia="en-NZ"/>
              </w:rPr>
            </w:pPr>
            <w:r w:rsidRPr="00A746D4">
              <w:rPr>
                <w:color w:val="000000"/>
                <w:lang w:eastAsia="en-NZ"/>
              </w:rPr>
              <w:t>0</w:t>
            </w:r>
          </w:p>
        </w:tc>
        <w:tc>
          <w:tcPr>
            <w:tcW w:w="893" w:type="pct"/>
            <w:vAlign w:val="center"/>
          </w:tcPr>
          <w:p w14:paraId="2AF726A5" w14:textId="77777777" w:rsidR="0087423E" w:rsidRPr="00A746D4" w:rsidRDefault="0087423E" w:rsidP="009B56F3">
            <w:pPr>
              <w:contextualSpacing/>
              <w:jc w:val="center"/>
              <w:rPr>
                <w:color w:val="000000"/>
                <w:lang w:eastAsia="en-NZ"/>
              </w:rPr>
            </w:pPr>
            <w:r>
              <w:rPr>
                <w:rFonts w:cs="Calibri"/>
                <w:color w:val="000000"/>
                <w:szCs w:val="22"/>
              </w:rPr>
              <w:t>14</w:t>
            </w:r>
          </w:p>
        </w:tc>
        <w:tc>
          <w:tcPr>
            <w:tcW w:w="892" w:type="pct"/>
            <w:vAlign w:val="center"/>
          </w:tcPr>
          <w:p w14:paraId="6692489A" w14:textId="77777777" w:rsidR="0087423E" w:rsidRPr="00A746D4" w:rsidRDefault="0087423E" w:rsidP="009B56F3">
            <w:pPr>
              <w:contextualSpacing/>
              <w:jc w:val="center"/>
              <w:rPr>
                <w:color w:val="000000"/>
                <w:lang w:eastAsia="en-NZ"/>
              </w:rPr>
            </w:pPr>
            <w:r>
              <w:rPr>
                <w:rFonts w:cs="Calibri"/>
                <w:color w:val="000000"/>
                <w:szCs w:val="22"/>
              </w:rPr>
              <w:t>14</w:t>
            </w:r>
          </w:p>
        </w:tc>
      </w:tr>
      <w:tr w:rsidR="0087423E" w:rsidRPr="00A746D4" w14:paraId="5791B464" w14:textId="77777777" w:rsidTr="0039113D">
        <w:tc>
          <w:tcPr>
            <w:tcW w:w="1429" w:type="pct"/>
          </w:tcPr>
          <w:p w14:paraId="10C0FFA5" w14:textId="77777777" w:rsidR="0087423E" w:rsidRPr="00A746D4" w:rsidRDefault="0087423E" w:rsidP="009B56F3">
            <w:pPr>
              <w:contextualSpacing/>
            </w:pPr>
            <w:r w:rsidRPr="00A746D4">
              <w:t>Letters Out</w:t>
            </w:r>
          </w:p>
        </w:tc>
        <w:tc>
          <w:tcPr>
            <w:tcW w:w="893" w:type="pct"/>
            <w:vAlign w:val="center"/>
          </w:tcPr>
          <w:p w14:paraId="571C2060" w14:textId="77777777" w:rsidR="0087423E" w:rsidRPr="00A746D4" w:rsidRDefault="0087423E" w:rsidP="009B56F3">
            <w:pPr>
              <w:contextualSpacing/>
              <w:jc w:val="center"/>
            </w:pPr>
            <w:r w:rsidRPr="00A746D4">
              <w:rPr>
                <w:color w:val="000000"/>
                <w:lang w:eastAsia="en-NZ"/>
              </w:rPr>
              <w:t>8</w:t>
            </w:r>
          </w:p>
        </w:tc>
        <w:tc>
          <w:tcPr>
            <w:tcW w:w="893" w:type="pct"/>
            <w:vAlign w:val="center"/>
          </w:tcPr>
          <w:p w14:paraId="6D12EEFE" w14:textId="77777777" w:rsidR="0087423E" w:rsidRPr="00A746D4" w:rsidRDefault="0087423E" w:rsidP="009B56F3">
            <w:pPr>
              <w:contextualSpacing/>
              <w:jc w:val="center"/>
              <w:rPr>
                <w:color w:val="000000"/>
                <w:lang w:eastAsia="en-NZ"/>
              </w:rPr>
            </w:pPr>
            <w:r w:rsidRPr="00A746D4">
              <w:rPr>
                <w:color w:val="000000"/>
                <w:lang w:eastAsia="en-NZ"/>
              </w:rPr>
              <w:t>1</w:t>
            </w:r>
          </w:p>
        </w:tc>
        <w:tc>
          <w:tcPr>
            <w:tcW w:w="893" w:type="pct"/>
            <w:vAlign w:val="center"/>
          </w:tcPr>
          <w:p w14:paraId="0A678A9A" w14:textId="77777777" w:rsidR="0087423E" w:rsidRPr="00A746D4" w:rsidRDefault="0087423E" w:rsidP="009B56F3">
            <w:pPr>
              <w:contextualSpacing/>
              <w:jc w:val="center"/>
              <w:rPr>
                <w:color w:val="000000"/>
                <w:lang w:eastAsia="en-NZ"/>
              </w:rPr>
            </w:pPr>
            <w:r>
              <w:rPr>
                <w:rFonts w:cs="Calibri"/>
                <w:color w:val="000000"/>
                <w:szCs w:val="22"/>
              </w:rPr>
              <w:t>9</w:t>
            </w:r>
          </w:p>
        </w:tc>
        <w:tc>
          <w:tcPr>
            <w:tcW w:w="892" w:type="pct"/>
            <w:vAlign w:val="center"/>
          </w:tcPr>
          <w:p w14:paraId="413CE108" w14:textId="77777777" w:rsidR="0087423E" w:rsidRPr="00A746D4" w:rsidRDefault="0087423E" w:rsidP="009B56F3">
            <w:pPr>
              <w:contextualSpacing/>
              <w:jc w:val="center"/>
              <w:rPr>
                <w:color w:val="000000"/>
                <w:lang w:eastAsia="en-NZ"/>
              </w:rPr>
            </w:pPr>
            <w:r>
              <w:rPr>
                <w:rFonts w:cs="Calibri"/>
                <w:color w:val="000000"/>
                <w:szCs w:val="22"/>
              </w:rPr>
              <w:t>8</w:t>
            </w:r>
          </w:p>
        </w:tc>
      </w:tr>
      <w:tr w:rsidR="0087423E" w:rsidRPr="00A746D4" w14:paraId="2B1C16E2" w14:textId="77777777" w:rsidTr="0039113D">
        <w:tc>
          <w:tcPr>
            <w:tcW w:w="1429" w:type="pct"/>
          </w:tcPr>
          <w:p w14:paraId="0BC23AEC" w14:textId="77777777" w:rsidR="0087423E" w:rsidRPr="00A746D4" w:rsidRDefault="0087423E" w:rsidP="009B56F3">
            <w:pPr>
              <w:contextualSpacing/>
            </w:pPr>
            <w:r w:rsidRPr="00A746D4">
              <w:t xml:space="preserve">Text Sent </w:t>
            </w:r>
          </w:p>
        </w:tc>
        <w:tc>
          <w:tcPr>
            <w:tcW w:w="893" w:type="pct"/>
            <w:vAlign w:val="center"/>
          </w:tcPr>
          <w:p w14:paraId="355B1400" w14:textId="77777777" w:rsidR="0087423E" w:rsidRPr="00A746D4" w:rsidRDefault="0087423E" w:rsidP="009B56F3">
            <w:pPr>
              <w:contextualSpacing/>
              <w:jc w:val="center"/>
            </w:pPr>
            <w:r w:rsidRPr="00A746D4">
              <w:rPr>
                <w:color w:val="000000"/>
                <w:lang w:eastAsia="en-NZ"/>
              </w:rPr>
              <w:t>7</w:t>
            </w:r>
          </w:p>
        </w:tc>
        <w:tc>
          <w:tcPr>
            <w:tcW w:w="893" w:type="pct"/>
            <w:vAlign w:val="center"/>
          </w:tcPr>
          <w:p w14:paraId="021B1A8C" w14:textId="77777777" w:rsidR="0087423E" w:rsidRPr="00A746D4" w:rsidRDefault="0087423E" w:rsidP="009B56F3">
            <w:pPr>
              <w:contextualSpacing/>
              <w:jc w:val="center"/>
              <w:rPr>
                <w:color w:val="000000"/>
                <w:lang w:eastAsia="en-NZ"/>
              </w:rPr>
            </w:pPr>
            <w:r w:rsidRPr="00A746D4">
              <w:rPr>
                <w:color w:val="000000"/>
                <w:lang w:eastAsia="en-NZ"/>
              </w:rPr>
              <w:t>4</w:t>
            </w:r>
          </w:p>
        </w:tc>
        <w:tc>
          <w:tcPr>
            <w:tcW w:w="893" w:type="pct"/>
            <w:vAlign w:val="center"/>
          </w:tcPr>
          <w:p w14:paraId="64D61877" w14:textId="77777777" w:rsidR="0087423E" w:rsidRPr="00A746D4" w:rsidRDefault="0087423E" w:rsidP="009B56F3">
            <w:pPr>
              <w:contextualSpacing/>
              <w:jc w:val="center"/>
              <w:rPr>
                <w:color w:val="000000"/>
                <w:lang w:eastAsia="en-NZ"/>
              </w:rPr>
            </w:pPr>
            <w:r>
              <w:rPr>
                <w:rFonts w:cs="Calibri"/>
                <w:color w:val="000000"/>
                <w:szCs w:val="22"/>
              </w:rPr>
              <w:t>7</w:t>
            </w:r>
          </w:p>
        </w:tc>
        <w:tc>
          <w:tcPr>
            <w:tcW w:w="892" w:type="pct"/>
            <w:vAlign w:val="center"/>
          </w:tcPr>
          <w:p w14:paraId="04758280" w14:textId="77777777" w:rsidR="0087423E" w:rsidRPr="00A746D4" w:rsidRDefault="0087423E" w:rsidP="009B56F3">
            <w:pPr>
              <w:contextualSpacing/>
              <w:jc w:val="center"/>
              <w:rPr>
                <w:color w:val="000000"/>
                <w:lang w:eastAsia="en-NZ"/>
              </w:rPr>
            </w:pPr>
            <w:r>
              <w:rPr>
                <w:rFonts w:cs="Calibri"/>
                <w:color w:val="000000"/>
                <w:szCs w:val="22"/>
              </w:rPr>
              <w:t>7</w:t>
            </w:r>
          </w:p>
        </w:tc>
      </w:tr>
    </w:tbl>
    <w:p w14:paraId="6FA6A049" w14:textId="77777777" w:rsidR="0087423E" w:rsidRPr="00942CFA" w:rsidRDefault="0087423E" w:rsidP="0087423E">
      <w:pPr>
        <w:keepLines w:val="0"/>
        <w:spacing w:before="0" w:after="0"/>
        <w:ind w:left="924" w:hanging="357"/>
        <w:rPr>
          <w:rFonts w:eastAsia="Times New Roman"/>
          <w:sz w:val="18"/>
          <w:szCs w:val="18"/>
        </w:rPr>
      </w:pPr>
      <w:r w:rsidRPr="00942CFA">
        <w:rPr>
          <w:sz w:val="18"/>
          <w:szCs w:val="18"/>
        </w:rPr>
        <w:br/>
      </w:r>
    </w:p>
    <w:p w14:paraId="665FF599" w14:textId="2523A84D" w:rsidR="0087423E" w:rsidRDefault="0087423E" w:rsidP="0087423E">
      <w:pPr>
        <w:spacing w:after="120"/>
        <w:contextualSpacing/>
      </w:pPr>
      <w:r>
        <w:t xml:space="preserve">A total of 106 face-to-face </w:t>
      </w:r>
      <w:r w:rsidRPr="00E51032">
        <w:t xml:space="preserve">Private Sessions </w:t>
      </w:r>
      <w:r>
        <w:t xml:space="preserve">with survivors were conducted over this quarter. </w:t>
      </w:r>
    </w:p>
    <w:p w14:paraId="0A5DC9C6" w14:textId="77777777" w:rsidR="0087423E" w:rsidRPr="00F30665" w:rsidRDefault="0087423E" w:rsidP="0087423E">
      <w:pPr>
        <w:spacing w:after="120"/>
        <w:contextualSpacing/>
      </w:pPr>
    </w:p>
    <w:p w14:paraId="4B126694" w14:textId="221B4F0B" w:rsidR="0087423E" w:rsidRDefault="00B27F2D" w:rsidP="0087423E">
      <w:pPr>
        <w:spacing w:after="120"/>
        <w:contextualSpacing/>
      </w:pPr>
      <w:r>
        <w:lastRenderedPageBreak/>
        <w:t>During t</w:t>
      </w:r>
      <w:r w:rsidR="0087423E">
        <w:t xml:space="preserve">his quarter </w:t>
      </w:r>
      <w:r w:rsidR="009B56F3">
        <w:t>the Inquiry</w:t>
      </w:r>
      <w:r w:rsidR="0087423E">
        <w:t xml:space="preserve"> wrote to 105 Australian based survivors offer</w:t>
      </w:r>
      <w:r w:rsidR="009B56F3">
        <w:t>ing</w:t>
      </w:r>
      <w:r w:rsidR="0087423E">
        <w:t xml:space="preserve"> attend</w:t>
      </w:r>
      <w:r w:rsidR="009B56F3">
        <w:t>ance</w:t>
      </w:r>
      <w:r w:rsidR="0087423E">
        <w:t xml:space="preserve"> a</w:t>
      </w:r>
      <w:r w:rsidR="009B56F3">
        <w:t>t a</w:t>
      </w:r>
      <w:r w:rsidR="0087423E">
        <w:t xml:space="preserve"> private session or </w:t>
      </w:r>
      <w:r w:rsidR="009B56F3">
        <w:t xml:space="preserve">to </w:t>
      </w:r>
      <w:r w:rsidR="0087423E">
        <w:t xml:space="preserve">provide a witness statement via zoom.  To date we have heard back from 13 of these survivors who have indicated they wish to participate </w:t>
      </w:r>
      <w:r w:rsidR="009B56F3">
        <w:t xml:space="preserve">in the Inquiry. </w:t>
      </w:r>
    </w:p>
    <w:p w14:paraId="57F837E9" w14:textId="77777777" w:rsidR="009B56F3" w:rsidRPr="00410501" w:rsidRDefault="0087423E" w:rsidP="0087423E">
      <w:pPr>
        <w:spacing w:after="120"/>
        <w:contextualSpacing/>
        <w:rPr>
          <w:u w:val="single"/>
        </w:rPr>
      </w:pPr>
      <w:r>
        <w:br/>
      </w:r>
      <w:r w:rsidR="009B56F3" w:rsidRPr="00410501">
        <w:rPr>
          <w:u w:val="single"/>
        </w:rPr>
        <w:t>Wellbeing</w:t>
      </w:r>
    </w:p>
    <w:p w14:paraId="6FADB718" w14:textId="77777777" w:rsidR="009B56F3" w:rsidRDefault="009B56F3" w:rsidP="0087423E">
      <w:pPr>
        <w:spacing w:after="120"/>
        <w:contextualSpacing/>
      </w:pPr>
    </w:p>
    <w:p w14:paraId="1BF617B5" w14:textId="0D7D2A02" w:rsidR="0087423E" w:rsidRPr="00CF346B" w:rsidRDefault="0087423E" w:rsidP="0087423E">
      <w:pPr>
        <w:spacing w:after="120"/>
        <w:contextualSpacing/>
      </w:pPr>
      <w:r w:rsidRPr="00CF346B">
        <w:t>Wellbeing support is integral to all engagements for survivors within the Inquiry</w:t>
      </w:r>
      <w:r w:rsidR="009B56F3">
        <w:t>.</w:t>
      </w:r>
      <w:r w:rsidRPr="00CF346B">
        <w:t xml:space="preserve"> </w:t>
      </w:r>
      <w:r w:rsidR="009B56F3">
        <w:t>T</w:t>
      </w:r>
      <w:r w:rsidRPr="00CF346B">
        <w:t>his includes pri</w:t>
      </w:r>
      <w:r w:rsidR="00B27F2D">
        <w:t>vate sessions (face to face and/</w:t>
      </w:r>
      <w:r w:rsidRPr="00CF346B">
        <w:t xml:space="preserve">or technology enabled), written submissions, public hearings, witness statements or other activities that may cause potential harm.  </w:t>
      </w:r>
    </w:p>
    <w:p w14:paraId="2D578783" w14:textId="45B27AE8" w:rsidR="0087423E" w:rsidRDefault="0087423E" w:rsidP="0087423E">
      <w:pPr>
        <w:spacing w:after="120"/>
      </w:pPr>
      <w:r w:rsidRPr="00CF346B">
        <w:t>It is important that a range of wellbeing services are available</w:t>
      </w:r>
      <w:r>
        <w:t xml:space="preserve"> to meet survivor needs</w:t>
      </w:r>
      <w:r w:rsidRPr="00CF346B">
        <w:t>.</w:t>
      </w:r>
    </w:p>
    <w:p w14:paraId="11F6854F" w14:textId="26BAA73A" w:rsidR="0087423E" w:rsidRDefault="009B56F3" w:rsidP="0087423E">
      <w:pPr>
        <w:spacing w:after="120"/>
      </w:pPr>
      <w:r>
        <w:t>T</w:t>
      </w:r>
      <w:r w:rsidR="0087423E">
        <w:t xml:space="preserve">his quarter we now have access to the services of an Australian based wellbeing provider. </w:t>
      </w:r>
      <w:r>
        <w:t>The provider</w:t>
      </w:r>
      <w:r w:rsidR="0087423E">
        <w:t xml:space="preserve"> will </w:t>
      </w:r>
      <w:r w:rsidR="00B27F2D">
        <w:t xml:space="preserve">offer </w:t>
      </w:r>
      <w:r w:rsidR="0087423E">
        <w:t xml:space="preserve">wellbeing support to survivors based in Australia who want to register and engage </w:t>
      </w:r>
      <w:r>
        <w:t>with the Inquiry.</w:t>
      </w:r>
    </w:p>
    <w:p w14:paraId="6DB918AC" w14:textId="6F1D64F9" w:rsidR="009B56F3" w:rsidRDefault="009B56F3" w:rsidP="0087423E">
      <w:pPr>
        <w:spacing w:after="120"/>
      </w:pPr>
      <w:r>
        <w:t>We are also engaging with</w:t>
      </w:r>
      <w:r w:rsidR="0087423E">
        <w:t xml:space="preserve"> provide</w:t>
      </w:r>
      <w:r>
        <w:t>rs</w:t>
      </w:r>
      <w:r w:rsidR="0087423E">
        <w:t xml:space="preserve"> to suppor</w:t>
      </w:r>
      <w:r>
        <w:t>t:</w:t>
      </w:r>
    </w:p>
    <w:p w14:paraId="6DB15EB3" w14:textId="69E6759F" w:rsidR="009B56F3" w:rsidRDefault="0087423E" w:rsidP="003F2939">
      <w:pPr>
        <w:pStyle w:val="ListParagraph"/>
        <w:numPr>
          <w:ilvl w:val="0"/>
          <w:numId w:val="30"/>
        </w:numPr>
        <w:spacing w:after="120"/>
      </w:pPr>
      <w:r>
        <w:t xml:space="preserve">survivors with Learning Disabilities, Neurodiversity or Cognitive Impairment (LDNDCI).  This contract will be supported by the inclusion of a Disability Support Co-ordination role within the internal </w:t>
      </w:r>
      <w:r w:rsidR="009B56F3">
        <w:t>W</w:t>
      </w:r>
      <w:r>
        <w:t>ellbeing team</w:t>
      </w:r>
      <w:r w:rsidR="009B56F3">
        <w:t>;</w:t>
      </w:r>
    </w:p>
    <w:p w14:paraId="6D951AE1" w14:textId="536239B5" w:rsidR="0087423E" w:rsidRDefault="009B56F3" w:rsidP="003F2939">
      <w:pPr>
        <w:pStyle w:val="ListParagraph"/>
        <w:numPr>
          <w:ilvl w:val="0"/>
          <w:numId w:val="30"/>
        </w:numPr>
        <w:spacing w:after="120"/>
      </w:pPr>
      <w:r>
        <w:t>survivors with p</w:t>
      </w:r>
      <w:r w:rsidR="0087423E">
        <w:t xml:space="preserve">sychosocial </w:t>
      </w:r>
      <w:r>
        <w:t>and other c</w:t>
      </w:r>
      <w:r w:rsidR="0087423E">
        <w:t xml:space="preserve">ounselling </w:t>
      </w:r>
      <w:r>
        <w:t xml:space="preserve">needs. </w:t>
      </w:r>
      <w:r w:rsidR="0087423E">
        <w:t>A recommendation for providers has been approved and contract negotiation will commence by the end of April.</w:t>
      </w:r>
    </w:p>
    <w:p w14:paraId="0C3518B6" w14:textId="77777777" w:rsidR="0087423E" w:rsidRDefault="0087423E" w:rsidP="0087423E">
      <w:pPr>
        <w:contextualSpacing/>
        <w:rPr>
          <w:u w:val="single"/>
        </w:rPr>
      </w:pPr>
    </w:p>
    <w:p w14:paraId="6C01B20A" w14:textId="77777777" w:rsidR="0087423E" w:rsidRDefault="0087423E" w:rsidP="0087423E">
      <w:pPr>
        <w:contextualSpacing/>
        <w:rPr>
          <w:u w:val="single"/>
        </w:rPr>
      </w:pPr>
      <w:r w:rsidRPr="00F34AB8">
        <w:rPr>
          <w:u w:val="single"/>
        </w:rPr>
        <w:t>Research and Policy</w:t>
      </w:r>
    </w:p>
    <w:p w14:paraId="1818251E" w14:textId="77777777" w:rsidR="0087423E" w:rsidRPr="00D14A35" w:rsidRDefault="0087423E" w:rsidP="0087423E">
      <w:pPr>
        <w:contextualSpacing/>
        <w:rPr>
          <w:b/>
          <w:highlight w:val="yellow"/>
        </w:rPr>
      </w:pPr>
    </w:p>
    <w:p w14:paraId="590654C9" w14:textId="63A9273B" w:rsidR="0087423E" w:rsidRPr="00796507" w:rsidRDefault="0087423E" w:rsidP="0087423E">
      <w:bookmarkStart w:id="3" w:name="_Hlk70365584"/>
      <w:r w:rsidRPr="00796507">
        <w:t xml:space="preserve">Redress and rehabilitation was a priority during the period, with papers developed to support the Redress hearings held, which were followed up with critical analysis of policy options, including access to records.  </w:t>
      </w:r>
      <w:r w:rsidR="00415337">
        <w:t>The Redress Report</w:t>
      </w:r>
      <w:r w:rsidRPr="00796507">
        <w:t xml:space="preserve"> will continue to be a priority through until October 2021.</w:t>
      </w:r>
    </w:p>
    <w:p w14:paraId="62EF8027" w14:textId="0FB71AFA" w:rsidR="0087423E" w:rsidRDefault="0087423E" w:rsidP="0087423E">
      <w:r w:rsidRPr="0099633A">
        <w:t xml:space="preserve">The first tranche of literature reviews for the Psychiatric, Catholic, Māori and Residences investigations settings </w:t>
      </w:r>
      <w:r>
        <w:t xml:space="preserve">are </w:t>
      </w:r>
      <w:r w:rsidRPr="0099633A">
        <w:t xml:space="preserve">being managed in house by the Research team. </w:t>
      </w:r>
      <w:r>
        <w:t xml:space="preserve"> </w:t>
      </w:r>
      <w:r w:rsidRPr="0099633A">
        <w:t xml:space="preserve">The reviews </w:t>
      </w:r>
      <w:r w:rsidR="00B27F2D">
        <w:t xml:space="preserve">will </w:t>
      </w:r>
      <w:r w:rsidRPr="0099633A">
        <w:t xml:space="preserve">consider the circumstances of going into </w:t>
      </w:r>
      <w:r>
        <w:t>c</w:t>
      </w:r>
      <w:r w:rsidRPr="0099633A">
        <w:t xml:space="preserve">are </w:t>
      </w:r>
      <w:r>
        <w:t>and the n</w:t>
      </w:r>
      <w:r w:rsidRPr="0099633A">
        <w:t xml:space="preserve">ature, </w:t>
      </w:r>
      <w:r>
        <w:t>e</w:t>
      </w:r>
      <w:r w:rsidRPr="0099633A">
        <w:t xml:space="preserve">xtent, </w:t>
      </w:r>
      <w:r>
        <w:t>c</w:t>
      </w:r>
      <w:r w:rsidRPr="0099633A">
        <w:t xml:space="preserve">auses and </w:t>
      </w:r>
      <w:r>
        <w:t>i</w:t>
      </w:r>
      <w:r w:rsidRPr="0099633A">
        <w:t xml:space="preserve">mpacts of </w:t>
      </w:r>
      <w:r>
        <w:t>a</w:t>
      </w:r>
      <w:r w:rsidRPr="0099633A">
        <w:t>buse</w:t>
      </w:r>
      <w:r>
        <w:t>.</w:t>
      </w:r>
      <w:r w:rsidRPr="0099633A">
        <w:t xml:space="preserve"> </w:t>
      </w:r>
      <w:r>
        <w:t xml:space="preserve"> All reviews due to be finalised by the end of April 2021.  </w:t>
      </w:r>
      <w:r w:rsidRPr="00025E8A">
        <w:t xml:space="preserve">The timeline for the completion of the second </w:t>
      </w:r>
      <w:r>
        <w:t>t</w:t>
      </w:r>
      <w:r w:rsidRPr="00025E8A">
        <w:t>ranche of literature reviews</w:t>
      </w:r>
      <w:r>
        <w:t>,</w:t>
      </w:r>
      <w:r w:rsidRPr="00025E8A">
        <w:t xml:space="preserve"> which includes the settings of foster care, transitional and law enforcement, non-residential psychiatric hospitals and disability facilities, boarding schools and other educational settings </w:t>
      </w:r>
      <w:r>
        <w:t xml:space="preserve">are due by </w:t>
      </w:r>
      <w:r w:rsidRPr="00025E8A">
        <w:t>30 June 2021.</w:t>
      </w:r>
    </w:p>
    <w:p w14:paraId="19144FE8" w14:textId="6B7ABE60" w:rsidR="0087423E" w:rsidRDefault="00FA4F82" w:rsidP="0087423E">
      <w:r>
        <w:t xml:space="preserve">Specific research </w:t>
      </w:r>
      <w:r w:rsidR="0087423E" w:rsidRPr="00623CBD">
        <w:t>into disabled people’s experience in care (primary research commissioned by the Inquiry), is progressing through the Ethics Approval process.  After discussions with the Disability Investigation Team, this work will need to be split into timed deliverables to meet the full research brief.  The first research deliverables should be due to coincide with the Disability Public Hearing in November 2021.</w:t>
      </w:r>
    </w:p>
    <w:p w14:paraId="3B4A34CC" w14:textId="6790DBCD" w:rsidR="0087423E" w:rsidRPr="00796507" w:rsidRDefault="0087423E" w:rsidP="0087423E">
      <w:r w:rsidRPr="00796507">
        <w:t xml:space="preserve">We have examined the settings and regulations for the historical use of seclusion and restraint in New Zealand and overseas.  </w:t>
      </w:r>
    </w:p>
    <w:p w14:paraId="28D854D2" w14:textId="3B1B99A3" w:rsidR="0087423E" w:rsidRPr="00796507" w:rsidRDefault="0087423E" w:rsidP="0087423E">
      <w:r w:rsidRPr="00796507">
        <w:t xml:space="preserve">We have </w:t>
      </w:r>
      <w:r w:rsidR="00415337">
        <w:t xml:space="preserve">also </w:t>
      </w:r>
      <w:r w:rsidRPr="00796507">
        <w:t>examined the systematic and operational factors contributing to abuse of children and young people at Lake Alice Psychiatric Hospital.  This supports the intended public hearing into abuse at the Adolescent Unit at Lake Alice.</w:t>
      </w:r>
    </w:p>
    <w:p w14:paraId="0E3AC68C" w14:textId="3B4D4760" w:rsidR="0087423E" w:rsidRPr="00796507" w:rsidRDefault="0087423E" w:rsidP="0087423E">
      <w:r w:rsidRPr="00796507">
        <w:t>An inquiry definition of neglect has been developed</w:t>
      </w:r>
      <w:r w:rsidR="00415337">
        <w:t>.</w:t>
      </w:r>
    </w:p>
    <w:p w14:paraId="7FDF9C8E" w14:textId="79FCAD10" w:rsidR="0087423E" w:rsidRPr="00796507" w:rsidRDefault="0087423E" w:rsidP="0087423E">
      <w:r w:rsidRPr="00796507">
        <w:lastRenderedPageBreak/>
        <w:t xml:space="preserve">During the period work with the Minister </w:t>
      </w:r>
      <w:r w:rsidR="00B27F2D">
        <w:t>for</w:t>
      </w:r>
      <w:r w:rsidRPr="00796507">
        <w:t xml:space="preserve"> Pacific Peoples culminated in the designation of the Ministry </w:t>
      </w:r>
      <w:r w:rsidR="00B27F2D">
        <w:t xml:space="preserve">for </w:t>
      </w:r>
      <w:r w:rsidRPr="00796507">
        <w:t xml:space="preserve">Pacific Peoples being designated as a core participant in the inquiry. </w:t>
      </w:r>
    </w:p>
    <w:bookmarkEnd w:id="3"/>
    <w:p w14:paraId="33F20BA8" w14:textId="6A162486" w:rsidR="00AC6863" w:rsidRDefault="004F4F3C" w:rsidP="00AC6863">
      <w:pPr>
        <w:contextualSpacing/>
      </w:pPr>
      <w:r w:rsidRPr="00410501">
        <w:rPr>
          <w:rFonts w:asciiTheme="minorHAnsi" w:hAnsiTheme="minorHAnsi" w:cstheme="minorHAnsi"/>
          <w:u w:val="single"/>
        </w:rPr>
        <w:t>Community Engagement</w:t>
      </w:r>
      <w:r>
        <w:rPr>
          <w:rFonts w:asciiTheme="minorHAnsi" w:hAnsiTheme="minorHAnsi" w:cstheme="minorHAnsi"/>
        </w:rPr>
        <w:br/>
      </w:r>
      <w:r w:rsidR="00AC6863">
        <w:br/>
      </w:r>
      <w:r w:rsidR="00410501">
        <w:t>T</w:t>
      </w:r>
      <w:r w:rsidR="00AC6863">
        <w:t xml:space="preserve">he Community Engagement team </w:t>
      </w:r>
      <w:r w:rsidR="00410501">
        <w:t xml:space="preserve">now </w:t>
      </w:r>
      <w:proofErr w:type="gramStart"/>
      <w:r w:rsidR="00410501">
        <w:t xml:space="preserve">have the ability </w:t>
      </w:r>
      <w:r w:rsidR="00AC6863">
        <w:t>to</w:t>
      </w:r>
      <w:proofErr w:type="gramEnd"/>
      <w:r w:rsidR="00AC6863">
        <w:t xml:space="preserve"> register survivors directly</w:t>
      </w:r>
      <w:r w:rsidR="00415337">
        <w:t xml:space="preserve">. This has meant the team has </w:t>
      </w:r>
      <w:bookmarkStart w:id="4" w:name="_Hlk70431829"/>
      <w:r w:rsidR="00415337">
        <w:t>c</w:t>
      </w:r>
      <w:r w:rsidR="00AC6863">
        <w:t>ollective</w:t>
      </w:r>
      <w:r w:rsidR="00415337">
        <w:t>ly</w:t>
      </w:r>
      <w:r w:rsidR="00AC6863">
        <w:t xml:space="preserve"> regist</w:t>
      </w:r>
      <w:r w:rsidR="00415337">
        <w:t>ered</w:t>
      </w:r>
      <w:r w:rsidR="00AC6863">
        <w:t xml:space="preserve"> 46 survivors for the </w:t>
      </w:r>
      <w:r w:rsidR="00415337">
        <w:t>quarter.</w:t>
      </w:r>
      <w:r w:rsidR="00AC6863">
        <w:t xml:space="preserve"> Of the 46:</w:t>
      </w:r>
      <w:bookmarkEnd w:id="4"/>
    </w:p>
    <w:p w14:paraId="67B6002C" w14:textId="5373350F" w:rsidR="00AC6863" w:rsidRDefault="00AC6863" w:rsidP="003F2939">
      <w:pPr>
        <w:pStyle w:val="ListParagraph"/>
        <w:numPr>
          <w:ilvl w:val="0"/>
          <w:numId w:val="25"/>
        </w:numPr>
      </w:pPr>
      <w:r>
        <w:t>19 have identified as Māori, 22 as European, 1 Fijian; 1 Tongan; 1 Niuean; 1 Samoan; 3 Cook Island (note: ethnicity is a multiple response variable.  Therefore, the number of total responses will be greater than the number of respondent</w:t>
      </w:r>
      <w:r w:rsidR="00B27F2D">
        <w:t>s</w:t>
      </w:r>
      <w:r>
        <w:t>)</w:t>
      </w:r>
    </w:p>
    <w:p w14:paraId="4C319783" w14:textId="77777777" w:rsidR="00AC6863" w:rsidRDefault="00AC6863" w:rsidP="003F2939">
      <w:pPr>
        <w:pStyle w:val="ListParagraph"/>
        <w:numPr>
          <w:ilvl w:val="0"/>
          <w:numId w:val="25"/>
        </w:numPr>
      </w:pPr>
      <w:r>
        <w:t>The youngest registered is 21 years old, while the oldest is 76 years old</w:t>
      </w:r>
    </w:p>
    <w:p w14:paraId="258E5C46" w14:textId="2193E6F8" w:rsidR="00AC6863" w:rsidRDefault="00AC6863" w:rsidP="003F2939">
      <w:pPr>
        <w:pStyle w:val="ListParagraph"/>
        <w:numPr>
          <w:ilvl w:val="0"/>
          <w:numId w:val="25"/>
        </w:numPr>
      </w:pPr>
      <w:bookmarkStart w:id="5" w:name="_Hlk70431839"/>
      <w:r>
        <w:t xml:space="preserve">22 identified as female; 22 as male; 1 preferred not to say and 1 </w:t>
      </w:r>
      <w:r w:rsidR="00415337">
        <w:t>“</w:t>
      </w:r>
      <w:r>
        <w:t>other</w:t>
      </w:r>
      <w:bookmarkEnd w:id="5"/>
      <w:r w:rsidR="00415337">
        <w:t>”</w:t>
      </w:r>
    </w:p>
    <w:p w14:paraId="6176C18B" w14:textId="1CD28634" w:rsidR="00AC6863" w:rsidRDefault="00AC6863" w:rsidP="003F2939">
      <w:pPr>
        <w:pStyle w:val="ListParagraph"/>
        <w:numPr>
          <w:ilvl w:val="0"/>
          <w:numId w:val="25"/>
        </w:numPr>
      </w:pPr>
      <w:r>
        <w:t>23 disclosed a</w:t>
      </w:r>
      <w:r w:rsidR="00B27F2D">
        <w:t xml:space="preserve"> disability, mental health and/</w:t>
      </w:r>
      <w:r>
        <w:t>or physical health issues</w:t>
      </w:r>
    </w:p>
    <w:p w14:paraId="23EBE2B7" w14:textId="77777777" w:rsidR="00AC6863" w:rsidRDefault="00AC6863" w:rsidP="00AC6863">
      <w:r>
        <w:t xml:space="preserve">Having now completed four engagement sessions specifically tailored for the learning disability, </w:t>
      </w:r>
      <w:proofErr w:type="spellStart"/>
      <w:r>
        <w:t>neurodiverse</w:t>
      </w:r>
      <w:proofErr w:type="spellEnd"/>
      <w:r>
        <w:t xml:space="preserve"> and cognitive impaired (LDNDCI) community in Palmerston North and Christchurch, the next round of these sessions will begin again in mid-May 2021.  From these four sessions:</w:t>
      </w:r>
    </w:p>
    <w:p w14:paraId="2B654B91" w14:textId="77777777" w:rsidR="00AC6863" w:rsidRDefault="00AC6863" w:rsidP="003F2939">
      <w:pPr>
        <w:pStyle w:val="ListParagraph"/>
        <w:numPr>
          <w:ilvl w:val="0"/>
          <w:numId w:val="26"/>
        </w:numPr>
      </w:pPr>
      <w:r>
        <w:t>one survivor and three witnesses were registered on 15 April</w:t>
      </w:r>
    </w:p>
    <w:p w14:paraId="6810BF48" w14:textId="77777777" w:rsidR="00AC6863" w:rsidRDefault="00AC6863" w:rsidP="003F2939">
      <w:pPr>
        <w:pStyle w:val="ListParagraph"/>
        <w:numPr>
          <w:ilvl w:val="0"/>
          <w:numId w:val="26"/>
        </w:numPr>
      </w:pPr>
      <w:r>
        <w:t xml:space="preserve">four more survivors to be followed up for registration; and </w:t>
      </w:r>
    </w:p>
    <w:p w14:paraId="6587238A" w14:textId="77777777" w:rsidR="00AC6863" w:rsidRDefault="00AC6863" w:rsidP="003F2939">
      <w:pPr>
        <w:pStyle w:val="ListParagraph"/>
        <w:numPr>
          <w:ilvl w:val="0"/>
          <w:numId w:val="26"/>
        </w:numPr>
      </w:pPr>
      <w:r>
        <w:t xml:space="preserve">a further 13 registrations from the Christchurch community hui – 10 of which who have high and complex needs are from a group care home environment.  </w:t>
      </w:r>
    </w:p>
    <w:p w14:paraId="0C6B650A" w14:textId="77777777" w:rsidR="00AC6863" w:rsidRDefault="00AC6863" w:rsidP="00AC6863">
      <w:r>
        <w:t>The pathway for learning disability survivors and witnesses to participate in the Inquiry is very much now in action and ‘business as usual’.</w:t>
      </w:r>
    </w:p>
    <w:p w14:paraId="4504466F" w14:textId="77777777" w:rsidR="00AC6863" w:rsidRDefault="00AC6863" w:rsidP="00AC6863">
      <w:r>
        <w:t>The other usual activities for this quarter include:</w:t>
      </w:r>
    </w:p>
    <w:p w14:paraId="500EE212" w14:textId="151CA318" w:rsidR="00AC6863" w:rsidRDefault="00AC6863" w:rsidP="003F2939">
      <w:pPr>
        <w:pStyle w:val="ListParagraph"/>
        <w:numPr>
          <w:ilvl w:val="0"/>
          <w:numId w:val="27"/>
        </w:numPr>
      </w:pPr>
      <w:r>
        <w:t>a formal engagement with the Australia and New Zealand Mental Health Association has begun.  This engagement enables the Inquiry to reach out to 500 New Zealand based practitioners in the mental health and addictions sector.  The first action is to provide content about the Inquiry through their electronic direct mail (</w:t>
      </w:r>
      <w:proofErr w:type="spellStart"/>
      <w:r>
        <w:t>eDM</w:t>
      </w:r>
      <w:proofErr w:type="spellEnd"/>
      <w:r>
        <w:t xml:space="preserve">).  The </w:t>
      </w:r>
      <w:proofErr w:type="spellStart"/>
      <w:r>
        <w:t>eDM</w:t>
      </w:r>
      <w:proofErr w:type="spellEnd"/>
      <w:r>
        <w:t xml:space="preserve"> was </w:t>
      </w:r>
      <w:r w:rsidR="00B27F2D">
        <w:t xml:space="preserve">to be </w:t>
      </w:r>
      <w:r>
        <w:t>sent out from t</w:t>
      </w:r>
      <w:r w:rsidR="00B27F2D">
        <w:t>he week beginning 19 April 2021;</w:t>
      </w:r>
    </w:p>
    <w:p w14:paraId="6603ACE5" w14:textId="338A7F43" w:rsidR="00AC6863" w:rsidRDefault="00AC6863" w:rsidP="003F2939">
      <w:pPr>
        <w:pStyle w:val="ListParagraph"/>
        <w:numPr>
          <w:ilvl w:val="0"/>
          <w:numId w:val="27"/>
        </w:numPr>
      </w:pPr>
      <w:r>
        <w:t>raising awareness of the Inquiry in various external festivals and expos such as Newtown Festival, Levin Pasifika Festival, Retirement &amp; Lifestyle Expo in Auckland, Enliven Forum in Christchurch and the Age on the Go Expo in Levin</w:t>
      </w:r>
      <w:r w:rsidR="00B27F2D">
        <w:t>;</w:t>
      </w:r>
    </w:p>
    <w:p w14:paraId="360CBDA9" w14:textId="762BCCC4" w:rsidR="00AC6863" w:rsidRDefault="00AC6863" w:rsidP="003F2939">
      <w:pPr>
        <w:pStyle w:val="ListParagraph"/>
        <w:numPr>
          <w:ilvl w:val="0"/>
          <w:numId w:val="27"/>
        </w:numPr>
      </w:pPr>
      <w:r>
        <w:t xml:space="preserve">expanding the connections of Pacific communities by reaching out ex and </w:t>
      </w:r>
      <w:r w:rsidR="0057734D">
        <w:t xml:space="preserve">current </w:t>
      </w:r>
      <w:r>
        <w:t xml:space="preserve">members of </w:t>
      </w:r>
      <w:proofErr w:type="spellStart"/>
      <w:r>
        <w:t>Mangukaha</w:t>
      </w:r>
      <w:proofErr w:type="spellEnd"/>
      <w:r>
        <w:t xml:space="preserve"> (Black Power) to register and participate in the Inquiry.  Two registrations have resulted and a few more in progress.</w:t>
      </w:r>
    </w:p>
    <w:p w14:paraId="21D4C886" w14:textId="6A5C3C56" w:rsidR="00AC6863" w:rsidRDefault="00AC6863" w:rsidP="00AC6863">
      <w:r>
        <w:t>A key focus for community engagement in the next quarter will be the continuation of engagement sessions for the learning disability community; the start of engagement sessions at Family Planning centres around Aotearoa (about 30) to enable registration of survivors and witnesses through these engagement sessions and the start of the homeless engagement sessions with City Missions around Aotearoa.</w:t>
      </w:r>
    </w:p>
    <w:p w14:paraId="2A2FFF8A" w14:textId="22984E53" w:rsidR="00A46D50" w:rsidRDefault="00A46D50" w:rsidP="00A46D50">
      <w:pPr>
        <w:rPr>
          <w:rFonts w:eastAsia="Calibri" w:cs="Calibri"/>
        </w:rPr>
      </w:pPr>
      <w:r w:rsidRPr="00410501">
        <w:rPr>
          <w:rFonts w:eastAsia="Calibri" w:cs="Calibri"/>
          <w:u w:val="single"/>
        </w:rPr>
        <w:lastRenderedPageBreak/>
        <w:t>Treaty Engagement</w:t>
      </w:r>
      <w:r w:rsidRPr="005563C3">
        <w:rPr>
          <w:rFonts w:eastAsia="Calibri" w:cs="Calibri"/>
          <w:b/>
        </w:rPr>
        <w:t xml:space="preserve"> </w:t>
      </w:r>
      <w:r w:rsidRPr="005563C3">
        <w:rPr>
          <w:rFonts w:eastAsia="Calibri"/>
        </w:rPr>
        <w:br/>
      </w:r>
      <w:r w:rsidRPr="005563C3">
        <w:rPr>
          <w:rFonts w:eastAsia="Calibri" w:cs="Calibri"/>
        </w:rPr>
        <w:br/>
      </w:r>
      <w:r>
        <w:rPr>
          <w:rFonts w:eastAsia="Calibri" w:cs="Calibri"/>
        </w:rPr>
        <w:t>This quarter t</w:t>
      </w:r>
      <w:r w:rsidRPr="005563C3">
        <w:rPr>
          <w:rFonts w:eastAsia="Calibri" w:cs="Calibri"/>
        </w:rPr>
        <w:t xml:space="preserve">he Treaty Engagement </w:t>
      </w:r>
      <w:r>
        <w:rPr>
          <w:rFonts w:eastAsia="Calibri" w:cs="Calibri"/>
        </w:rPr>
        <w:t xml:space="preserve">Directorate has participated in wide ranging engagement activities with </w:t>
      </w:r>
      <w:r w:rsidRPr="005563C3">
        <w:rPr>
          <w:rFonts w:eastAsia="Calibri" w:cs="Calibri"/>
        </w:rPr>
        <w:t>Māori</w:t>
      </w:r>
      <w:r>
        <w:rPr>
          <w:rFonts w:eastAsia="Calibri" w:cs="Calibri"/>
        </w:rPr>
        <w:t xml:space="preserve"> providers, Iwi and the survivor community. These engagements have further strengthened external relationships and provided the </w:t>
      </w:r>
      <w:r w:rsidR="00C77C02">
        <w:rPr>
          <w:rFonts w:eastAsia="Calibri" w:cs="Calibri"/>
        </w:rPr>
        <w:t xml:space="preserve">Inquiry </w:t>
      </w:r>
      <w:r>
        <w:rPr>
          <w:rFonts w:eastAsia="Calibri" w:cs="Calibri"/>
        </w:rPr>
        <w:t xml:space="preserve">with valuable insights and </w:t>
      </w:r>
      <w:proofErr w:type="spellStart"/>
      <w:r>
        <w:rPr>
          <w:rFonts w:eastAsia="Calibri" w:cs="Calibri"/>
        </w:rPr>
        <w:t>kaupapa</w:t>
      </w:r>
      <w:proofErr w:type="spellEnd"/>
      <w:r>
        <w:rPr>
          <w:rFonts w:eastAsia="Calibri" w:cs="Calibri"/>
        </w:rPr>
        <w:t xml:space="preserve"> </w:t>
      </w:r>
      <w:r w:rsidRPr="005563C3">
        <w:rPr>
          <w:rFonts w:eastAsia="Calibri" w:cs="Calibri"/>
        </w:rPr>
        <w:t>Māori</w:t>
      </w:r>
      <w:r>
        <w:rPr>
          <w:rFonts w:eastAsia="Calibri" w:cs="Calibri"/>
        </w:rPr>
        <w:t xml:space="preserve"> expertise. They include the following activities:</w:t>
      </w:r>
    </w:p>
    <w:p w14:paraId="0E6B0CC7" w14:textId="254F765D" w:rsidR="00A46D50" w:rsidRDefault="00A46D50" w:rsidP="003F2939">
      <w:pPr>
        <w:numPr>
          <w:ilvl w:val="0"/>
          <w:numId w:val="22"/>
        </w:numPr>
        <w:spacing w:before="80" w:after="80"/>
        <w:ind w:left="284" w:hanging="284"/>
        <w:rPr>
          <w:rFonts w:eastAsia="Calibri" w:cs="Calibri"/>
        </w:rPr>
      </w:pPr>
      <w:r>
        <w:rPr>
          <w:rFonts w:eastAsia="Calibri" w:cs="Calibri"/>
        </w:rPr>
        <w:t xml:space="preserve">Contract for services – seven </w:t>
      </w:r>
      <w:proofErr w:type="spellStart"/>
      <w:r>
        <w:rPr>
          <w:rFonts w:eastAsia="Calibri" w:cs="Calibri"/>
        </w:rPr>
        <w:t>kaupapa</w:t>
      </w:r>
      <w:proofErr w:type="spellEnd"/>
      <w:r>
        <w:rPr>
          <w:rFonts w:eastAsia="Calibri" w:cs="Calibri"/>
        </w:rPr>
        <w:t xml:space="preserve"> M</w:t>
      </w:r>
      <w:r w:rsidRPr="005563C3">
        <w:rPr>
          <w:rFonts w:eastAsia="Calibri" w:cs="Calibri"/>
        </w:rPr>
        <w:t>ā</w:t>
      </w:r>
      <w:r>
        <w:rPr>
          <w:rFonts w:eastAsia="Calibri" w:cs="Calibri"/>
        </w:rPr>
        <w:t xml:space="preserve">ori non-government </w:t>
      </w:r>
      <w:r w:rsidR="0057734D">
        <w:rPr>
          <w:rFonts w:eastAsia="Calibri" w:cs="Calibri"/>
        </w:rPr>
        <w:t>providers based in Christchurch, Nelson/Blenheim, Wellington,</w:t>
      </w:r>
      <w:r>
        <w:rPr>
          <w:rFonts w:eastAsia="Calibri" w:cs="Calibri"/>
        </w:rPr>
        <w:t xml:space="preserve"> Hamilton and Auckland. The one-year contract commenced January 2021 and will provide a </w:t>
      </w:r>
      <w:proofErr w:type="spellStart"/>
      <w:r>
        <w:rPr>
          <w:rFonts w:eastAsia="Calibri" w:cs="Calibri"/>
        </w:rPr>
        <w:t>kaupapa</w:t>
      </w:r>
      <w:proofErr w:type="spellEnd"/>
      <w:r>
        <w:rPr>
          <w:rFonts w:eastAsia="Calibri" w:cs="Calibri"/>
        </w:rPr>
        <w:t xml:space="preserve"> </w:t>
      </w:r>
      <w:r w:rsidRPr="005563C3">
        <w:rPr>
          <w:rFonts w:eastAsia="Calibri" w:cs="Calibri"/>
        </w:rPr>
        <w:t>Māori</w:t>
      </w:r>
      <w:r>
        <w:rPr>
          <w:rFonts w:eastAsia="Calibri" w:cs="Calibri"/>
        </w:rPr>
        <w:t xml:space="preserve"> approach to promote and profile the work of the Commission. In addition to promotional activities providers will deliver support services including wellbeing to survivors that are socially isolated with a focus on </w:t>
      </w:r>
      <w:r w:rsidRPr="005563C3">
        <w:rPr>
          <w:rFonts w:eastAsia="Calibri" w:cs="Calibri"/>
        </w:rPr>
        <w:t>Māori</w:t>
      </w:r>
      <w:r>
        <w:rPr>
          <w:rFonts w:eastAsia="Calibri" w:cs="Calibri"/>
        </w:rPr>
        <w:t>.</w:t>
      </w:r>
    </w:p>
    <w:p w14:paraId="3BD5F83F" w14:textId="77777777" w:rsidR="00A46D50" w:rsidRDefault="00A46D50" w:rsidP="003F2939">
      <w:pPr>
        <w:numPr>
          <w:ilvl w:val="0"/>
          <w:numId w:val="22"/>
        </w:numPr>
        <w:spacing w:before="80" w:after="80"/>
        <w:ind w:left="284" w:hanging="284"/>
        <w:rPr>
          <w:rFonts w:eastAsia="Calibri" w:cs="Calibri"/>
        </w:rPr>
      </w:pPr>
      <w:r>
        <w:rPr>
          <w:rFonts w:eastAsia="Calibri" w:cs="Calibri"/>
        </w:rPr>
        <w:t xml:space="preserve">Office of the </w:t>
      </w:r>
      <w:proofErr w:type="spellStart"/>
      <w:r>
        <w:rPr>
          <w:rFonts w:eastAsia="Calibri" w:cs="Calibri"/>
        </w:rPr>
        <w:t>Kiingitanga</w:t>
      </w:r>
      <w:proofErr w:type="spellEnd"/>
      <w:r>
        <w:rPr>
          <w:rFonts w:eastAsia="Calibri" w:cs="Calibri"/>
        </w:rPr>
        <w:t xml:space="preserve"> – attendance at four </w:t>
      </w:r>
      <w:proofErr w:type="spellStart"/>
      <w:r>
        <w:rPr>
          <w:rFonts w:eastAsia="Calibri" w:cs="Calibri"/>
        </w:rPr>
        <w:t>Poukai</w:t>
      </w:r>
      <w:proofErr w:type="spellEnd"/>
      <w:r>
        <w:rPr>
          <w:rFonts w:eastAsia="Calibri" w:cs="Calibri"/>
        </w:rPr>
        <w:t xml:space="preserve"> to strengthen the connection between the Office and the Commission. We have received and accepted an invitation to partner with the Office and host an event that will bring together tikanga and Treaty expertise to inform the Redress Report. This event is scheduled for June 2021.</w:t>
      </w:r>
    </w:p>
    <w:p w14:paraId="1AA16D71" w14:textId="77777777" w:rsidR="00A46D50" w:rsidRDefault="00A46D50" w:rsidP="003F2939">
      <w:pPr>
        <w:numPr>
          <w:ilvl w:val="0"/>
          <w:numId w:val="22"/>
        </w:numPr>
        <w:spacing w:before="80" w:after="80"/>
        <w:ind w:left="284" w:hanging="284"/>
        <w:rPr>
          <w:rFonts w:eastAsia="Calibri" w:cs="Calibri"/>
        </w:rPr>
      </w:pPr>
      <w:proofErr w:type="spellStart"/>
      <w:r>
        <w:rPr>
          <w:rFonts w:eastAsia="Calibri" w:cs="Calibri"/>
        </w:rPr>
        <w:t>Te</w:t>
      </w:r>
      <w:proofErr w:type="spellEnd"/>
      <w:r>
        <w:rPr>
          <w:rFonts w:eastAsia="Calibri" w:cs="Calibri"/>
        </w:rPr>
        <w:t xml:space="preserve"> </w:t>
      </w:r>
      <w:proofErr w:type="spellStart"/>
      <w:r>
        <w:rPr>
          <w:rFonts w:eastAsia="Calibri" w:cs="Calibri"/>
        </w:rPr>
        <w:t>Taumata</w:t>
      </w:r>
      <w:proofErr w:type="spellEnd"/>
      <w:r>
        <w:rPr>
          <w:rFonts w:eastAsia="Calibri" w:cs="Calibri"/>
        </w:rPr>
        <w:t xml:space="preserve"> Advisory Committee – held a two-day strategic planning hui, which included meeting with </w:t>
      </w:r>
      <w:r w:rsidRPr="005563C3">
        <w:rPr>
          <w:rFonts w:eastAsia="Calibri" w:cs="Calibri"/>
        </w:rPr>
        <w:t>Māori</w:t>
      </w:r>
      <w:r>
        <w:rPr>
          <w:rFonts w:eastAsia="Calibri" w:cs="Calibri"/>
        </w:rPr>
        <w:t xml:space="preserve"> Investigations, Counsel Assist and Commissioners to advise and inform the Commission’s strategic direction with a Treaty lens.</w:t>
      </w:r>
    </w:p>
    <w:p w14:paraId="3DF058C0" w14:textId="77777777" w:rsidR="00A46D50" w:rsidRDefault="00A46D50" w:rsidP="003F2939">
      <w:pPr>
        <w:numPr>
          <w:ilvl w:val="0"/>
          <w:numId w:val="22"/>
        </w:numPr>
        <w:spacing w:before="80" w:after="80"/>
        <w:ind w:left="284" w:hanging="284"/>
        <w:rPr>
          <w:rFonts w:eastAsia="Calibri" w:cs="Calibri"/>
        </w:rPr>
      </w:pPr>
      <w:r>
        <w:rPr>
          <w:rFonts w:eastAsia="Calibri" w:cs="Calibri"/>
        </w:rPr>
        <w:t xml:space="preserve">National State Survivors Hui – participation in a survivor-led three-day hui in Wellington. To strengthen engagement between the survivor community and the Commission particularly from a </w:t>
      </w:r>
      <w:r w:rsidRPr="005563C3">
        <w:rPr>
          <w:rFonts w:eastAsia="Calibri" w:cs="Calibri"/>
        </w:rPr>
        <w:t>Māori</w:t>
      </w:r>
      <w:r>
        <w:rPr>
          <w:rFonts w:eastAsia="Calibri" w:cs="Calibri"/>
        </w:rPr>
        <w:t xml:space="preserve"> perspective.</w:t>
      </w:r>
    </w:p>
    <w:p w14:paraId="48898947" w14:textId="77777777" w:rsidR="00A46D50" w:rsidRDefault="00A46D50" w:rsidP="003F2939">
      <w:pPr>
        <w:numPr>
          <w:ilvl w:val="0"/>
          <w:numId w:val="22"/>
        </w:numPr>
        <w:spacing w:before="80" w:after="80"/>
        <w:ind w:left="284" w:hanging="284"/>
        <w:rPr>
          <w:rFonts w:eastAsia="Calibri" w:cs="Calibri"/>
        </w:rPr>
      </w:pPr>
      <w:proofErr w:type="spellStart"/>
      <w:r>
        <w:rPr>
          <w:rFonts w:eastAsia="Calibri" w:cs="Calibri"/>
        </w:rPr>
        <w:t>Kaupapa</w:t>
      </w:r>
      <w:proofErr w:type="spellEnd"/>
      <w:r>
        <w:rPr>
          <w:rFonts w:eastAsia="Calibri" w:cs="Calibri"/>
        </w:rPr>
        <w:t xml:space="preserve"> </w:t>
      </w:r>
      <w:proofErr w:type="spellStart"/>
      <w:r>
        <w:rPr>
          <w:rFonts w:eastAsia="Calibri" w:cs="Calibri"/>
        </w:rPr>
        <w:t>Roopu</w:t>
      </w:r>
      <w:proofErr w:type="spellEnd"/>
      <w:r>
        <w:rPr>
          <w:rFonts w:eastAsia="Calibri" w:cs="Calibri"/>
        </w:rPr>
        <w:t xml:space="preserve"> hui – we designed a hui to bring together </w:t>
      </w:r>
      <w:proofErr w:type="spellStart"/>
      <w:r>
        <w:rPr>
          <w:rFonts w:eastAsia="Calibri" w:cs="Calibri"/>
        </w:rPr>
        <w:t>wahine</w:t>
      </w:r>
      <w:proofErr w:type="spellEnd"/>
      <w:r>
        <w:rPr>
          <w:rFonts w:eastAsia="Calibri" w:cs="Calibri"/>
        </w:rPr>
        <w:t xml:space="preserve"> </w:t>
      </w:r>
      <w:r w:rsidRPr="005563C3">
        <w:rPr>
          <w:rFonts w:eastAsia="Calibri" w:cs="Calibri"/>
        </w:rPr>
        <w:t>Māori</w:t>
      </w:r>
      <w:r>
        <w:rPr>
          <w:rFonts w:eastAsia="Calibri" w:cs="Calibri"/>
        </w:rPr>
        <w:t xml:space="preserve"> survivors and the residential investigation team. We drew on their experiences of abuse as children in residential care to provide a </w:t>
      </w:r>
      <w:r w:rsidRPr="005563C3">
        <w:rPr>
          <w:rFonts w:eastAsia="Calibri" w:cs="Calibri"/>
        </w:rPr>
        <w:t>Māori</w:t>
      </w:r>
      <w:r>
        <w:rPr>
          <w:rFonts w:eastAsia="Calibri" w:cs="Calibri"/>
        </w:rPr>
        <w:t xml:space="preserve"> perspective for the residential investigation. </w:t>
      </w:r>
    </w:p>
    <w:p w14:paraId="5F64463A" w14:textId="0C8F5493" w:rsidR="00A46D50" w:rsidRDefault="00A46D50" w:rsidP="003F2939">
      <w:pPr>
        <w:numPr>
          <w:ilvl w:val="0"/>
          <w:numId w:val="22"/>
        </w:numPr>
        <w:spacing w:before="80" w:after="80"/>
        <w:ind w:left="284" w:hanging="284"/>
        <w:rPr>
          <w:rFonts w:eastAsia="Calibri" w:cs="Calibri"/>
        </w:rPr>
      </w:pPr>
      <w:proofErr w:type="spellStart"/>
      <w:r>
        <w:rPr>
          <w:rFonts w:eastAsia="Calibri" w:cs="Calibri"/>
        </w:rPr>
        <w:t>Te</w:t>
      </w:r>
      <w:proofErr w:type="spellEnd"/>
      <w:r>
        <w:rPr>
          <w:rFonts w:eastAsia="Calibri" w:cs="Calibri"/>
        </w:rPr>
        <w:t xml:space="preserve"> </w:t>
      </w:r>
      <w:proofErr w:type="spellStart"/>
      <w:r>
        <w:rPr>
          <w:rFonts w:eastAsia="Calibri" w:cs="Calibri"/>
        </w:rPr>
        <w:t>Rūnanga</w:t>
      </w:r>
      <w:proofErr w:type="spellEnd"/>
      <w:r>
        <w:rPr>
          <w:rFonts w:eastAsia="Calibri" w:cs="Calibri"/>
        </w:rPr>
        <w:t xml:space="preserve"> o </w:t>
      </w:r>
      <w:proofErr w:type="spellStart"/>
      <w:r>
        <w:rPr>
          <w:rFonts w:eastAsia="Calibri" w:cs="Calibri"/>
        </w:rPr>
        <w:t>Ng</w:t>
      </w:r>
      <w:r w:rsidRPr="005563C3">
        <w:rPr>
          <w:rFonts w:eastAsia="Calibri" w:cs="Calibri"/>
        </w:rPr>
        <w:t>ā</w:t>
      </w:r>
      <w:proofErr w:type="spellEnd"/>
      <w:r>
        <w:rPr>
          <w:rFonts w:eastAsia="Calibri" w:cs="Calibri"/>
        </w:rPr>
        <w:t xml:space="preserve"> </w:t>
      </w:r>
      <w:proofErr w:type="spellStart"/>
      <w:r>
        <w:rPr>
          <w:rFonts w:eastAsia="Calibri" w:cs="Calibri"/>
        </w:rPr>
        <w:t>Wairiki</w:t>
      </w:r>
      <w:proofErr w:type="spellEnd"/>
      <w:r>
        <w:rPr>
          <w:rFonts w:eastAsia="Calibri" w:cs="Calibri"/>
        </w:rPr>
        <w:t xml:space="preserve"> </w:t>
      </w:r>
      <w:proofErr w:type="spellStart"/>
      <w:r>
        <w:rPr>
          <w:rFonts w:eastAsia="Calibri" w:cs="Calibri"/>
        </w:rPr>
        <w:t>Ng</w:t>
      </w:r>
      <w:r w:rsidRPr="005563C3">
        <w:rPr>
          <w:rFonts w:eastAsia="Calibri" w:cs="Calibri"/>
        </w:rPr>
        <w:t>ā</w:t>
      </w:r>
      <w:r>
        <w:rPr>
          <w:rFonts w:eastAsia="Calibri" w:cs="Calibri"/>
        </w:rPr>
        <w:t>ti</w:t>
      </w:r>
      <w:proofErr w:type="spellEnd"/>
      <w:r>
        <w:rPr>
          <w:rFonts w:eastAsia="Calibri" w:cs="Calibri"/>
        </w:rPr>
        <w:t xml:space="preserve"> </w:t>
      </w:r>
      <w:proofErr w:type="spellStart"/>
      <w:r>
        <w:rPr>
          <w:rFonts w:eastAsia="Calibri" w:cs="Calibri"/>
        </w:rPr>
        <w:t>Apa</w:t>
      </w:r>
      <w:proofErr w:type="spellEnd"/>
      <w:r>
        <w:rPr>
          <w:rFonts w:eastAsia="Calibri" w:cs="Calibri"/>
        </w:rPr>
        <w:t xml:space="preserve"> – ongoing engagement relating to the Lake Alice Chil</w:t>
      </w:r>
      <w:r w:rsidR="00196AE7">
        <w:rPr>
          <w:rFonts w:eastAsia="Calibri" w:cs="Calibri"/>
        </w:rPr>
        <w:t>d Adolescent Unit investigation,</w:t>
      </w:r>
      <w:r>
        <w:rPr>
          <w:rFonts w:eastAsia="Calibri" w:cs="Calibri"/>
        </w:rPr>
        <w:t xml:space="preserve"> acknowledging the impact of the institution in their </w:t>
      </w:r>
      <w:proofErr w:type="spellStart"/>
      <w:r>
        <w:rPr>
          <w:rFonts w:eastAsia="Calibri" w:cs="Calibri"/>
        </w:rPr>
        <w:t>rohe</w:t>
      </w:r>
      <w:proofErr w:type="spellEnd"/>
      <w:r>
        <w:rPr>
          <w:rFonts w:eastAsia="Calibri" w:cs="Calibri"/>
        </w:rPr>
        <w:t xml:space="preserve">. </w:t>
      </w:r>
    </w:p>
    <w:p w14:paraId="4ED052D2" w14:textId="719AFF7A" w:rsidR="00A46D50" w:rsidRPr="00A46D50" w:rsidRDefault="00A46D50" w:rsidP="003F2939">
      <w:pPr>
        <w:numPr>
          <w:ilvl w:val="0"/>
          <w:numId w:val="22"/>
        </w:numPr>
        <w:spacing w:before="80" w:after="80"/>
        <w:ind w:left="284" w:hanging="284"/>
        <w:rPr>
          <w:rFonts w:eastAsia="Calibri" w:cs="Calibri"/>
        </w:rPr>
      </w:pPr>
      <w:proofErr w:type="spellStart"/>
      <w:r w:rsidRPr="00376C06">
        <w:rPr>
          <w:rFonts w:eastAsia="Calibri" w:cs="Calibri"/>
        </w:rPr>
        <w:t>Muaupoko</w:t>
      </w:r>
      <w:proofErr w:type="spellEnd"/>
      <w:r w:rsidRPr="00376C06">
        <w:rPr>
          <w:rFonts w:eastAsia="Calibri" w:cs="Calibri"/>
        </w:rPr>
        <w:t xml:space="preserve"> Tribal Authority – ongoing engagement relating to </w:t>
      </w:r>
      <w:proofErr w:type="spellStart"/>
      <w:r w:rsidRPr="00376C06">
        <w:rPr>
          <w:rFonts w:eastAsia="Calibri" w:cs="Calibri"/>
        </w:rPr>
        <w:t>Kohitere</w:t>
      </w:r>
      <w:proofErr w:type="spellEnd"/>
      <w:r w:rsidRPr="00376C06">
        <w:rPr>
          <w:rFonts w:eastAsia="Calibri" w:cs="Calibri"/>
        </w:rPr>
        <w:t xml:space="preserve"> Boy’s Training Centre, </w:t>
      </w:r>
      <w:proofErr w:type="spellStart"/>
      <w:r w:rsidRPr="00376C06">
        <w:rPr>
          <w:rFonts w:eastAsia="Calibri" w:cs="Calibri"/>
        </w:rPr>
        <w:t>Hokio</w:t>
      </w:r>
      <w:proofErr w:type="spellEnd"/>
      <w:r w:rsidRPr="00376C06">
        <w:rPr>
          <w:rFonts w:eastAsia="Calibri" w:cs="Calibri"/>
        </w:rPr>
        <w:t xml:space="preserve"> Beach Training School and Kimberley Hospital</w:t>
      </w:r>
      <w:r>
        <w:rPr>
          <w:rFonts w:eastAsia="Calibri" w:cs="Calibri"/>
        </w:rPr>
        <w:t xml:space="preserve">, which </w:t>
      </w:r>
      <w:r w:rsidRPr="00376C06">
        <w:rPr>
          <w:rFonts w:eastAsia="Calibri" w:cs="Calibri"/>
        </w:rPr>
        <w:t xml:space="preserve">were </w:t>
      </w:r>
      <w:r>
        <w:rPr>
          <w:rFonts w:eastAsia="Calibri" w:cs="Calibri"/>
        </w:rPr>
        <w:t xml:space="preserve">all </w:t>
      </w:r>
      <w:r w:rsidRPr="00376C06">
        <w:rPr>
          <w:rFonts w:eastAsia="Calibri" w:cs="Calibri"/>
        </w:rPr>
        <w:t xml:space="preserve">located in their </w:t>
      </w:r>
      <w:proofErr w:type="spellStart"/>
      <w:r w:rsidRPr="00376C06">
        <w:rPr>
          <w:rFonts w:eastAsia="Calibri" w:cs="Calibri"/>
        </w:rPr>
        <w:t>rohe</w:t>
      </w:r>
      <w:proofErr w:type="spellEnd"/>
      <w:r w:rsidRPr="00376C06">
        <w:rPr>
          <w:rFonts w:eastAsia="Calibri" w:cs="Calibri"/>
        </w:rPr>
        <w:t xml:space="preserve">. </w:t>
      </w:r>
      <w:r>
        <w:rPr>
          <w:rFonts w:eastAsia="Calibri" w:cs="Calibri"/>
        </w:rPr>
        <w:br/>
      </w:r>
    </w:p>
    <w:p w14:paraId="6BEEB76E" w14:textId="5992A40E" w:rsidR="00A15307" w:rsidRPr="00B06E5C" w:rsidRDefault="00BE67AB" w:rsidP="00076CAF">
      <w:pPr>
        <w:rPr>
          <w:rFonts w:asciiTheme="minorHAnsi" w:hAnsiTheme="minorHAnsi" w:cstheme="minorHAnsi"/>
        </w:rPr>
      </w:pPr>
      <w:r w:rsidRPr="00B06E5C">
        <w:rPr>
          <w:rFonts w:asciiTheme="minorHAnsi" w:hAnsiTheme="minorHAnsi" w:cstheme="minorHAnsi"/>
          <w:u w:val="single"/>
        </w:rPr>
        <w:t>Communications</w:t>
      </w:r>
      <w:r w:rsidR="00415337">
        <w:rPr>
          <w:rFonts w:asciiTheme="minorHAnsi" w:hAnsiTheme="minorHAnsi" w:cstheme="minorHAnsi"/>
          <w:u w:val="single"/>
        </w:rPr>
        <w:t>/Media</w:t>
      </w:r>
    </w:p>
    <w:p w14:paraId="7F1CFF0A" w14:textId="52E254DB" w:rsidR="00B06E5C" w:rsidRPr="00B06E5C" w:rsidRDefault="00B06E5C" w:rsidP="00B06E5C">
      <w:pPr>
        <w:rPr>
          <w:rFonts w:asciiTheme="minorHAnsi" w:hAnsiTheme="minorHAnsi" w:cstheme="minorHAnsi"/>
        </w:rPr>
      </w:pPr>
      <w:r w:rsidRPr="00B06E5C">
        <w:rPr>
          <w:rFonts w:asciiTheme="minorHAnsi" w:hAnsiTheme="minorHAnsi" w:cstheme="minorHAnsi"/>
        </w:rPr>
        <w:t>The Commission was mentioned 305 times in the media between 1 Jan</w:t>
      </w:r>
      <w:r w:rsidR="0057734D">
        <w:rPr>
          <w:rFonts w:asciiTheme="minorHAnsi" w:hAnsiTheme="minorHAnsi" w:cstheme="minorHAnsi"/>
        </w:rPr>
        <w:t>uary</w:t>
      </w:r>
      <w:r w:rsidRPr="00B06E5C">
        <w:rPr>
          <w:rFonts w:asciiTheme="minorHAnsi" w:hAnsiTheme="minorHAnsi" w:cstheme="minorHAnsi"/>
        </w:rPr>
        <w:t xml:space="preserve"> and 31 March 2021. Through targeted outreach, this includes a 60% increase in Māori media coverage. These mentions reached a cumulative potential audience of 10.6 million (and if paid for in advertising would have cost $2.3 million). </w:t>
      </w:r>
      <w:proofErr w:type="gramStart"/>
      <w:r w:rsidRPr="00B06E5C">
        <w:rPr>
          <w:rFonts w:asciiTheme="minorHAnsi" w:hAnsiTheme="minorHAnsi" w:cstheme="minorHAnsi"/>
        </w:rPr>
        <w:t>The majority of</w:t>
      </w:r>
      <w:proofErr w:type="gramEnd"/>
      <w:r w:rsidRPr="00B06E5C">
        <w:rPr>
          <w:rFonts w:asciiTheme="minorHAnsi" w:hAnsiTheme="minorHAnsi" w:cstheme="minorHAnsi"/>
        </w:rPr>
        <w:t xml:space="preserve"> coverage was in relation to </w:t>
      </w:r>
      <w:r w:rsidR="004973F3">
        <w:rPr>
          <w:rFonts w:asciiTheme="minorHAnsi" w:hAnsiTheme="minorHAnsi" w:cstheme="minorHAnsi"/>
        </w:rPr>
        <w:t xml:space="preserve">the second phase </w:t>
      </w:r>
      <w:r w:rsidRPr="00B06E5C">
        <w:rPr>
          <w:rFonts w:asciiTheme="minorHAnsi" w:hAnsiTheme="minorHAnsi" w:cstheme="minorHAnsi"/>
        </w:rPr>
        <w:t>of</w:t>
      </w:r>
      <w:r w:rsidR="004973F3">
        <w:rPr>
          <w:rFonts w:asciiTheme="minorHAnsi" w:hAnsiTheme="minorHAnsi" w:cstheme="minorHAnsi"/>
        </w:rPr>
        <w:t xml:space="preserve"> the</w:t>
      </w:r>
      <w:r w:rsidRPr="00B06E5C">
        <w:rPr>
          <w:rFonts w:asciiTheme="minorHAnsi" w:hAnsiTheme="minorHAnsi" w:cstheme="minorHAnsi"/>
        </w:rPr>
        <w:t xml:space="preserve"> Faith-based Redress hearing (218 mentions in the media).</w:t>
      </w:r>
    </w:p>
    <w:p w14:paraId="4338FEA8" w14:textId="1125928D" w:rsidR="00C77C02" w:rsidRPr="00B06E5C" w:rsidRDefault="00415337" w:rsidP="00B06E5C">
      <w:pPr>
        <w:rPr>
          <w:rFonts w:asciiTheme="minorHAnsi" w:hAnsiTheme="minorHAnsi" w:cstheme="minorHAnsi"/>
        </w:rPr>
      </w:pPr>
      <w:r>
        <w:rPr>
          <w:rFonts w:asciiTheme="minorHAnsi" w:hAnsiTheme="minorHAnsi" w:cstheme="minorHAnsi"/>
        </w:rPr>
        <w:t>T</w:t>
      </w:r>
      <w:r w:rsidR="00B06E5C" w:rsidRPr="00B06E5C">
        <w:rPr>
          <w:rFonts w:asciiTheme="minorHAnsi" w:hAnsiTheme="minorHAnsi" w:cstheme="minorHAnsi"/>
        </w:rPr>
        <w:t xml:space="preserve">he </w:t>
      </w:r>
      <w:proofErr w:type="gramStart"/>
      <w:r w:rsidR="00436E41">
        <w:rPr>
          <w:rFonts w:asciiTheme="minorHAnsi" w:hAnsiTheme="minorHAnsi" w:cstheme="minorHAnsi"/>
        </w:rPr>
        <w:t xml:space="preserve">first of four </w:t>
      </w:r>
      <w:r w:rsidR="00436E41" w:rsidRPr="00B06E5C">
        <w:rPr>
          <w:rFonts w:asciiTheme="minorHAnsi" w:hAnsiTheme="minorHAnsi" w:cstheme="minorHAnsi"/>
        </w:rPr>
        <w:t>regional</w:t>
      </w:r>
      <w:proofErr w:type="gramEnd"/>
      <w:r w:rsidR="00B06E5C" w:rsidRPr="00B06E5C">
        <w:rPr>
          <w:rFonts w:asciiTheme="minorHAnsi" w:hAnsiTheme="minorHAnsi" w:cstheme="minorHAnsi"/>
        </w:rPr>
        <w:t xml:space="preserve"> hui around the country this year</w:t>
      </w:r>
      <w:r>
        <w:rPr>
          <w:rFonts w:asciiTheme="minorHAnsi" w:hAnsiTheme="minorHAnsi" w:cstheme="minorHAnsi"/>
        </w:rPr>
        <w:t xml:space="preserve"> will be held in April 2021</w:t>
      </w:r>
      <w:r w:rsidR="00B06E5C" w:rsidRPr="00B06E5C">
        <w:rPr>
          <w:rFonts w:asciiTheme="minorHAnsi" w:hAnsiTheme="minorHAnsi" w:cstheme="minorHAnsi"/>
        </w:rPr>
        <w:t xml:space="preserve"> – </w:t>
      </w:r>
      <w:proofErr w:type="spellStart"/>
      <w:r w:rsidR="00B06E5C" w:rsidRPr="00B06E5C">
        <w:rPr>
          <w:rFonts w:asciiTheme="minorHAnsi" w:hAnsiTheme="minorHAnsi" w:cstheme="minorHAnsi"/>
        </w:rPr>
        <w:t>Kōrero</w:t>
      </w:r>
      <w:proofErr w:type="spellEnd"/>
      <w:r w:rsidR="00B06E5C" w:rsidRPr="00B06E5C">
        <w:rPr>
          <w:rFonts w:asciiTheme="minorHAnsi" w:hAnsiTheme="minorHAnsi" w:cstheme="minorHAnsi"/>
        </w:rPr>
        <w:t xml:space="preserve"> </w:t>
      </w:r>
      <w:proofErr w:type="spellStart"/>
      <w:r w:rsidR="00B06E5C" w:rsidRPr="00B06E5C">
        <w:rPr>
          <w:rFonts w:asciiTheme="minorHAnsi" w:hAnsiTheme="minorHAnsi" w:cstheme="minorHAnsi"/>
        </w:rPr>
        <w:t>ki</w:t>
      </w:r>
      <w:proofErr w:type="spellEnd"/>
      <w:r w:rsidR="00B06E5C" w:rsidRPr="00B06E5C">
        <w:rPr>
          <w:rFonts w:asciiTheme="minorHAnsi" w:hAnsiTheme="minorHAnsi" w:cstheme="minorHAnsi"/>
        </w:rPr>
        <w:t xml:space="preserve"> </w:t>
      </w:r>
      <w:proofErr w:type="spellStart"/>
      <w:r w:rsidR="00B06E5C" w:rsidRPr="00B06E5C">
        <w:rPr>
          <w:rFonts w:asciiTheme="minorHAnsi" w:hAnsiTheme="minorHAnsi" w:cstheme="minorHAnsi"/>
        </w:rPr>
        <w:t>te</w:t>
      </w:r>
      <w:proofErr w:type="spellEnd"/>
      <w:r w:rsidR="00B06E5C" w:rsidRPr="00B06E5C">
        <w:rPr>
          <w:rFonts w:asciiTheme="minorHAnsi" w:hAnsiTheme="minorHAnsi" w:cstheme="minorHAnsi"/>
        </w:rPr>
        <w:t xml:space="preserve"> </w:t>
      </w:r>
      <w:proofErr w:type="spellStart"/>
      <w:r w:rsidR="00B06E5C" w:rsidRPr="00B06E5C">
        <w:rPr>
          <w:rFonts w:asciiTheme="minorHAnsi" w:hAnsiTheme="minorHAnsi" w:cstheme="minorHAnsi"/>
        </w:rPr>
        <w:t>Tāngata</w:t>
      </w:r>
      <w:proofErr w:type="spellEnd"/>
      <w:r w:rsidR="00B06E5C" w:rsidRPr="00B06E5C">
        <w:rPr>
          <w:rFonts w:asciiTheme="minorHAnsi" w:hAnsiTheme="minorHAnsi" w:cstheme="minorHAnsi"/>
        </w:rPr>
        <w:t xml:space="preserve"> (Talk with the People)</w:t>
      </w:r>
      <w:r>
        <w:rPr>
          <w:rFonts w:asciiTheme="minorHAnsi" w:hAnsiTheme="minorHAnsi" w:cstheme="minorHAnsi"/>
        </w:rPr>
        <w:t xml:space="preserve">. </w:t>
      </w:r>
      <w:r w:rsidR="00C77C02">
        <w:rPr>
          <w:rFonts w:asciiTheme="minorHAnsi" w:hAnsiTheme="minorHAnsi" w:cstheme="minorHAnsi"/>
        </w:rPr>
        <w:t xml:space="preserve">The hui which will be conducted in an informal drop-in style, provide the opportunity for local communities, especially survivors, to find out more about the Inquiry, our mahi as well information on how people can get involved. </w:t>
      </w:r>
    </w:p>
    <w:p w14:paraId="54F84795" w14:textId="77777777" w:rsidR="00B06E5C" w:rsidRPr="00B06E5C" w:rsidRDefault="00B06E5C" w:rsidP="00B06E5C">
      <w:pPr>
        <w:rPr>
          <w:rFonts w:asciiTheme="minorHAnsi" w:hAnsiTheme="minorHAnsi" w:cstheme="minorHAnsi"/>
        </w:rPr>
      </w:pPr>
      <w:r w:rsidRPr="00B06E5C">
        <w:rPr>
          <w:rFonts w:asciiTheme="minorHAnsi" w:hAnsiTheme="minorHAnsi" w:cstheme="minorHAnsi"/>
        </w:rPr>
        <w:t xml:space="preserve">Specific initiatives proposed in the April to June 2021 quarter include: </w:t>
      </w:r>
    </w:p>
    <w:p w14:paraId="53DEF12D" w14:textId="2F5B4C2A" w:rsidR="00B06E5C" w:rsidRPr="00304125" w:rsidRDefault="00B06E5C" w:rsidP="003F2939">
      <w:pPr>
        <w:pStyle w:val="ListParagraph"/>
        <w:keepLines w:val="0"/>
        <w:numPr>
          <w:ilvl w:val="0"/>
          <w:numId w:val="24"/>
        </w:numPr>
        <w:ind w:left="714" w:hanging="357"/>
      </w:pPr>
      <w:r w:rsidRPr="00304125">
        <w:t>supporting and planning for the Redress Investigation’s public consultation</w:t>
      </w:r>
      <w:r>
        <w:t>;</w:t>
      </w:r>
    </w:p>
    <w:p w14:paraId="2AD72138" w14:textId="09DF4477" w:rsidR="00B06E5C" w:rsidRPr="00304125" w:rsidRDefault="00B06E5C" w:rsidP="003F2939">
      <w:pPr>
        <w:pStyle w:val="ListParagraph"/>
        <w:keepLines w:val="0"/>
        <w:numPr>
          <w:ilvl w:val="0"/>
          <w:numId w:val="24"/>
        </w:numPr>
        <w:ind w:left="714" w:hanging="357"/>
      </w:pPr>
      <w:r w:rsidRPr="00304125">
        <w:lastRenderedPageBreak/>
        <w:t>significant internal and external support for activity resulting from</w:t>
      </w:r>
      <w:r w:rsidR="00CE012E">
        <w:t xml:space="preserve"> the</w:t>
      </w:r>
      <w:r w:rsidRPr="00304125">
        <w:t xml:space="preserve"> budget announcement</w:t>
      </w:r>
      <w:r>
        <w:t xml:space="preserve">; </w:t>
      </w:r>
    </w:p>
    <w:p w14:paraId="1A221AF7" w14:textId="77777777" w:rsidR="00B06E5C" w:rsidRPr="00304125" w:rsidRDefault="00B06E5C" w:rsidP="003F2939">
      <w:pPr>
        <w:pStyle w:val="ListParagraph"/>
        <w:keepLines w:val="0"/>
        <w:numPr>
          <w:ilvl w:val="0"/>
          <w:numId w:val="24"/>
        </w:numPr>
        <w:ind w:left="714" w:hanging="357"/>
      </w:pPr>
      <w:r w:rsidRPr="00304125">
        <w:t xml:space="preserve">planning for the launch of a refreshed website; </w:t>
      </w:r>
    </w:p>
    <w:p w14:paraId="2971435C" w14:textId="77777777" w:rsidR="00B06E5C" w:rsidRPr="00304125" w:rsidRDefault="00B06E5C" w:rsidP="003F2939">
      <w:pPr>
        <w:pStyle w:val="ListParagraph"/>
        <w:keepLines w:val="0"/>
        <w:numPr>
          <w:ilvl w:val="0"/>
          <w:numId w:val="24"/>
        </w:numPr>
        <w:ind w:left="714" w:hanging="357"/>
      </w:pPr>
      <w:r w:rsidRPr="00304125">
        <w:t>updating and refreshing our collateral suite</w:t>
      </w:r>
      <w:r>
        <w:t>;</w:t>
      </w:r>
    </w:p>
    <w:p w14:paraId="7931DACA" w14:textId="77777777" w:rsidR="00B06E5C" w:rsidRPr="00304125" w:rsidRDefault="00B06E5C" w:rsidP="003F2939">
      <w:pPr>
        <w:pStyle w:val="ListParagraph"/>
        <w:keepLines w:val="0"/>
        <w:numPr>
          <w:ilvl w:val="0"/>
          <w:numId w:val="24"/>
        </w:numPr>
        <w:ind w:left="714" w:hanging="357"/>
      </w:pPr>
      <w:r w:rsidRPr="00304125">
        <w:t xml:space="preserve">developing and finalising strategies for each investigation; </w:t>
      </w:r>
    </w:p>
    <w:p w14:paraId="08A36455" w14:textId="56B43828" w:rsidR="00B06E5C" w:rsidRDefault="00B06E5C" w:rsidP="003F2939">
      <w:pPr>
        <w:pStyle w:val="ListParagraph"/>
        <w:keepLines w:val="0"/>
        <w:numPr>
          <w:ilvl w:val="0"/>
          <w:numId w:val="24"/>
        </w:numPr>
        <w:ind w:left="714" w:hanging="357"/>
      </w:pPr>
      <w:r w:rsidRPr="00304125">
        <w:t>production and publication of a series of videos covering key aspects of the Inquiry’s work</w:t>
      </w:r>
      <w:r>
        <w:t>.</w:t>
      </w:r>
      <w:r w:rsidRPr="00304125">
        <w:t xml:space="preserve"> </w:t>
      </w:r>
      <w:r w:rsidR="004973F3">
        <w:br/>
      </w:r>
    </w:p>
    <w:p w14:paraId="4E524D24" w14:textId="30A5DE3B" w:rsidR="006221E5" w:rsidRPr="00B06E5C" w:rsidRDefault="002130EF" w:rsidP="00205247">
      <w:pPr>
        <w:keepLines w:val="0"/>
      </w:pPr>
      <w:r w:rsidRPr="00CF346B">
        <w:rPr>
          <w:b/>
          <w:color w:val="000000"/>
        </w:rPr>
        <w:t>Organisational Development</w:t>
      </w:r>
      <w:r w:rsidR="00205247" w:rsidRPr="00CF346B">
        <w:rPr>
          <w:b/>
          <w:color w:val="000000"/>
        </w:rPr>
        <w:t xml:space="preserve"> </w:t>
      </w:r>
    </w:p>
    <w:p w14:paraId="67A3D904" w14:textId="1D53C51F" w:rsidR="006221E5" w:rsidRDefault="006221E5" w:rsidP="00205247">
      <w:pPr>
        <w:keepLines w:val="0"/>
        <w:rPr>
          <w:rFonts w:asciiTheme="minorHAnsi" w:hAnsiTheme="minorHAnsi" w:cstheme="minorHAnsi"/>
        </w:rPr>
      </w:pPr>
      <w:r w:rsidRPr="00436E41">
        <w:t>Work</w:t>
      </w:r>
      <w:r w:rsidR="004346D3" w:rsidRPr="00436E41">
        <w:t xml:space="preserve"> on two key initiatives, embedding </w:t>
      </w:r>
      <w:proofErr w:type="spellStart"/>
      <w:r w:rsidR="004346D3" w:rsidRPr="00436E41">
        <w:t>tikangi</w:t>
      </w:r>
      <w:proofErr w:type="spellEnd"/>
      <w:r w:rsidR="004346D3" w:rsidRPr="00436E41">
        <w:t xml:space="preserve"> and </w:t>
      </w:r>
      <w:proofErr w:type="spellStart"/>
      <w:r w:rsidR="004346D3" w:rsidRPr="00436E41">
        <w:t>Te</w:t>
      </w:r>
      <w:proofErr w:type="spellEnd"/>
      <w:r w:rsidR="004346D3" w:rsidRPr="00436E41">
        <w:t xml:space="preserve"> </w:t>
      </w:r>
      <w:proofErr w:type="spellStart"/>
      <w:r w:rsidR="004346D3" w:rsidRPr="00436E41">
        <w:t>Ao</w:t>
      </w:r>
      <w:proofErr w:type="spellEnd"/>
      <w:r w:rsidR="004346D3" w:rsidRPr="00436E41">
        <w:t xml:space="preserve"> Māori into our mahi </w:t>
      </w:r>
      <w:r w:rsidR="00635DE4">
        <w:t xml:space="preserve">(work) </w:t>
      </w:r>
      <w:r w:rsidR="004346D3" w:rsidRPr="00436E41">
        <w:t xml:space="preserve">as well as a review of the </w:t>
      </w:r>
      <w:r w:rsidR="00C77C02">
        <w:t>Inquiry</w:t>
      </w:r>
      <w:r w:rsidR="004346D3" w:rsidRPr="00436E41">
        <w:t xml:space="preserve">’s </w:t>
      </w:r>
      <w:r w:rsidR="004346D3">
        <w:t>practices and process</w:t>
      </w:r>
      <w:r w:rsidR="0057734D">
        <w:t>es</w:t>
      </w:r>
      <w:r w:rsidR="004346D3">
        <w:t xml:space="preserve"> through a disability lens continued to progress during this quarter. The development of an internal wellbeing framework and programme for the secretariat is </w:t>
      </w:r>
      <w:r w:rsidR="00A46D50">
        <w:t xml:space="preserve">nearing completion and it is anticipated with be </w:t>
      </w:r>
      <w:r w:rsidR="00635DE4">
        <w:t xml:space="preserve">finalised </w:t>
      </w:r>
      <w:r w:rsidR="004346D3">
        <w:t xml:space="preserve">in the next quarter. </w:t>
      </w:r>
    </w:p>
    <w:p w14:paraId="41ACAF5B" w14:textId="6586BBF5" w:rsidR="00CE012E" w:rsidRPr="004973F3" w:rsidRDefault="00BE67AB" w:rsidP="00410501">
      <w:pPr>
        <w:keepLines w:val="0"/>
        <w:spacing w:before="240" w:after="120"/>
        <w:rPr>
          <w:rFonts w:ascii="Arial" w:hAnsi="Arial" w:cs="Arial"/>
          <w:sz w:val="22"/>
          <w:szCs w:val="22"/>
        </w:rPr>
      </w:pPr>
      <w:r w:rsidRPr="00A30EA4">
        <w:rPr>
          <w:b/>
        </w:rPr>
        <w:t>Risks</w:t>
      </w:r>
      <w:r w:rsidRPr="002B3126">
        <w:rPr>
          <w:b/>
          <w:highlight w:val="yellow"/>
        </w:rPr>
        <w:br/>
      </w:r>
      <w:r w:rsidR="004973F3">
        <w:rPr>
          <w:rFonts w:ascii="Arial" w:hAnsi="Arial" w:cs="Arial"/>
          <w:sz w:val="22"/>
          <w:szCs w:val="22"/>
        </w:rPr>
        <w:br/>
      </w:r>
      <w:r w:rsidR="00CE012E" w:rsidRPr="00410501">
        <w:rPr>
          <w:rFonts w:cs="Calibri"/>
        </w:rPr>
        <w:t xml:space="preserve">The </w:t>
      </w:r>
      <w:r w:rsidR="00C77C02">
        <w:rPr>
          <w:rFonts w:cs="Calibri"/>
        </w:rPr>
        <w:t>Inquiry</w:t>
      </w:r>
      <w:r w:rsidR="00CE012E" w:rsidRPr="00410501">
        <w:rPr>
          <w:rFonts w:cs="Calibri"/>
        </w:rPr>
        <w:t xml:space="preserve"> has developed an Enterprise Risk Register </w:t>
      </w:r>
      <w:r w:rsidR="00382170" w:rsidRPr="00410501">
        <w:rPr>
          <w:rFonts w:cs="Calibri"/>
        </w:rPr>
        <w:t xml:space="preserve">to record and manage the key risks facing </w:t>
      </w:r>
      <w:r w:rsidR="00C77C02">
        <w:rPr>
          <w:rFonts w:cs="Calibri"/>
        </w:rPr>
        <w:t>it.</w:t>
      </w:r>
      <w:r w:rsidR="00382170" w:rsidRPr="00410501">
        <w:rPr>
          <w:rFonts w:cs="Calibri"/>
        </w:rPr>
        <w:t xml:space="preserve"> </w:t>
      </w:r>
      <w:r w:rsidR="00CE012E" w:rsidRPr="00410501">
        <w:rPr>
          <w:rFonts w:cs="Calibri"/>
        </w:rPr>
        <w:t xml:space="preserve">The Enterprise Risk Register </w:t>
      </w:r>
      <w:r w:rsidR="00382170" w:rsidRPr="00410501">
        <w:rPr>
          <w:rFonts w:cs="Calibri"/>
        </w:rPr>
        <w:t xml:space="preserve">is reported to Commissioners monthly and assists them to maintain an overview of key </w:t>
      </w:r>
      <w:r w:rsidR="00CE012E" w:rsidRPr="00410501">
        <w:rPr>
          <w:rFonts w:cs="Calibri"/>
        </w:rPr>
        <w:t xml:space="preserve">risks </w:t>
      </w:r>
      <w:r w:rsidR="00382170" w:rsidRPr="00410501">
        <w:rPr>
          <w:rFonts w:cs="Calibri"/>
        </w:rPr>
        <w:t>and to monitor</w:t>
      </w:r>
      <w:r w:rsidR="00CE012E" w:rsidRPr="00410501">
        <w:rPr>
          <w:rFonts w:cs="Calibri"/>
        </w:rPr>
        <w:t xml:space="preserve"> existing controls and their relative effectiveness in managing risk over time.</w:t>
      </w:r>
    </w:p>
    <w:p w14:paraId="029A9DA3" w14:textId="310DEDCB" w:rsidR="00B61F26" w:rsidRDefault="00B61F26">
      <w:pPr>
        <w:keepLines w:val="0"/>
        <w:rPr>
          <w:b/>
        </w:rPr>
      </w:pPr>
    </w:p>
    <w:p w14:paraId="43CDE212" w14:textId="77777777" w:rsidR="00BE67AB" w:rsidRDefault="00BE67AB">
      <w:pPr>
        <w:keepLines w:val="0"/>
        <w:rPr>
          <w:rFonts w:cs="Arial"/>
          <w:b/>
          <w:bCs/>
          <w:color w:val="1F546B" w:themeColor="text2"/>
          <w:kern w:val="32"/>
          <w:sz w:val="52"/>
          <w:szCs w:val="32"/>
        </w:rPr>
      </w:pPr>
      <w:r>
        <w:br w:type="page"/>
      </w:r>
    </w:p>
    <w:p w14:paraId="4C66973E" w14:textId="77777777" w:rsidR="00BE67AB" w:rsidRPr="00BE67AB" w:rsidRDefault="00BE67AB" w:rsidP="00BE67AB">
      <w:pPr>
        <w:pStyle w:val="Heading1"/>
      </w:pPr>
      <w:r w:rsidRPr="00BE67AB">
        <w:lastRenderedPageBreak/>
        <w:t xml:space="preserve">Key performance indicators </w:t>
      </w:r>
    </w:p>
    <w:p w14:paraId="4A155B2A" w14:textId="2F6E2054" w:rsidR="00664521" w:rsidRPr="00664521" w:rsidRDefault="00BE67AB" w:rsidP="00664521">
      <w:pPr>
        <w:rPr>
          <w:rFonts w:cs="Arial"/>
          <w:b/>
          <w:bCs/>
          <w:color w:val="1F536A"/>
          <w:sz w:val="36"/>
          <w:szCs w:val="36"/>
        </w:rPr>
      </w:pPr>
      <w:r w:rsidRPr="52C751B9">
        <w:rPr>
          <w:rFonts w:cs="Arial"/>
          <w:b/>
          <w:bCs/>
          <w:color w:val="1F536A"/>
          <w:sz w:val="36"/>
          <w:szCs w:val="36"/>
        </w:rPr>
        <w:t xml:space="preserve">Organisational Delivery </w:t>
      </w:r>
      <w:r w:rsidR="00834B76">
        <w:br/>
      </w:r>
      <w:r w:rsidR="00664521">
        <w:br/>
      </w:r>
      <w:r w:rsidR="00664521" w:rsidRPr="0057734D">
        <w:rPr>
          <w:b/>
          <w:bCs/>
          <w:i/>
          <w:color w:val="1F546B" w:themeColor="text2"/>
          <w:szCs w:val="28"/>
        </w:rPr>
        <w:t>Interim Report</w:t>
      </w:r>
    </w:p>
    <w:p w14:paraId="22656982" w14:textId="37987F9C" w:rsidR="00664521" w:rsidRDefault="00664521" w:rsidP="00664521">
      <w:r>
        <w:t>The Inquiry is to provide an interim report on its work, in writing, by 28 December 2020. The report will be in two parts – a substantive interim report and an administrative interim report.</w:t>
      </w:r>
    </w:p>
    <w:tbl>
      <w:tblPr>
        <w:tblStyle w:val="DIATable"/>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7655"/>
        <w:gridCol w:w="1276"/>
      </w:tblGrid>
      <w:tr w:rsidR="00664521" w14:paraId="64CBB025" w14:textId="77777777" w:rsidTr="00A172F7">
        <w:trPr>
          <w:cnfStyle w:val="100000000000" w:firstRow="1" w:lastRow="0" w:firstColumn="0" w:lastColumn="0" w:oddVBand="0" w:evenVBand="0" w:oddHBand="0" w:evenHBand="0" w:firstRowFirstColumn="0" w:firstRowLastColumn="0" w:lastRowFirstColumn="0" w:lastRowLastColumn="0"/>
        </w:trPr>
        <w:tc>
          <w:tcPr>
            <w:tcW w:w="76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tcPr>
          <w:p w14:paraId="278D5F65" w14:textId="759C1734" w:rsidR="00664521" w:rsidRPr="001045F5" w:rsidRDefault="00664521" w:rsidP="00E56462">
            <w:pPr>
              <w:spacing w:before="40" w:after="40" w:line="259" w:lineRule="auto"/>
              <w:rPr>
                <w:color w:val="auto"/>
                <w:highlight w:val="yellow"/>
              </w:rPr>
            </w:pPr>
            <w:r w:rsidRPr="001045F5">
              <w:rPr>
                <w:bCs/>
                <w:color w:val="auto"/>
              </w:rPr>
              <w:t xml:space="preserve">How we will monitor our performance </w:t>
            </w:r>
            <w:r w:rsidRPr="001045F5">
              <w:rPr>
                <w:bCs/>
                <w:color w:val="auto"/>
              </w:rPr>
              <w:tab/>
            </w:r>
            <w:r>
              <w:rPr>
                <w:bCs/>
                <w:color w:val="auto"/>
              </w:rPr>
              <w:t xml:space="preserve">                         </w:t>
            </w:r>
          </w:p>
        </w:tc>
        <w:tc>
          <w:tcPr>
            <w:tcW w:w="127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tcPr>
          <w:p w14:paraId="75915DE2" w14:textId="19DCA921" w:rsidR="00664521" w:rsidRPr="001045F5" w:rsidRDefault="00664521" w:rsidP="00E56462">
            <w:pPr>
              <w:spacing w:before="40" w:after="40" w:line="259" w:lineRule="auto"/>
              <w:jc w:val="center"/>
              <w:rPr>
                <w:color w:val="auto"/>
                <w:highlight w:val="yellow"/>
              </w:rPr>
            </w:pPr>
            <w:r w:rsidRPr="001045F5">
              <w:rPr>
                <w:bCs/>
                <w:color w:val="auto"/>
              </w:rPr>
              <w:t>Status</w:t>
            </w:r>
            <w:r>
              <w:rPr>
                <w:bCs/>
                <w:color w:val="auto"/>
              </w:rPr>
              <w:t xml:space="preserve"> </w:t>
            </w:r>
          </w:p>
        </w:tc>
      </w:tr>
      <w:tr w:rsidR="00664521" w14:paraId="4D17DD20" w14:textId="77777777" w:rsidTr="00A172F7">
        <w:tc>
          <w:tcPr>
            <w:tcW w:w="7655" w:type="dxa"/>
            <w:shd w:val="clear" w:color="auto" w:fill="auto"/>
          </w:tcPr>
          <w:p w14:paraId="75315DD2" w14:textId="5AB35A34" w:rsidR="00664521" w:rsidRPr="001B71EA" w:rsidRDefault="00664521" w:rsidP="00E56462">
            <w:pPr>
              <w:spacing w:before="40" w:after="40" w:line="259" w:lineRule="auto"/>
              <w:rPr>
                <w:bCs/>
              </w:rPr>
            </w:pPr>
            <w:r>
              <w:rPr>
                <w:bCs/>
              </w:rPr>
              <w:t xml:space="preserve">Substantive Interim Report </w:t>
            </w:r>
          </w:p>
        </w:tc>
        <w:tc>
          <w:tcPr>
            <w:tcW w:w="1276" w:type="dxa"/>
            <w:shd w:val="clear" w:color="auto" w:fill="auto"/>
          </w:tcPr>
          <w:p w14:paraId="6999D1F0" w14:textId="4B8ABFE2" w:rsidR="00664521" w:rsidRPr="00664521" w:rsidRDefault="00664521" w:rsidP="00E56462">
            <w:pPr>
              <w:spacing w:before="40" w:after="40"/>
              <w:jc w:val="center"/>
              <w:rPr>
                <w:rFonts w:asciiTheme="minorHAnsi" w:eastAsia="Elephant" w:hAnsiTheme="minorHAnsi" w:cstheme="minorHAnsi"/>
                <w:b/>
                <w:color w:val="00B050"/>
                <w:szCs w:val="22"/>
              </w:rPr>
            </w:pPr>
            <w:r w:rsidRPr="00664521">
              <w:rPr>
                <w:rFonts w:asciiTheme="minorHAnsi" w:eastAsia="Elephant" w:hAnsiTheme="minorHAnsi" w:cstheme="minorHAnsi"/>
                <w:b/>
                <w:szCs w:val="22"/>
              </w:rPr>
              <w:t xml:space="preserve">Completed </w:t>
            </w:r>
          </w:p>
        </w:tc>
      </w:tr>
      <w:tr w:rsidR="00664521" w14:paraId="6F056A51" w14:textId="77777777" w:rsidTr="00A172F7">
        <w:trPr>
          <w:gridAfter w:val="1"/>
          <w:wAfter w:w="1276" w:type="dxa"/>
        </w:trPr>
        <w:tc>
          <w:tcPr>
            <w:tcW w:w="7655" w:type="dxa"/>
          </w:tcPr>
          <w:p w14:paraId="16950C4C" w14:textId="7723B8F5" w:rsidR="00664521" w:rsidRDefault="00664521" w:rsidP="00E56462">
            <w:pPr>
              <w:spacing w:before="40" w:after="40"/>
            </w:pPr>
            <w:r>
              <w:t xml:space="preserve">Comments: </w:t>
            </w:r>
            <w:r w:rsidR="00CE668F">
              <w:t>T</w:t>
            </w:r>
            <w:r>
              <w:t xml:space="preserve">he substantive interim report, </w:t>
            </w:r>
            <w:proofErr w:type="spellStart"/>
            <w:r w:rsidRPr="004A43E8">
              <w:rPr>
                <w:rFonts w:asciiTheme="minorHAnsi" w:hAnsiTheme="minorHAnsi" w:cstheme="minorHAnsi"/>
                <w:color w:val="001C2E"/>
                <w:szCs w:val="22"/>
                <w:shd w:val="clear" w:color="auto" w:fill="FFFFFF"/>
              </w:rPr>
              <w:t>Tāwharautia</w:t>
            </w:r>
            <w:proofErr w:type="spellEnd"/>
            <w:r w:rsidRPr="004A43E8">
              <w:rPr>
                <w:rFonts w:asciiTheme="minorHAnsi" w:hAnsiTheme="minorHAnsi" w:cstheme="minorHAnsi"/>
                <w:color w:val="001C2E"/>
                <w:szCs w:val="22"/>
                <w:shd w:val="clear" w:color="auto" w:fill="FFFFFF"/>
              </w:rPr>
              <w:t xml:space="preserve">: </w:t>
            </w:r>
            <w:proofErr w:type="spellStart"/>
            <w:r w:rsidRPr="004A43E8">
              <w:rPr>
                <w:rFonts w:asciiTheme="minorHAnsi" w:hAnsiTheme="minorHAnsi" w:cstheme="minorHAnsi"/>
                <w:color w:val="001C2E"/>
                <w:szCs w:val="22"/>
                <w:shd w:val="clear" w:color="auto" w:fill="FFFFFF"/>
              </w:rPr>
              <w:t>Pūrongo</w:t>
            </w:r>
            <w:proofErr w:type="spellEnd"/>
            <w:r w:rsidRPr="004A43E8">
              <w:rPr>
                <w:rFonts w:asciiTheme="minorHAnsi" w:hAnsiTheme="minorHAnsi" w:cstheme="minorHAnsi"/>
                <w:color w:val="001C2E"/>
                <w:szCs w:val="22"/>
                <w:shd w:val="clear" w:color="auto" w:fill="FFFFFF"/>
              </w:rPr>
              <w:t xml:space="preserve"> o </w:t>
            </w:r>
            <w:proofErr w:type="spellStart"/>
            <w:r w:rsidRPr="004A43E8">
              <w:rPr>
                <w:rFonts w:asciiTheme="minorHAnsi" w:hAnsiTheme="minorHAnsi" w:cstheme="minorHAnsi"/>
                <w:color w:val="001C2E"/>
                <w:szCs w:val="22"/>
                <w:shd w:val="clear" w:color="auto" w:fill="FFFFFF"/>
              </w:rPr>
              <w:t>te</w:t>
            </w:r>
            <w:proofErr w:type="spellEnd"/>
            <w:r w:rsidRPr="004A43E8">
              <w:rPr>
                <w:rFonts w:asciiTheme="minorHAnsi" w:hAnsiTheme="minorHAnsi" w:cstheme="minorHAnsi"/>
                <w:color w:val="001C2E"/>
                <w:szCs w:val="22"/>
                <w:shd w:val="clear" w:color="auto" w:fill="FFFFFF"/>
              </w:rPr>
              <w:t xml:space="preserve"> </w:t>
            </w:r>
            <w:proofErr w:type="spellStart"/>
            <w:r w:rsidRPr="004A43E8">
              <w:rPr>
                <w:rFonts w:asciiTheme="minorHAnsi" w:hAnsiTheme="minorHAnsi" w:cstheme="minorHAnsi"/>
                <w:color w:val="001C2E"/>
                <w:szCs w:val="22"/>
                <w:shd w:val="clear" w:color="auto" w:fill="FFFFFF"/>
              </w:rPr>
              <w:t>Wā</w:t>
            </w:r>
            <w:proofErr w:type="spellEnd"/>
            <w:r w:rsidRPr="004A43E8">
              <w:rPr>
                <w:rFonts w:ascii="Segoe UI" w:hAnsi="Segoe UI" w:cs="Segoe UI"/>
                <w:color w:val="001C2E"/>
                <w:szCs w:val="22"/>
                <w:shd w:val="clear" w:color="auto" w:fill="FFFFFF"/>
              </w:rPr>
              <w:t>,</w:t>
            </w:r>
            <w:r>
              <w:rPr>
                <w:rFonts w:ascii="Segoe UI" w:hAnsi="Segoe UI" w:cs="Segoe UI"/>
                <w:color w:val="001C2E"/>
                <w:sz w:val="27"/>
                <w:szCs w:val="27"/>
                <w:shd w:val="clear" w:color="auto" w:fill="FFFFFF"/>
              </w:rPr>
              <w:t> </w:t>
            </w:r>
            <w:r>
              <w:t xml:space="preserve">was </w:t>
            </w:r>
            <w:r w:rsidR="00CE668F">
              <w:t xml:space="preserve">presented to the </w:t>
            </w:r>
            <w:r>
              <w:t xml:space="preserve">Governor-General on 4 December 2020, meeting the requirements of clause 35 (1) of the terms of reference.  The </w:t>
            </w:r>
            <w:r w:rsidR="000C2E09">
              <w:t xml:space="preserve">report was </w:t>
            </w:r>
            <w:r>
              <w:t>publicly released on 16 December 2020.</w:t>
            </w:r>
          </w:p>
        </w:tc>
      </w:tr>
    </w:tbl>
    <w:p w14:paraId="3DCC93CC" w14:textId="77777777" w:rsidR="00664521" w:rsidRDefault="00664521" w:rsidP="00E56462">
      <w:pPr>
        <w:spacing w:before="40" w:after="40"/>
      </w:pPr>
    </w:p>
    <w:tbl>
      <w:tblPr>
        <w:tblStyle w:val="DIATable"/>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7655"/>
        <w:gridCol w:w="1276"/>
      </w:tblGrid>
      <w:tr w:rsidR="00664521" w14:paraId="59991960" w14:textId="77777777" w:rsidTr="00A172F7">
        <w:trPr>
          <w:cnfStyle w:val="100000000000" w:firstRow="1" w:lastRow="0" w:firstColumn="0" w:lastColumn="0" w:oddVBand="0" w:evenVBand="0" w:oddHBand="0" w:evenHBand="0" w:firstRowFirstColumn="0" w:firstRowLastColumn="0" w:lastRowFirstColumn="0" w:lastRowLastColumn="0"/>
        </w:trPr>
        <w:tc>
          <w:tcPr>
            <w:tcW w:w="765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tcPr>
          <w:p w14:paraId="6C4EC203" w14:textId="3C9685E9" w:rsidR="00664521" w:rsidRPr="001045F5" w:rsidRDefault="00664521" w:rsidP="00E56462">
            <w:pPr>
              <w:spacing w:before="40" w:after="40" w:line="259" w:lineRule="auto"/>
              <w:rPr>
                <w:color w:val="auto"/>
                <w:highlight w:val="yellow"/>
              </w:rPr>
            </w:pPr>
            <w:r w:rsidRPr="001045F5">
              <w:rPr>
                <w:bCs/>
                <w:color w:val="auto"/>
              </w:rPr>
              <w:t xml:space="preserve">How we will monitor our performance </w:t>
            </w:r>
            <w:r w:rsidRPr="001045F5">
              <w:rPr>
                <w:bCs/>
                <w:color w:val="auto"/>
              </w:rPr>
              <w:tab/>
            </w:r>
            <w:r>
              <w:rPr>
                <w:bCs/>
                <w:color w:val="auto"/>
              </w:rPr>
              <w:t xml:space="preserve">                         </w:t>
            </w:r>
          </w:p>
        </w:tc>
        <w:tc>
          <w:tcPr>
            <w:tcW w:w="127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tcPr>
          <w:p w14:paraId="2475E32E" w14:textId="62DB807A" w:rsidR="00664521" w:rsidRPr="001045F5" w:rsidRDefault="00664521" w:rsidP="00E56462">
            <w:pPr>
              <w:spacing w:before="40" w:after="40" w:line="259" w:lineRule="auto"/>
              <w:jc w:val="center"/>
              <w:rPr>
                <w:color w:val="auto"/>
                <w:highlight w:val="yellow"/>
              </w:rPr>
            </w:pPr>
            <w:r w:rsidRPr="001045F5">
              <w:rPr>
                <w:bCs/>
                <w:color w:val="auto"/>
              </w:rPr>
              <w:t xml:space="preserve">Status </w:t>
            </w:r>
            <w:r>
              <w:rPr>
                <w:bCs/>
                <w:color w:val="auto"/>
              </w:rPr>
              <w:t xml:space="preserve"> </w:t>
            </w:r>
          </w:p>
        </w:tc>
      </w:tr>
      <w:tr w:rsidR="00664521" w:rsidRPr="00664521" w14:paraId="5ED86F11" w14:textId="77777777" w:rsidTr="00A172F7">
        <w:tc>
          <w:tcPr>
            <w:tcW w:w="7655" w:type="dxa"/>
            <w:shd w:val="clear" w:color="auto" w:fill="auto"/>
          </w:tcPr>
          <w:p w14:paraId="616F6485" w14:textId="2D98621F" w:rsidR="00664521" w:rsidRPr="001B71EA" w:rsidRDefault="00664521" w:rsidP="00E56462">
            <w:pPr>
              <w:spacing w:before="40" w:after="40" w:line="259" w:lineRule="auto"/>
              <w:rPr>
                <w:bCs/>
              </w:rPr>
            </w:pPr>
            <w:r>
              <w:rPr>
                <w:bCs/>
              </w:rPr>
              <w:t xml:space="preserve">Administrative Report </w:t>
            </w:r>
          </w:p>
        </w:tc>
        <w:tc>
          <w:tcPr>
            <w:tcW w:w="1276" w:type="dxa"/>
            <w:shd w:val="clear" w:color="auto" w:fill="auto"/>
          </w:tcPr>
          <w:p w14:paraId="2F22A31D" w14:textId="3B0E0E3A" w:rsidR="00664521" w:rsidRPr="00664521" w:rsidRDefault="00664521" w:rsidP="00E56462">
            <w:pPr>
              <w:spacing w:before="40" w:after="40"/>
              <w:jc w:val="center"/>
              <w:rPr>
                <w:rFonts w:asciiTheme="minorHAnsi" w:eastAsia="Elephant" w:hAnsiTheme="minorHAnsi" w:cstheme="minorHAnsi"/>
                <w:b/>
                <w:szCs w:val="22"/>
              </w:rPr>
            </w:pPr>
            <w:r w:rsidRPr="00664521">
              <w:rPr>
                <w:rFonts w:asciiTheme="minorHAnsi" w:eastAsia="Elephant" w:hAnsiTheme="minorHAnsi" w:cstheme="minorHAnsi"/>
                <w:b/>
                <w:szCs w:val="22"/>
              </w:rPr>
              <w:t>Completed</w:t>
            </w:r>
          </w:p>
        </w:tc>
      </w:tr>
      <w:tr w:rsidR="00664521" w14:paraId="4F1298F0" w14:textId="77777777" w:rsidTr="00A172F7">
        <w:trPr>
          <w:gridAfter w:val="1"/>
          <w:wAfter w:w="1276" w:type="dxa"/>
        </w:trPr>
        <w:tc>
          <w:tcPr>
            <w:tcW w:w="7655" w:type="dxa"/>
          </w:tcPr>
          <w:p w14:paraId="3029CFB8" w14:textId="49138ADD" w:rsidR="00664521" w:rsidRDefault="00664521" w:rsidP="00E56462">
            <w:pPr>
              <w:spacing w:before="40" w:after="40"/>
            </w:pPr>
            <w:r>
              <w:t xml:space="preserve">Comments: </w:t>
            </w:r>
            <w:r w:rsidR="00CE668F">
              <w:t xml:space="preserve">The Administrative Report was provided to the Minister of Internal Affairs on </w:t>
            </w:r>
            <w:r w:rsidR="009A4CED">
              <w:t>3 December 2020.</w:t>
            </w:r>
          </w:p>
        </w:tc>
      </w:tr>
    </w:tbl>
    <w:p w14:paraId="4EAFD94B" w14:textId="7359A412" w:rsidR="00BE67AB" w:rsidRDefault="00BE67AB" w:rsidP="00BE67AB">
      <w:pPr>
        <w:keepLines w:val="0"/>
        <w:rPr>
          <w:b/>
          <w:bCs/>
          <w:i/>
          <w:color w:val="1F546B" w:themeColor="text2"/>
          <w:szCs w:val="28"/>
        </w:rPr>
      </w:pPr>
      <w:r>
        <w:br w:type="page"/>
      </w:r>
    </w:p>
    <w:p w14:paraId="4B2FF800" w14:textId="0364FA82" w:rsidR="00BE67AB" w:rsidRDefault="00BE67AB" w:rsidP="00BE67AB">
      <w:pPr>
        <w:pStyle w:val="Heading4"/>
      </w:pPr>
      <w:r w:rsidRPr="35243F86">
        <w:lastRenderedPageBreak/>
        <w:t>Investigations</w:t>
      </w:r>
      <w:r>
        <w:t xml:space="preserve"> and Public Hearings </w:t>
      </w:r>
      <w:r w:rsidRPr="35243F86">
        <w:t xml:space="preserve"> </w:t>
      </w:r>
    </w:p>
    <w:p w14:paraId="421B0056" w14:textId="068BC7AB" w:rsidR="00FA3D61" w:rsidRDefault="00BE67AB" w:rsidP="00BE67AB">
      <w:pPr>
        <w:rPr>
          <w:rFonts w:eastAsia="Calibri" w:cs="Calibri"/>
        </w:rPr>
      </w:pPr>
      <w:r>
        <w:rPr>
          <w:rFonts w:eastAsia="Calibri" w:cs="Calibri"/>
        </w:rPr>
        <w:t xml:space="preserve">Nine </w:t>
      </w:r>
      <w:r w:rsidRPr="35243F86">
        <w:rPr>
          <w:rFonts w:eastAsia="Calibri" w:cs="Calibri"/>
        </w:rPr>
        <w:t>investigation</w:t>
      </w:r>
      <w:r>
        <w:rPr>
          <w:rFonts w:eastAsia="Calibri" w:cs="Calibri"/>
        </w:rPr>
        <w:t>s were launched in 2020/21.</w:t>
      </w:r>
      <w:r w:rsidRPr="35243F86">
        <w:rPr>
          <w:rFonts w:eastAsia="Calibri" w:cs="Calibri"/>
        </w:rPr>
        <w:t xml:space="preserve"> </w:t>
      </w:r>
      <w:proofErr w:type="gramStart"/>
      <w:r>
        <w:rPr>
          <w:rFonts w:eastAsia="Calibri" w:cs="Calibri"/>
        </w:rPr>
        <w:t>All of</w:t>
      </w:r>
      <w:proofErr w:type="gramEnd"/>
      <w:r>
        <w:rPr>
          <w:rFonts w:eastAsia="Calibri" w:cs="Calibri"/>
        </w:rPr>
        <w:t xml:space="preserve"> these investigations</w:t>
      </w:r>
      <w:r w:rsidRPr="35243F86">
        <w:rPr>
          <w:rFonts w:eastAsia="Calibri" w:cs="Calibri"/>
        </w:rPr>
        <w:t xml:space="preserve"> </w:t>
      </w:r>
      <w:r>
        <w:rPr>
          <w:rFonts w:eastAsia="Calibri" w:cs="Calibri"/>
        </w:rPr>
        <w:t>will</w:t>
      </w:r>
      <w:r w:rsidRPr="35243F86">
        <w:rPr>
          <w:rFonts w:eastAsia="Calibri" w:cs="Calibri"/>
        </w:rPr>
        <w:t xml:space="preserve"> extend </w:t>
      </w:r>
      <w:r>
        <w:rPr>
          <w:rFonts w:eastAsia="Calibri" w:cs="Calibri"/>
        </w:rPr>
        <w:t xml:space="preserve">beyond the </w:t>
      </w:r>
      <w:r w:rsidRPr="35243F86">
        <w:rPr>
          <w:rFonts w:eastAsia="Calibri" w:cs="Calibri"/>
        </w:rPr>
        <w:t xml:space="preserve">2020/21 </w:t>
      </w:r>
      <w:r>
        <w:rPr>
          <w:rFonts w:eastAsia="Calibri" w:cs="Calibri"/>
        </w:rPr>
        <w:t xml:space="preserve">financial </w:t>
      </w:r>
      <w:r w:rsidRPr="35243F86">
        <w:rPr>
          <w:rFonts w:eastAsia="Calibri" w:cs="Calibri"/>
        </w:rPr>
        <w:t>year</w:t>
      </w:r>
      <w:r>
        <w:rPr>
          <w:rFonts w:eastAsia="Calibri" w:cs="Calibri"/>
        </w:rPr>
        <w:t xml:space="preserve">. Public hearings on Redress (State and faith-based) </w:t>
      </w:r>
      <w:r w:rsidR="00AC6863">
        <w:rPr>
          <w:rFonts w:eastAsia="Calibri" w:cs="Calibri"/>
        </w:rPr>
        <w:t xml:space="preserve">have </w:t>
      </w:r>
      <w:r w:rsidR="0057734D">
        <w:rPr>
          <w:rFonts w:eastAsia="Calibri" w:cs="Calibri"/>
        </w:rPr>
        <w:t xml:space="preserve">been </w:t>
      </w:r>
      <w:r w:rsidR="00AC6863">
        <w:rPr>
          <w:rFonts w:eastAsia="Calibri" w:cs="Calibri"/>
        </w:rPr>
        <w:t xml:space="preserve">completed. Public hearings into abuse in State children’s residential care, </w:t>
      </w:r>
      <w:r>
        <w:rPr>
          <w:rFonts w:eastAsia="Calibri" w:cs="Calibri"/>
        </w:rPr>
        <w:t xml:space="preserve">Psychiatric care (Lake Alice Child and Adolescent Unit), and </w:t>
      </w:r>
      <w:r w:rsidR="006059CE">
        <w:rPr>
          <w:rFonts w:eastAsia="Calibri" w:cs="Calibri"/>
        </w:rPr>
        <w:t>P</w:t>
      </w:r>
      <w:r w:rsidR="00A00CD0">
        <w:rPr>
          <w:rFonts w:eastAsia="Calibri" w:cs="Calibri"/>
        </w:rPr>
        <w:t xml:space="preserve">acific </w:t>
      </w:r>
      <w:r w:rsidR="006059CE">
        <w:rPr>
          <w:rFonts w:eastAsia="Calibri" w:cs="Calibri"/>
        </w:rPr>
        <w:t>P</w:t>
      </w:r>
      <w:r w:rsidR="00A00CD0">
        <w:rPr>
          <w:rFonts w:eastAsia="Calibri" w:cs="Calibri"/>
        </w:rPr>
        <w:t xml:space="preserve">eople’s experience of care are scheduled for May, </w:t>
      </w:r>
      <w:r w:rsidR="00C77C02">
        <w:rPr>
          <w:rFonts w:eastAsia="Calibri" w:cs="Calibri"/>
        </w:rPr>
        <w:t>June and July 2021 respectively</w:t>
      </w:r>
      <w:r w:rsidR="006059CE">
        <w:rPr>
          <w:rFonts w:eastAsia="Calibri" w:cs="Calibri"/>
        </w:rPr>
        <w:t>.</w:t>
      </w:r>
    </w:p>
    <w:p w14:paraId="3B77B227" w14:textId="11266044" w:rsidR="008F52B9" w:rsidRPr="008F52B9" w:rsidRDefault="008F52B9" w:rsidP="00BE67AB">
      <w:pPr>
        <w:rPr>
          <w:rFonts w:eastAsia="Calibri" w:cs="Calibri"/>
          <w:b/>
        </w:rPr>
      </w:pPr>
      <w:r w:rsidRPr="008F52B9">
        <w:rPr>
          <w:rFonts w:eastAsia="Calibri" w:cs="Calibri"/>
          <w:b/>
        </w:rPr>
        <w:t>NOTE</w:t>
      </w:r>
      <w:r>
        <w:rPr>
          <w:rFonts w:eastAsia="Calibri" w:cs="Calibri"/>
          <w:b/>
        </w:rPr>
        <w:t xml:space="preserve">: The recent decision by the Government to amend the Commission’s Terms of Reference and confirm the final reporting date of no later than 30 June 2023, will necessitate a reset of the current investigations work programme. This will include strengthened </w:t>
      </w:r>
      <w:r w:rsidR="00F30089">
        <w:rPr>
          <w:rFonts w:eastAsia="Calibri" w:cs="Calibri"/>
          <w:b/>
        </w:rPr>
        <w:t xml:space="preserve">monitoring and reporting arrangements. </w:t>
      </w:r>
    </w:p>
    <w:tbl>
      <w:tblPr>
        <w:tblStyle w:val="DIATable"/>
        <w:tblW w:w="8956" w:type="dxa"/>
        <w:tblInd w:w="-15"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8956"/>
      </w:tblGrid>
      <w:tr w:rsidR="006651F3" w14:paraId="39A7AB29" w14:textId="77777777" w:rsidTr="00A172F7">
        <w:trPr>
          <w:cnfStyle w:val="100000000000" w:firstRow="1" w:lastRow="0" w:firstColumn="0" w:lastColumn="0" w:oddVBand="0" w:evenVBand="0" w:oddHBand="0" w:evenHBand="0" w:firstRowFirstColumn="0" w:firstRowLastColumn="0" w:lastRowFirstColumn="0" w:lastRowLastColumn="0"/>
        </w:trPr>
        <w:tc>
          <w:tcPr>
            <w:tcW w:w="895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tcPr>
          <w:p w14:paraId="7E75BBFB" w14:textId="003324C0" w:rsidR="006651F3" w:rsidRPr="001045F5" w:rsidRDefault="006651F3" w:rsidP="00E56462">
            <w:pPr>
              <w:spacing w:before="40" w:after="40" w:line="259" w:lineRule="auto"/>
              <w:rPr>
                <w:color w:val="auto"/>
                <w:highlight w:val="yellow"/>
              </w:rPr>
            </w:pPr>
            <w:r w:rsidRPr="001045F5">
              <w:rPr>
                <w:bCs/>
                <w:color w:val="auto"/>
              </w:rPr>
              <w:t xml:space="preserve">How we will monitor our performance </w:t>
            </w:r>
            <w:r w:rsidRPr="001045F5">
              <w:rPr>
                <w:bCs/>
                <w:color w:val="auto"/>
              </w:rPr>
              <w:tab/>
            </w:r>
            <w:r>
              <w:rPr>
                <w:bCs/>
                <w:color w:val="auto"/>
              </w:rPr>
              <w:t xml:space="preserve">                            </w:t>
            </w:r>
          </w:p>
        </w:tc>
      </w:tr>
      <w:tr w:rsidR="006651F3" w14:paraId="6A054999" w14:textId="77777777" w:rsidTr="00A172F7">
        <w:tc>
          <w:tcPr>
            <w:tcW w:w="8956" w:type="dxa"/>
            <w:shd w:val="clear" w:color="auto" w:fill="auto"/>
          </w:tcPr>
          <w:p w14:paraId="705E0993" w14:textId="7640687A" w:rsidR="006651F3" w:rsidRPr="009A7D32" w:rsidRDefault="00CD4C07" w:rsidP="00E56462">
            <w:pPr>
              <w:spacing w:before="40" w:after="40" w:line="259" w:lineRule="auto"/>
              <w:rPr>
                <w:bCs/>
                <w:strike/>
              </w:rPr>
            </w:pPr>
            <w:r>
              <w:rPr>
                <w:bCs/>
              </w:rPr>
              <w:t>Investigations and Public Hearings overall</w:t>
            </w:r>
          </w:p>
        </w:tc>
      </w:tr>
      <w:tr w:rsidR="006651F3" w14:paraId="11AB9D6E" w14:textId="77777777" w:rsidTr="00A172F7">
        <w:tc>
          <w:tcPr>
            <w:tcW w:w="8956" w:type="dxa"/>
          </w:tcPr>
          <w:p w14:paraId="22E5DD23" w14:textId="6EDED05D" w:rsidR="00CD4C07" w:rsidRPr="00567335" w:rsidRDefault="00CD4C07" w:rsidP="00E56462">
            <w:pPr>
              <w:spacing w:before="40" w:after="40" w:line="259" w:lineRule="auto"/>
              <w:rPr>
                <w:bCs/>
              </w:rPr>
            </w:pPr>
            <w:r w:rsidRPr="001801E2">
              <w:rPr>
                <w:bCs/>
              </w:rPr>
              <w:t xml:space="preserve">Comment: </w:t>
            </w:r>
            <w:r>
              <w:rPr>
                <w:bCs/>
              </w:rPr>
              <w:t>T</w:t>
            </w:r>
            <w:r w:rsidRPr="00567335">
              <w:rPr>
                <w:bCs/>
              </w:rPr>
              <w:t xml:space="preserve">he investigations </w:t>
            </w:r>
            <w:r>
              <w:rPr>
                <w:bCs/>
              </w:rPr>
              <w:t xml:space="preserve">workstreams </w:t>
            </w:r>
            <w:r w:rsidRPr="00567335">
              <w:rPr>
                <w:bCs/>
              </w:rPr>
              <w:t>are continuing</w:t>
            </w:r>
            <w:r>
              <w:rPr>
                <w:bCs/>
              </w:rPr>
              <w:t xml:space="preserve"> to make progress</w:t>
            </w:r>
            <w:r w:rsidR="006059CE">
              <w:rPr>
                <w:bCs/>
              </w:rPr>
              <w:t xml:space="preserve">, hampered </w:t>
            </w:r>
            <w:proofErr w:type="gramStart"/>
            <w:r w:rsidR="006059CE">
              <w:rPr>
                <w:bCs/>
              </w:rPr>
              <w:t xml:space="preserve">by </w:t>
            </w:r>
            <w:r w:rsidRPr="00567335">
              <w:rPr>
                <w:bCs/>
              </w:rPr>
              <w:t xml:space="preserve"> </w:t>
            </w:r>
            <w:r w:rsidR="006059CE">
              <w:rPr>
                <w:bCs/>
              </w:rPr>
              <w:t>f</w:t>
            </w:r>
            <w:r w:rsidRPr="00567335">
              <w:rPr>
                <w:bCs/>
              </w:rPr>
              <w:t>urther</w:t>
            </w:r>
            <w:proofErr w:type="gramEnd"/>
            <w:r w:rsidRPr="00567335">
              <w:rPr>
                <w:bCs/>
              </w:rPr>
              <w:t xml:space="preserve"> resourcing be</w:t>
            </w:r>
            <w:r w:rsidR="006059CE">
              <w:rPr>
                <w:bCs/>
              </w:rPr>
              <w:t>ing</w:t>
            </w:r>
            <w:r w:rsidRPr="00567335">
              <w:rPr>
                <w:bCs/>
              </w:rPr>
              <w:t xml:space="preserve"> delayed until the second half of the year due to budgetary restricti</w:t>
            </w:r>
            <w:r w:rsidR="006059CE">
              <w:rPr>
                <w:bCs/>
              </w:rPr>
              <w:t>ons and overall budget uncertainty. M</w:t>
            </w:r>
            <w:r>
              <w:rPr>
                <w:bCs/>
              </w:rPr>
              <w:t xml:space="preserve">itigations </w:t>
            </w:r>
            <w:r w:rsidR="006059CE">
              <w:rPr>
                <w:bCs/>
              </w:rPr>
              <w:t xml:space="preserve">are </w:t>
            </w:r>
            <w:r>
              <w:rPr>
                <w:bCs/>
              </w:rPr>
              <w:t>in place to limit delivery risks</w:t>
            </w:r>
            <w:r w:rsidRPr="00567335">
              <w:rPr>
                <w:bCs/>
              </w:rPr>
              <w:t xml:space="preserve">.  </w:t>
            </w:r>
          </w:p>
          <w:p w14:paraId="67615650" w14:textId="3EBC7784" w:rsidR="00CD4C07" w:rsidRPr="00567335" w:rsidRDefault="00CD4C07" w:rsidP="00E56462">
            <w:pPr>
              <w:spacing w:before="40" w:after="40" w:line="259" w:lineRule="auto"/>
              <w:rPr>
                <w:bCs/>
              </w:rPr>
            </w:pPr>
            <w:r w:rsidRPr="00567335">
              <w:rPr>
                <w:bCs/>
              </w:rPr>
              <w:t>The nine launched investigations are in the process of obtaining their documentary or witness evidence which will be a continuing piece of work as the Inquiry develops.  The investigations are currently expanding their witness lists</w:t>
            </w:r>
            <w:r w:rsidR="006059CE">
              <w:rPr>
                <w:bCs/>
              </w:rPr>
              <w:t>,</w:t>
            </w:r>
            <w:r w:rsidRPr="00567335">
              <w:rPr>
                <w:bCs/>
              </w:rPr>
              <w:t xml:space="preserve"> which can be time consuming given the volume of people they need to interview, and how hard those people are to locate</w:t>
            </w:r>
            <w:r>
              <w:rPr>
                <w:bCs/>
              </w:rPr>
              <w:t xml:space="preserve"> for some investigations</w:t>
            </w:r>
            <w:r w:rsidRPr="00567335">
              <w:rPr>
                <w:bCs/>
              </w:rPr>
              <w:t>.</w:t>
            </w:r>
          </w:p>
          <w:p w14:paraId="1C3929A9" w14:textId="77777777" w:rsidR="00CD4C07" w:rsidRPr="00567335" w:rsidRDefault="00CD4C07" w:rsidP="00E56462">
            <w:pPr>
              <w:spacing w:before="40" w:after="40" w:line="259" w:lineRule="auto"/>
              <w:rPr>
                <w:bCs/>
              </w:rPr>
            </w:pPr>
            <w:r w:rsidRPr="00567335">
              <w:rPr>
                <w:bCs/>
              </w:rPr>
              <w:t>The Investigations team are working in partnership with the Community Engagement team in developing different methods of finding hard to engage (reach) witnesses to ensure relevant witnesses are identified and approached.  We anticipate a surge in Māori and Pacific witnesses, and witnesses with disabilities coming forward as the year progresses.</w:t>
            </w:r>
          </w:p>
          <w:p w14:paraId="63F38E6B" w14:textId="2EA5BBF1" w:rsidR="006651F3" w:rsidRPr="009A7D32" w:rsidRDefault="00CD4C07" w:rsidP="00E56462">
            <w:pPr>
              <w:spacing w:before="40" w:after="40" w:line="259" w:lineRule="auto"/>
            </w:pPr>
            <w:r w:rsidRPr="00567335">
              <w:rPr>
                <w:bCs/>
              </w:rPr>
              <w:t xml:space="preserve">The </w:t>
            </w:r>
            <w:r w:rsidR="00A00CD0">
              <w:rPr>
                <w:bCs/>
              </w:rPr>
              <w:t xml:space="preserve">investigations are starting to focus on forward looking planning which will include the drafting of investigation reports and associated recommendations. This also includes a comprehensive consultation process and natural justice process. </w:t>
            </w:r>
          </w:p>
        </w:tc>
      </w:tr>
    </w:tbl>
    <w:p w14:paraId="7FC3306A" w14:textId="77777777" w:rsidR="00BE67AB" w:rsidRDefault="00BE67AB" w:rsidP="00E56462">
      <w:pPr>
        <w:spacing w:before="40" w:after="40"/>
        <w:rPr>
          <w:rFonts w:eastAsia="Calibri" w:cs="Calibri"/>
        </w:rPr>
      </w:pPr>
    </w:p>
    <w:tbl>
      <w:tblPr>
        <w:tblStyle w:val="DIATable"/>
        <w:tblW w:w="8956" w:type="dxa"/>
        <w:tblInd w:w="-5"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8956"/>
      </w:tblGrid>
      <w:tr w:rsidR="006651F3" w14:paraId="3C82300A" w14:textId="77777777" w:rsidTr="00A172F7">
        <w:trPr>
          <w:cnfStyle w:val="100000000000" w:firstRow="1" w:lastRow="0" w:firstColumn="0" w:lastColumn="0" w:oddVBand="0" w:evenVBand="0" w:oddHBand="0" w:evenHBand="0" w:firstRowFirstColumn="0" w:firstRowLastColumn="0" w:lastRowFirstColumn="0" w:lastRowLastColumn="0"/>
        </w:trPr>
        <w:tc>
          <w:tcPr>
            <w:tcW w:w="895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tcPr>
          <w:p w14:paraId="7E256032" w14:textId="45157ACB" w:rsidR="006651F3" w:rsidRPr="001045F5" w:rsidRDefault="006651F3" w:rsidP="00E56462">
            <w:pPr>
              <w:spacing w:before="40" w:after="40" w:line="259" w:lineRule="auto"/>
              <w:rPr>
                <w:color w:val="auto"/>
                <w:highlight w:val="yellow"/>
              </w:rPr>
            </w:pPr>
            <w:r w:rsidRPr="001045F5">
              <w:rPr>
                <w:bCs/>
                <w:color w:val="auto"/>
              </w:rPr>
              <w:t xml:space="preserve">How we will monitor our performance </w:t>
            </w:r>
            <w:r w:rsidRPr="001045F5">
              <w:rPr>
                <w:bCs/>
                <w:color w:val="auto"/>
              </w:rPr>
              <w:tab/>
            </w:r>
            <w:r>
              <w:rPr>
                <w:bCs/>
                <w:color w:val="auto"/>
              </w:rPr>
              <w:t xml:space="preserve">                            </w:t>
            </w:r>
          </w:p>
        </w:tc>
      </w:tr>
      <w:tr w:rsidR="006651F3" w14:paraId="2E248260" w14:textId="77777777" w:rsidTr="00A172F7">
        <w:tc>
          <w:tcPr>
            <w:tcW w:w="8956" w:type="dxa"/>
            <w:shd w:val="clear" w:color="auto" w:fill="auto"/>
          </w:tcPr>
          <w:p w14:paraId="6979B77D" w14:textId="77777777" w:rsidR="006651F3" w:rsidRPr="001B71EA" w:rsidRDefault="006651F3" w:rsidP="00E56462">
            <w:pPr>
              <w:spacing w:before="40" w:after="40" w:line="259" w:lineRule="auto"/>
              <w:rPr>
                <w:bCs/>
              </w:rPr>
            </w:pPr>
            <w:r w:rsidRPr="00AF14D1">
              <w:rPr>
                <w:rFonts w:eastAsia="Calibri" w:cs="Calibri"/>
                <w:color w:val="000000" w:themeColor="text1"/>
              </w:rPr>
              <w:t>Redress</w:t>
            </w:r>
            <w:r>
              <w:rPr>
                <w:rFonts w:eastAsia="Calibri" w:cs="Calibri"/>
                <w:color w:val="000000" w:themeColor="text1"/>
              </w:rPr>
              <w:t xml:space="preserve"> investigation (State and faith-based)</w:t>
            </w:r>
          </w:p>
        </w:tc>
      </w:tr>
      <w:tr w:rsidR="006651F3" w14:paraId="5B88C528" w14:textId="77777777" w:rsidTr="00A172F7">
        <w:tc>
          <w:tcPr>
            <w:tcW w:w="8956" w:type="dxa"/>
            <w:shd w:val="clear" w:color="auto" w:fill="auto"/>
          </w:tcPr>
          <w:p w14:paraId="2AB6065F" w14:textId="36C2E0F4" w:rsidR="006651F3" w:rsidRPr="00AF14D1" w:rsidRDefault="00CD4C07" w:rsidP="00E56462">
            <w:pPr>
              <w:spacing w:before="40" w:after="40" w:line="259" w:lineRule="auto"/>
              <w:rPr>
                <w:rFonts w:eastAsia="Calibri" w:cs="Calibri"/>
                <w:color w:val="000000" w:themeColor="text1"/>
              </w:rPr>
            </w:pPr>
            <w:r w:rsidRPr="00F65772">
              <w:t xml:space="preserve">Comment: </w:t>
            </w:r>
            <w:r w:rsidRPr="00F65772">
              <w:rPr>
                <w:bCs/>
              </w:rPr>
              <w:t xml:space="preserve">Redress </w:t>
            </w:r>
            <w:r w:rsidR="00A00CD0">
              <w:rPr>
                <w:bCs/>
              </w:rPr>
              <w:t xml:space="preserve">public </w:t>
            </w:r>
            <w:r>
              <w:rPr>
                <w:bCs/>
              </w:rPr>
              <w:t xml:space="preserve">hearings have concluded, and the team has changed focus onto its forward-looking work and report writing.  </w:t>
            </w:r>
          </w:p>
        </w:tc>
      </w:tr>
    </w:tbl>
    <w:p w14:paraId="290064F4" w14:textId="77777777" w:rsidR="00BE67AB" w:rsidRDefault="00BE67AB" w:rsidP="00E56462">
      <w:pPr>
        <w:spacing w:before="40" w:after="40"/>
        <w:rPr>
          <w:rFonts w:eastAsia="Calibri" w:cs="Calibri"/>
        </w:rPr>
      </w:pPr>
    </w:p>
    <w:tbl>
      <w:tblPr>
        <w:tblStyle w:val="DIATable"/>
        <w:tblW w:w="8956" w:type="dxa"/>
        <w:tblInd w:w="-15"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8956"/>
      </w:tblGrid>
      <w:tr w:rsidR="006651F3" w14:paraId="0038067F" w14:textId="77777777" w:rsidTr="00A172F7">
        <w:trPr>
          <w:cnfStyle w:val="100000000000" w:firstRow="1" w:lastRow="0" w:firstColumn="0" w:lastColumn="0" w:oddVBand="0" w:evenVBand="0" w:oddHBand="0" w:evenHBand="0" w:firstRowFirstColumn="0" w:firstRowLastColumn="0" w:lastRowFirstColumn="0" w:lastRowLastColumn="0"/>
        </w:trPr>
        <w:tc>
          <w:tcPr>
            <w:tcW w:w="895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tcPr>
          <w:p w14:paraId="0F2D9AD1" w14:textId="64149B8E" w:rsidR="006651F3" w:rsidRPr="001045F5" w:rsidRDefault="006651F3" w:rsidP="00E56462">
            <w:pPr>
              <w:spacing w:before="40" w:after="40" w:line="259" w:lineRule="auto"/>
              <w:rPr>
                <w:color w:val="auto"/>
                <w:highlight w:val="yellow"/>
              </w:rPr>
            </w:pPr>
            <w:r w:rsidRPr="001045F5">
              <w:rPr>
                <w:bCs/>
                <w:color w:val="auto"/>
              </w:rPr>
              <w:t xml:space="preserve">How we will monitor our performance </w:t>
            </w:r>
            <w:r w:rsidRPr="001045F5">
              <w:rPr>
                <w:bCs/>
                <w:color w:val="auto"/>
              </w:rPr>
              <w:tab/>
            </w:r>
          </w:p>
        </w:tc>
      </w:tr>
      <w:tr w:rsidR="006651F3" w14:paraId="7387B728" w14:textId="77777777" w:rsidTr="00A172F7">
        <w:trPr>
          <w:trHeight w:val="432"/>
        </w:trPr>
        <w:tc>
          <w:tcPr>
            <w:tcW w:w="8956" w:type="dxa"/>
            <w:shd w:val="clear" w:color="auto" w:fill="auto"/>
          </w:tcPr>
          <w:p w14:paraId="005DEB7D" w14:textId="7F94F8A2" w:rsidR="006651F3" w:rsidRPr="001B71EA" w:rsidRDefault="006651F3" w:rsidP="00E56462">
            <w:pPr>
              <w:spacing w:before="40" w:after="40" w:line="259" w:lineRule="auto"/>
              <w:rPr>
                <w:bCs/>
              </w:rPr>
            </w:pPr>
            <w:r w:rsidRPr="00AF14D1">
              <w:rPr>
                <w:rFonts w:eastAsia="Calibri" w:cs="Calibri"/>
                <w:color w:val="000000" w:themeColor="text1"/>
              </w:rPr>
              <w:t xml:space="preserve">Māori </w:t>
            </w:r>
            <w:r>
              <w:rPr>
                <w:rFonts w:eastAsia="Calibri" w:cs="Calibri"/>
                <w:color w:val="000000" w:themeColor="text1"/>
              </w:rPr>
              <w:t>experience of care</w:t>
            </w:r>
          </w:p>
        </w:tc>
      </w:tr>
      <w:tr w:rsidR="006651F3" w14:paraId="78292455" w14:textId="77777777" w:rsidTr="00A172F7">
        <w:tc>
          <w:tcPr>
            <w:tcW w:w="8956" w:type="dxa"/>
            <w:shd w:val="clear" w:color="auto" w:fill="auto"/>
          </w:tcPr>
          <w:p w14:paraId="388A6684" w14:textId="08C4A13D" w:rsidR="006651F3" w:rsidRPr="00CD4C07" w:rsidRDefault="00CD4C07" w:rsidP="00E56462">
            <w:pPr>
              <w:spacing w:before="40" w:after="40" w:line="259" w:lineRule="auto"/>
              <w:rPr>
                <w:rFonts w:eastAsia="Calibri" w:cs="Calibri"/>
                <w:b/>
                <w:color w:val="000000" w:themeColor="text1"/>
              </w:rPr>
            </w:pPr>
            <w:r w:rsidRPr="00F65772">
              <w:rPr>
                <w:bCs/>
              </w:rPr>
              <w:t xml:space="preserve">Comment: </w:t>
            </w:r>
            <w:r w:rsidR="0084477E" w:rsidRPr="00F65772">
              <w:rPr>
                <w:bCs/>
              </w:rPr>
              <w:t>The M</w:t>
            </w:r>
            <w:r w:rsidR="00C77C02">
              <w:rPr>
                <w:bCs/>
              </w:rPr>
              <w:t>ā</w:t>
            </w:r>
            <w:r w:rsidR="0084477E" w:rsidRPr="00F65772">
              <w:rPr>
                <w:bCs/>
              </w:rPr>
              <w:t xml:space="preserve">ori investigation </w:t>
            </w:r>
            <w:r w:rsidR="0084477E">
              <w:rPr>
                <w:bCs/>
              </w:rPr>
              <w:t xml:space="preserve">is </w:t>
            </w:r>
            <w:r w:rsidR="0084477E" w:rsidRPr="00F65772">
              <w:rPr>
                <w:bCs/>
              </w:rPr>
              <w:t xml:space="preserve">now </w:t>
            </w:r>
            <w:r w:rsidR="0084477E">
              <w:rPr>
                <w:bCs/>
              </w:rPr>
              <w:t>preparing for its first public hearing currently anticipated to take place in September 2021.  This hearing is likely to include survivor voices and expert evidence, both of which are currently being obtained and briefed.</w:t>
            </w:r>
          </w:p>
        </w:tc>
      </w:tr>
    </w:tbl>
    <w:p w14:paraId="21CB0725" w14:textId="69F6FED3" w:rsidR="00E56462" w:rsidRDefault="00E56462">
      <w:pPr>
        <w:keepLines w:val="0"/>
        <w:rPr>
          <w:rFonts w:eastAsia="Calibri" w:cs="Calibri"/>
        </w:rPr>
      </w:pPr>
      <w:r>
        <w:rPr>
          <w:rFonts w:eastAsia="Calibri" w:cs="Calibri"/>
        </w:rPr>
        <w:br w:type="page"/>
      </w:r>
    </w:p>
    <w:p w14:paraId="0764E9FC" w14:textId="77777777" w:rsidR="00BE67AB" w:rsidRDefault="00BE67AB" w:rsidP="00E56462">
      <w:pPr>
        <w:keepLines w:val="0"/>
        <w:spacing w:before="40" w:after="40"/>
        <w:rPr>
          <w:rFonts w:eastAsia="Calibri" w:cs="Calibri"/>
        </w:rPr>
      </w:pPr>
    </w:p>
    <w:tbl>
      <w:tblPr>
        <w:tblStyle w:val="DIATable"/>
        <w:tblW w:w="8956" w:type="dxa"/>
        <w:tblInd w:w="-15"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8956"/>
      </w:tblGrid>
      <w:tr w:rsidR="006651F3" w14:paraId="4B82F23D" w14:textId="77777777" w:rsidTr="00A172F7">
        <w:trPr>
          <w:cnfStyle w:val="100000000000" w:firstRow="1" w:lastRow="0" w:firstColumn="0" w:lastColumn="0" w:oddVBand="0" w:evenVBand="0" w:oddHBand="0" w:evenHBand="0" w:firstRowFirstColumn="0" w:firstRowLastColumn="0" w:lastRowFirstColumn="0" w:lastRowLastColumn="0"/>
        </w:trPr>
        <w:tc>
          <w:tcPr>
            <w:tcW w:w="895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tcPr>
          <w:p w14:paraId="56A7036A" w14:textId="05A08EB3" w:rsidR="006651F3" w:rsidRPr="001045F5" w:rsidRDefault="006651F3" w:rsidP="00E56462">
            <w:pPr>
              <w:spacing w:before="40" w:after="40" w:line="259" w:lineRule="auto"/>
              <w:rPr>
                <w:color w:val="auto"/>
                <w:highlight w:val="yellow"/>
              </w:rPr>
            </w:pPr>
            <w:r w:rsidRPr="001045F5">
              <w:rPr>
                <w:bCs/>
                <w:color w:val="auto"/>
              </w:rPr>
              <w:t xml:space="preserve">How we will monitor our performance </w:t>
            </w:r>
            <w:r w:rsidRPr="001045F5">
              <w:rPr>
                <w:bCs/>
                <w:color w:val="auto"/>
              </w:rPr>
              <w:tab/>
            </w:r>
            <w:r>
              <w:rPr>
                <w:bCs/>
                <w:color w:val="auto"/>
              </w:rPr>
              <w:t xml:space="preserve">                            </w:t>
            </w:r>
          </w:p>
        </w:tc>
      </w:tr>
      <w:tr w:rsidR="006651F3" w14:paraId="548B519C" w14:textId="77777777" w:rsidTr="00A172F7">
        <w:tc>
          <w:tcPr>
            <w:tcW w:w="8956" w:type="dxa"/>
            <w:shd w:val="clear" w:color="auto" w:fill="auto"/>
          </w:tcPr>
          <w:p w14:paraId="7993DB7C" w14:textId="77777777" w:rsidR="006651F3" w:rsidRPr="001B71EA" w:rsidRDefault="006651F3" w:rsidP="00E56462">
            <w:pPr>
              <w:spacing w:before="40" w:after="40" w:line="259" w:lineRule="auto"/>
              <w:rPr>
                <w:bCs/>
              </w:rPr>
            </w:pPr>
            <w:r w:rsidRPr="00AF14D1">
              <w:rPr>
                <w:rFonts w:eastAsia="Calibri" w:cs="Calibri"/>
                <w:color w:val="000000" w:themeColor="text1"/>
              </w:rPr>
              <w:t xml:space="preserve">Pacific </w:t>
            </w:r>
            <w:r>
              <w:rPr>
                <w:rFonts w:eastAsia="Calibri" w:cs="Calibri"/>
                <w:color w:val="000000" w:themeColor="text1"/>
              </w:rPr>
              <w:t>People’s experience of care</w:t>
            </w:r>
          </w:p>
        </w:tc>
      </w:tr>
      <w:tr w:rsidR="006651F3" w14:paraId="7BDC2DD1" w14:textId="77777777" w:rsidTr="00A172F7">
        <w:tc>
          <w:tcPr>
            <w:tcW w:w="8956" w:type="dxa"/>
            <w:shd w:val="clear" w:color="auto" w:fill="auto"/>
          </w:tcPr>
          <w:p w14:paraId="7FC6A1F6" w14:textId="35D9FB55" w:rsidR="006651F3" w:rsidRPr="00AF14D1" w:rsidRDefault="00CD4C07" w:rsidP="00E56462">
            <w:pPr>
              <w:spacing w:before="40" w:after="40" w:line="259" w:lineRule="auto"/>
              <w:rPr>
                <w:rFonts w:eastAsia="Calibri" w:cs="Calibri"/>
                <w:color w:val="000000" w:themeColor="text1"/>
              </w:rPr>
            </w:pPr>
            <w:r w:rsidRPr="00F65772">
              <w:rPr>
                <w:bCs/>
              </w:rPr>
              <w:t xml:space="preserve">Comment: </w:t>
            </w:r>
            <w:r w:rsidR="0084477E" w:rsidRPr="00F65772">
              <w:rPr>
                <w:bCs/>
              </w:rPr>
              <w:t xml:space="preserve">The Pacific People’s investigation </w:t>
            </w:r>
            <w:r w:rsidR="0084477E">
              <w:rPr>
                <w:bCs/>
              </w:rPr>
              <w:t xml:space="preserve">public hearing will be held from 19 July for two weeks.  The hearing is planned to be held at </w:t>
            </w:r>
            <w:proofErr w:type="spellStart"/>
            <w:r w:rsidR="0084477E">
              <w:rPr>
                <w:bCs/>
              </w:rPr>
              <w:t>Fale</w:t>
            </w:r>
            <w:proofErr w:type="spellEnd"/>
            <w:r w:rsidR="0084477E">
              <w:rPr>
                <w:bCs/>
              </w:rPr>
              <w:t xml:space="preserve"> o S</w:t>
            </w:r>
            <w:r w:rsidR="0057734D">
              <w:rPr>
                <w:bCs/>
              </w:rPr>
              <w:t>amoa which is the heart of the P</w:t>
            </w:r>
            <w:r w:rsidR="0084477E">
              <w:rPr>
                <w:bCs/>
              </w:rPr>
              <w:t>acific community in Auckland.  The heari</w:t>
            </w:r>
            <w:r w:rsidR="008F52B9">
              <w:rPr>
                <w:bCs/>
              </w:rPr>
              <w:t>ng will include survivor voices and expert evidence.</w:t>
            </w:r>
          </w:p>
        </w:tc>
      </w:tr>
    </w:tbl>
    <w:p w14:paraId="48D6AA28" w14:textId="77777777" w:rsidR="00BE67AB" w:rsidRDefault="00BE67AB" w:rsidP="00E56462">
      <w:pPr>
        <w:spacing w:before="40" w:after="40"/>
        <w:rPr>
          <w:rFonts w:eastAsia="Calibri" w:cs="Calibri"/>
        </w:rPr>
      </w:pPr>
    </w:p>
    <w:tbl>
      <w:tblPr>
        <w:tblStyle w:val="DIATable"/>
        <w:tblW w:w="8956" w:type="dxa"/>
        <w:tblInd w:w="-15"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8956"/>
      </w:tblGrid>
      <w:tr w:rsidR="006651F3" w14:paraId="121AAEF0" w14:textId="77777777" w:rsidTr="00A172F7">
        <w:trPr>
          <w:cnfStyle w:val="100000000000" w:firstRow="1" w:lastRow="0" w:firstColumn="0" w:lastColumn="0" w:oddVBand="0" w:evenVBand="0" w:oddHBand="0" w:evenHBand="0" w:firstRowFirstColumn="0" w:firstRowLastColumn="0" w:lastRowFirstColumn="0" w:lastRowLastColumn="0"/>
        </w:trPr>
        <w:tc>
          <w:tcPr>
            <w:tcW w:w="895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tcPr>
          <w:p w14:paraId="6E4A9B6B" w14:textId="7B8F2305" w:rsidR="006651F3" w:rsidRPr="001045F5" w:rsidRDefault="006651F3" w:rsidP="00E56462">
            <w:pPr>
              <w:spacing w:before="40" w:after="40" w:line="259" w:lineRule="auto"/>
              <w:rPr>
                <w:color w:val="auto"/>
                <w:highlight w:val="yellow"/>
              </w:rPr>
            </w:pPr>
            <w:r w:rsidRPr="001045F5">
              <w:rPr>
                <w:bCs/>
                <w:color w:val="auto"/>
              </w:rPr>
              <w:t xml:space="preserve">How we will monitor our performance </w:t>
            </w:r>
            <w:r w:rsidRPr="001045F5">
              <w:rPr>
                <w:bCs/>
                <w:color w:val="auto"/>
              </w:rPr>
              <w:tab/>
            </w:r>
            <w:r>
              <w:rPr>
                <w:bCs/>
                <w:color w:val="auto"/>
              </w:rPr>
              <w:t xml:space="preserve">                            </w:t>
            </w:r>
          </w:p>
        </w:tc>
      </w:tr>
      <w:tr w:rsidR="006651F3" w14:paraId="3106CDB0" w14:textId="77777777" w:rsidTr="00A172F7">
        <w:tc>
          <w:tcPr>
            <w:tcW w:w="8956" w:type="dxa"/>
            <w:shd w:val="clear" w:color="auto" w:fill="auto"/>
          </w:tcPr>
          <w:p w14:paraId="24B5DA4C" w14:textId="77777777" w:rsidR="006651F3" w:rsidRPr="001B71EA" w:rsidRDefault="006651F3" w:rsidP="00E56462">
            <w:pPr>
              <w:spacing w:before="40" w:after="40" w:line="259" w:lineRule="auto"/>
              <w:rPr>
                <w:bCs/>
              </w:rPr>
            </w:pPr>
            <w:r w:rsidRPr="00AF14D1">
              <w:rPr>
                <w:rFonts w:eastAsia="Calibri" w:cs="Calibri"/>
                <w:color w:val="000000" w:themeColor="text1"/>
              </w:rPr>
              <w:t>Disability</w:t>
            </w:r>
            <w:r>
              <w:rPr>
                <w:rFonts w:eastAsia="Calibri" w:cs="Calibri"/>
                <w:color w:val="000000" w:themeColor="text1"/>
              </w:rPr>
              <w:t xml:space="preserve"> investigations (disability care settings and experiences of disabled people in care)</w:t>
            </w:r>
          </w:p>
        </w:tc>
      </w:tr>
      <w:tr w:rsidR="006651F3" w14:paraId="5A8E4BCB" w14:textId="77777777" w:rsidTr="00A172F7">
        <w:tc>
          <w:tcPr>
            <w:tcW w:w="8956" w:type="dxa"/>
            <w:shd w:val="clear" w:color="auto" w:fill="auto"/>
          </w:tcPr>
          <w:p w14:paraId="6D0D9D1F" w14:textId="608A02B9" w:rsidR="006651F3" w:rsidRPr="00AF14D1" w:rsidRDefault="00CD4C07" w:rsidP="00E56462">
            <w:pPr>
              <w:spacing w:before="40" w:after="40" w:line="259" w:lineRule="auto"/>
              <w:rPr>
                <w:rFonts w:eastAsia="Calibri" w:cs="Calibri"/>
                <w:color w:val="000000" w:themeColor="text1"/>
              </w:rPr>
            </w:pPr>
            <w:r w:rsidRPr="00F65772">
              <w:rPr>
                <w:bCs/>
              </w:rPr>
              <w:t xml:space="preserve">Comment: </w:t>
            </w:r>
            <w:r w:rsidR="0084477E">
              <w:rPr>
                <w:bCs/>
              </w:rPr>
              <w:t>Working closely with Community Engagement, the disability investigation has started its roadshow engagement plan.  This will involve visiting significant centres around New Zealand and will hold meeting</w:t>
            </w:r>
            <w:r w:rsidR="0057734D">
              <w:rPr>
                <w:bCs/>
              </w:rPr>
              <w:t>s</w:t>
            </w:r>
            <w:r w:rsidR="0084477E">
              <w:rPr>
                <w:bCs/>
              </w:rPr>
              <w:t xml:space="preserve"> with service providers, NGOs, caregivers and families of survivors, and survivors themselves.  A public hearing is currently being planned for November 2021.</w:t>
            </w:r>
          </w:p>
        </w:tc>
      </w:tr>
    </w:tbl>
    <w:p w14:paraId="1FFE86C3" w14:textId="77777777" w:rsidR="00BE67AB" w:rsidRDefault="00BE67AB" w:rsidP="00E56462">
      <w:pPr>
        <w:spacing w:before="40" w:after="40"/>
        <w:rPr>
          <w:rFonts w:eastAsia="Calibri" w:cs="Calibri"/>
        </w:rPr>
      </w:pPr>
    </w:p>
    <w:tbl>
      <w:tblPr>
        <w:tblStyle w:val="DIATable"/>
        <w:tblW w:w="8956" w:type="dxa"/>
        <w:tblInd w:w="-15"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8956"/>
      </w:tblGrid>
      <w:tr w:rsidR="006651F3" w14:paraId="7D021869" w14:textId="77777777" w:rsidTr="00A172F7">
        <w:trPr>
          <w:cnfStyle w:val="100000000000" w:firstRow="1" w:lastRow="0" w:firstColumn="0" w:lastColumn="0" w:oddVBand="0" w:evenVBand="0" w:oddHBand="0" w:evenHBand="0" w:firstRowFirstColumn="0" w:firstRowLastColumn="0" w:lastRowFirstColumn="0" w:lastRowLastColumn="0"/>
        </w:trPr>
        <w:tc>
          <w:tcPr>
            <w:tcW w:w="895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tcPr>
          <w:p w14:paraId="02849C6B" w14:textId="3D3F6749" w:rsidR="006651F3" w:rsidRPr="001045F5" w:rsidRDefault="006651F3" w:rsidP="00E56462">
            <w:pPr>
              <w:spacing w:before="40" w:after="40" w:line="259" w:lineRule="auto"/>
              <w:rPr>
                <w:color w:val="auto"/>
                <w:highlight w:val="yellow"/>
              </w:rPr>
            </w:pPr>
            <w:r w:rsidRPr="001045F5">
              <w:rPr>
                <w:bCs/>
                <w:color w:val="auto"/>
              </w:rPr>
              <w:t xml:space="preserve">How we will monitor our performance </w:t>
            </w:r>
            <w:r w:rsidRPr="001045F5">
              <w:rPr>
                <w:bCs/>
                <w:color w:val="auto"/>
              </w:rPr>
              <w:tab/>
            </w:r>
            <w:r>
              <w:rPr>
                <w:bCs/>
                <w:color w:val="auto"/>
              </w:rPr>
              <w:t xml:space="preserve">                            </w:t>
            </w:r>
          </w:p>
        </w:tc>
      </w:tr>
      <w:tr w:rsidR="006651F3" w14:paraId="394C869F" w14:textId="77777777" w:rsidTr="00A172F7">
        <w:tc>
          <w:tcPr>
            <w:tcW w:w="8956" w:type="dxa"/>
            <w:shd w:val="clear" w:color="auto" w:fill="auto"/>
          </w:tcPr>
          <w:p w14:paraId="546F63DD" w14:textId="77777777" w:rsidR="006651F3" w:rsidRPr="001B71EA" w:rsidRDefault="006651F3" w:rsidP="00E56462">
            <w:pPr>
              <w:spacing w:before="40" w:after="40" w:line="259" w:lineRule="auto"/>
              <w:rPr>
                <w:bCs/>
              </w:rPr>
            </w:pPr>
            <w:r w:rsidRPr="00AF14D1">
              <w:rPr>
                <w:rFonts w:eastAsia="Calibri" w:cs="Calibri"/>
                <w:color w:val="000000" w:themeColor="text1"/>
              </w:rPr>
              <w:t>Psychiatric</w:t>
            </w:r>
            <w:r>
              <w:rPr>
                <w:rFonts w:eastAsia="Calibri" w:cs="Calibri"/>
                <w:color w:val="000000" w:themeColor="text1"/>
              </w:rPr>
              <w:t xml:space="preserve"> care investigation</w:t>
            </w:r>
          </w:p>
        </w:tc>
      </w:tr>
      <w:tr w:rsidR="006651F3" w14:paraId="5A0BD5DD" w14:textId="77777777" w:rsidTr="00A172F7">
        <w:trPr>
          <w:trHeight w:val="785"/>
        </w:trPr>
        <w:tc>
          <w:tcPr>
            <w:tcW w:w="8956" w:type="dxa"/>
            <w:shd w:val="clear" w:color="auto" w:fill="auto"/>
          </w:tcPr>
          <w:p w14:paraId="47D55562" w14:textId="299763C0" w:rsidR="006651F3" w:rsidRPr="00AF14D1" w:rsidRDefault="00CD4C07" w:rsidP="00E56462">
            <w:pPr>
              <w:spacing w:before="40" w:after="40" w:line="259" w:lineRule="auto"/>
              <w:rPr>
                <w:rFonts w:eastAsia="Calibri" w:cs="Calibri"/>
                <w:color w:val="000000" w:themeColor="text1"/>
              </w:rPr>
            </w:pPr>
            <w:r w:rsidRPr="00F65772">
              <w:rPr>
                <w:rFonts w:eastAsia="Calibri" w:cs="Calibri"/>
                <w:color w:val="000000" w:themeColor="text1"/>
              </w:rPr>
              <w:t xml:space="preserve">Comment: </w:t>
            </w:r>
            <w:r w:rsidR="0084477E" w:rsidRPr="00F65772">
              <w:rPr>
                <w:bCs/>
              </w:rPr>
              <w:t xml:space="preserve">The Psychiatric investigation </w:t>
            </w:r>
            <w:r w:rsidR="0084477E">
              <w:rPr>
                <w:bCs/>
              </w:rPr>
              <w:t>is in its final stages of planning for preparation for the hearing that will commence 14 June 2021.  The hearing will include survivors’ voices, institutional response</w:t>
            </w:r>
            <w:r w:rsidR="0057734D">
              <w:rPr>
                <w:bCs/>
              </w:rPr>
              <w:t>s</w:t>
            </w:r>
            <w:r w:rsidR="0084477E">
              <w:rPr>
                <w:bCs/>
              </w:rPr>
              <w:t xml:space="preserve"> and expert evidence, and is our first institution-based case study.</w:t>
            </w:r>
          </w:p>
        </w:tc>
      </w:tr>
    </w:tbl>
    <w:p w14:paraId="131854C8" w14:textId="77777777" w:rsidR="00BE67AB" w:rsidRDefault="00BE67AB" w:rsidP="00E56462">
      <w:pPr>
        <w:spacing w:before="40" w:after="40"/>
        <w:rPr>
          <w:rFonts w:eastAsia="Calibri" w:cs="Calibri"/>
        </w:rPr>
      </w:pPr>
    </w:p>
    <w:tbl>
      <w:tblPr>
        <w:tblStyle w:val="DIATable"/>
        <w:tblW w:w="8956" w:type="dxa"/>
        <w:tblInd w:w="-15"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8956"/>
      </w:tblGrid>
      <w:tr w:rsidR="006651F3" w14:paraId="715DCD76" w14:textId="77777777" w:rsidTr="00A172F7">
        <w:trPr>
          <w:cnfStyle w:val="100000000000" w:firstRow="1" w:lastRow="0" w:firstColumn="0" w:lastColumn="0" w:oddVBand="0" w:evenVBand="0" w:oddHBand="0" w:evenHBand="0" w:firstRowFirstColumn="0" w:firstRowLastColumn="0" w:lastRowFirstColumn="0" w:lastRowLastColumn="0"/>
        </w:trPr>
        <w:tc>
          <w:tcPr>
            <w:tcW w:w="895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tcPr>
          <w:p w14:paraId="277939CD" w14:textId="446A27B9" w:rsidR="006651F3" w:rsidRPr="001045F5" w:rsidRDefault="006651F3" w:rsidP="00E56462">
            <w:pPr>
              <w:spacing w:before="40" w:after="40" w:line="259" w:lineRule="auto"/>
              <w:rPr>
                <w:color w:val="auto"/>
                <w:highlight w:val="yellow"/>
              </w:rPr>
            </w:pPr>
            <w:r w:rsidRPr="001045F5">
              <w:rPr>
                <w:bCs/>
                <w:color w:val="auto"/>
              </w:rPr>
              <w:t xml:space="preserve">How we will monitor our performance </w:t>
            </w:r>
            <w:r w:rsidRPr="001045F5">
              <w:rPr>
                <w:bCs/>
                <w:color w:val="auto"/>
              </w:rPr>
              <w:tab/>
            </w:r>
            <w:r>
              <w:rPr>
                <w:bCs/>
                <w:color w:val="auto"/>
              </w:rPr>
              <w:t xml:space="preserve">                            </w:t>
            </w:r>
          </w:p>
        </w:tc>
      </w:tr>
      <w:tr w:rsidR="006651F3" w14:paraId="11C239CA" w14:textId="77777777" w:rsidTr="00A172F7">
        <w:tc>
          <w:tcPr>
            <w:tcW w:w="8956" w:type="dxa"/>
            <w:shd w:val="clear" w:color="auto" w:fill="auto"/>
          </w:tcPr>
          <w:p w14:paraId="36A02692" w14:textId="5BECEF5A" w:rsidR="006651F3" w:rsidRPr="001B71EA" w:rsidRDefault="006651F3" w:rsidP="00E56462">
            <w:pPr>
              <w:spacing w:before="40" w:after="40" w:line="259" w:lineRule="auto"/>
              <w:rPr>
                <w:bCs/>
              </w:rPr>
            </w:pPr>
            <w:r>
              <w:rPr>
                <w:rFonts w:eastAsia="Calibri" w:cs="Calibri"/>
                <w:color w:val="000000" w:themeColor="text1"/>
              </w:rPr>
              <w:t xml:space="preserve">State children’s residential </w:t>
            </w:r>
            <w:r w:rsidR="00CD4C07">
              <w:rPr>
                <w:rFonts w:eastAsia="Calibri" w:cs="Calibri"/>
                <w:color w:val="000000" w:themeColor="text1"/>
              </w:rPr>
              <w:t>c</w:t>
            </w:r>
            <w:r>
              <w:rPr>
                <w:rFonts w:eastAsia="Calibri" w:cs="Calibri"/>
                <w:color w:val="000000" w:themeColor="text1"/>
              </w:rPr>
              <w:t xml:space="preserve">are investigation </w:t>
            </w:r>
          </w:p>
        </w:tc>
      </w:tr>
      <w:tr w:rsidR="006651F3" w14:paraId="7626D1D1" w14:textId="77777777" w:rsidTr="00A172F7">
        <w:tc>
          <w:tcPr>
            <w:tcW w:w="8956" w:type="dxa"/>
            <w:shd w:val="clear" w:color="auto" w:fill="auto"/>
          </w:tcPr>
          <w:p w14:paraId="632FC037" w14:textId="5D45271B" w:rsidR="006651F3" w:rsidRDefault="00CD4C07" w:rsidP="00E56462">
            <w:pPr>
              <w:spacing w:before="40" w:after="40" w:line="259" w:lineRule="auto"/>
              <w:rPr>
                <w:rFonts w:eastAsia="Calibri" w:cs="Calibri"/>
                <w:color w:val="000000" w:themeColor="text1"/>
              </w:rPr>
            </w:pPr>
            <w:r w:rsidRPr="00F65772">
              <w:rPr>
                <w:rFonts w:eastAsia="Calibri" w:cs="Calibri"/>
                <w:color w:val="000000" w:themeColor="text1"/>
                <w:szCs w:val="22"/>
              </w:rPr>
              <w:t xml:space="preserve">Comment: </w:t>
            </w:r>
            <w:r w:rsidR="0084477E" w:rsidRPr="00F65772">
              <w:rPr>
                <w:rFonts w:eastAsia="Calibri" w:cs="Calibri"/>
                <w:color w:val="000000" w:themeColor="text1"/>
                <w:szCs w:val="22"/>
              </w:rPr>
              <w:t xml:space="preserve">The Children’s Residential Care investigation </w:t>
            </w:r>
            <w:r w:rsidR="0084477E">
              <w:rPr>
                <w:rFonts w:eastAsia="Calibri" w:cs="Calibri"/>
                <w:color w:val="000000" w:themeColor="text1"/>
                <w:szCs w:val="22"/>
              </w:rPr>
              <w:t>public hearing will commence on 3 May.  This will include hearing from survivors in respect of a cross-section of institutions across t</w:t>
            </w:r>
            <w:r w:rsidR="0057734D">
              <w:rPr>
                <w:rFonts w:eastAsia="Calibri" w:cs="Calibri"/>
                <w:color w:val="000000" w:themeColor="text1"/>
                <w:szCs w:val="22"/>
              </w:rPr>
              <w:t xml:space="preserve">he relevant </w:t>
            </w:r>
            <w:proofErr w:type="gramStart"/>
            <w:r w:rsidR="0057734D">
              <w:rPr>
                <w:rFonts w:eastAsia="Calibri" w:cs="Calibri"/>
                <w:color w:val="000000" w:themeColor="text1"/>
                <w:szCs w:val="22"/>
              </w:rPr>
              <w:t>time period</w:t>
            </w:r>
            <w:proofErr w:type="gramEnd"/>
            <w:r w:rsidR="0057734D">
              <w:rPr>
                <w:rFonts w:eastAsia="Calibri" w:cs="Calibri"/>
                <w:color w:val="000000" w:themeColor="text1"/>
                <w:szCs w:val="22"/>
              </w:rPr>
              <w:t xml:space="preserve"> of the Terms of R</w:t>
            </w:r>
            <w:r w:rsidR="0084477E">
              <w:rPr>
                <w:rFonts w:eastAsia="Calibri" w:cs="Calibri"/>
                <w:color w:val="000000" w:themeColor="text1"/>
                <w:szCs w:val="22"/>
              </w:rPr>
              <w:t>eference.  Disclosure of evidence has now been made to participants and natural justice processes are almost complete.</w:t>
            </w:r>
          </w:p>
        </w:tc>
      </w:tr>
    </w:tbl>
    <w:p w14:paraId="4A4C4293" w14:textId="77777777" w:rsidR="00BE67AB" w:rsidRDefault="00BE67AB" w:rsidP="00E56462">
      <w:pPr>
        <w:spacing w:before="40" w:after="40"/>
        <w:rPr>
          <w:rFonts w:eastAsia="Calibri" w:cs="Calibri"/>
        </w:rPr>
      </w:pPr>
    </w:p>
    <w:tbl>
      <w:tblPr>
        <w:tblStyle w:val="DIATable"/>
        <w:tblW w:w="8956" w:type="dxa"/>
        <w:tblInd w:w="-15"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8956"/>
      </w:tblGrid>
      <w:tr w:rsidR="006651F3" w14:paraId="752C1276" w14:textId="77777777" w:rsidTr="00A172F7">
        <w:trPr>
          <w:cnfStyle w:val="100000000000" w:firstRow="1" w:lastRow="0" w:firstColumn="0" w:lastColumn="0" w:oddVBand="0" w:evenVBand="0" w:oddHBand="0" w:evenHBand="0" w:firstRowFirstColumn="0" w:firstRowLastColumn="0" w:lastRowFirstColumn="0" w:lastRowLastColumn="0"/>
        </w:trPr>
        <w:tc>
          <w:tcPr>
            <w:tcW w:w="895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tcPr>
          <w:p w14:paraId="6AA2E0C9" w14:textId="3782B3A2" w:rsidR="006651F3" w:rsidRPr="001045F5" w:rsidRDefault="006651F3" w:rsidP="00E56462">
            <w:pPr>
              <w:spacing w:before="40" w:after="40"/>
              <w:rPr>
                <w:color w:val="auto"/>
                <w:highlight w:val="yellow"/>
              </w:rPr>
            </w:pPr>
            <w:r w:rsidRPr="001045F5">
              <w:rPr>
                <w:bCs/>
                <w:color w:val="auto"/>
              </w:rPr>
              <w:t xml:space="preserve">How we will monitor our performance </w:t>
            </w:r>
            <w:r w:rsidRPr="001045F5">
              <w:rPr>
                <w:bCs/>
                <w:color w:val="auto"/>
              </w:rPr>
              <w:tab/>
            </w:r>
            <w:r>
              <w:rPr>
                <w:bCs/>
                <w:color w:val="auto"/>
              </w:rPr>
              <w:t xml:space="preserve">                            </w:t>
            </w:r>
          </w:p>
        </w:tc>
      </w:tr>
      <w:tr w:rsidR="006651F3" w14:paraId="5EDB8C38" w14:textId="77777777" w:rsidTr="00A172F7">
        <w:tc>
          <w:tcPr>
            <w:tcW w:w="8956" w:type="dxa"/>
            <w:shd w:val="clear" w:color="auto" w:fill="auto"/>
          </w:tcPr>
          <w:p w14:paraId="36CD22D1" w14:textId="77777777" w:rsidR="006651F3" w:rsidRPr="001B71EA" w:rsidRDefault="006651F3" w:rsidP="00E56462">
            <w:pPr>
              <w:spacing w:before="40" w:after="40"/>
              <w:rPr>
                <w:bCs/>
              </w:rPr>
            </w:pPr>
            <w:r w:rsidRPr="00AF14D1">
              <w:rPr>
                <w:rFonts w:eastAsia="Calibri" w:cs="Calibri"/>
                <w:color w:val="000000" w:themeColor="text1"/>
              </w:rPr>
              <w:t xml:space="preserve">Catholic </w:t>
            </w:r>
            <w:r>
              <w:rPr>
                <w:rFonts w:eastAsia="Calibri" w:cs="Calibri"/>
                <w:color w:val="000000" w:themeColor="text1"/>
              </w:rPr>
              <w:t xml:space="preserve">Church investigation </w:t>
            </w:r>
          </w:p>
        </w:tc>
      </w:tr>
      <w:tr w:rsidR="006651F3" w14:paraId="16A9E5FA" w14:textId="77777777" w:rsidTr="00A172F7">
        <w:tc>
          <w:tcPr>
            <w:tcW w:w="8956" w:type="dxa"/>
            <w:shd w:val="clear" w:color="auto" w:fill="auto"/>
          </w:tcPr>
          <w:p w14:paraId="279F30AA" w14:textId="117A0858" w:rsidR="006651F3" w:rsidRPr="00AF14D1" w:rsidRDefault="00CD4C07" w:rsidP="00E56462">
            <w:pPr>
              <w:spacing w:before="40" w:after="40"/>
              <w:rPr>
                <w:rFonts w:eastAsia="Calibri" w:cs="Calibri"/>
                <w:color w:val="000000" w:themeColor="text1"/>
              </w:rPr>
            </w:pPr>
            <w:r w:rsidRPr="00F65772">
              <w:rPr>
                <w:bCs/>
              </w:rPr>
              <w:t>Comment:</w:t>
            </w:r>
            <w:r w:rsidR="0084477E">
              <w:rPr>
                <w:bCs/>
              </w:rPr>
              <w:t xml:space="preserve"> </w:t>
            </w:r>
            <w:r w:rsidR="0084477E" w:rsidRPr="00F65772">
              <w:rPr>
                <w:bCs/>
              </w:rPr>
              <w:t xml:space="preserve">The Catholic Church investigation team </w:t>
            </w:r>
            <w:r w:rsidR="0084477E">
              <w:rPr>
                <w:bCs/>
              </w:rPr>
              <w:t xml:space="preserve">has been engaging in significant planning effort to allocate resource to writing the redress report, the </w:t>
            </w:r>
            <w:proofErr w:type="spellStart"/>
            <w:r w:rsidR="0084477E">
              <w:rPr>
                <w:bCs/>
              </w:rPr>
              <w:t>Marylands</w:t>
            </w:r>
            <w:proofErr w:type="spellEnd"/>
            <w:r w:rsidR="0084477E">
              <w:rPr>
                <w:bCs/>
              </w:rPr>
              <w:t xml:space="preserve"> case study public hearing which will take place in October 2021, and consideration of future case study and investigation work.</w:t>
            </w:r>
            <w:r w:rsidRPr="00F65772">
              <w:rPr>
                <w:bCs/>
              </w:rPr>
              <w:t xml:space="preserve"> </w:t>
            </w:r>
          </w:p>
        </w:tc>
      </w:tr>
    </w:tbl>
    <w:p w14:paraId="1A3EF998" w14:textId="036A27FA" w:rsidR="00A172F7" w:rsidRDefault="00A172F7" w:rsidP="00E56462">
      <w:pPr>
        <w:keepLines w:val="0"/>
        <w:spacing w:before="40" w:after="40"/>
        <w:rPr>
          <w:rFonts w:eastAsia="Calibri" w:cs="Calibri"/>
        </w:rPr>
      </w:pPr>
    </w:p>
    <w:tbl>
      <w:tblPr>
        <w:tblStyle w:val="DIATable"/>
        <w:tblW w:w="8956" w:type="dxa"/>
        <w:tblInd w:w="-15"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8956"/>
      </w:tblGrid>
      <w:tr w:rsidR="006651F3" w14:paraId="1A5EF52D" w14:textId="77777777" w:rsidTr="00A172F7">
        <w:trPr>
          <w:cnfStyle w:val="100000000000" w:firstRow="1" w:lastRow="0" w:firstColumn="0" w:lastColumn="0" w:oddVBand="0" w:evenVBand="0" w:oddHBand="0" w:evenHBand="0" w:firstRowFirstColumn="0" w:firstRowLastColumn="0" w:lastRowFirstColumn="0" w:lastRowLastColumn="0"/>
          <w:trHeight w:val="259"/>
        </w:trPr>
        <w:tc>
          <w:tcPr>
            <w:tcW w:w="895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tcPr>
          <w:p w14:paraId="069DFAC5" w14:textId="2C321602" w:rsidR="006651F3" w:rsidRPr="001045F5" w:rsidRDefault="006651F3" w:rsidP="00E56462">
            <w:pPr>
              <w:spacing w:before="40" w:after="40"/>
              <w:rPr>
                <w:color w:val="auto"/>
                <w:highlight w:val="yellow"/>
              </w:rPr>
            </w:pPr>
            <w:r w:rsidRPr="001045F5">
              <w:rPr>
                <w:bCs/>
                <w:color w:val="auto"/>
              </w:rPr>
              <w:t xml:space="preserve">How we will monitor our performance </w:t>
            </w:r>
            <w:r w:rsidRPr="001045F5">
              <w:rPr>
                <w:bCs/>
                <w:color w:val="auto"/>
              </w:rPr>
              <w:tab/>
            </w:r>
            <w:r>
              <w:rPr>
                <w:bCs/>
                <w:color w:val="auto"/>
              </w:rPr>
              <w:t xml:space="preserve">                            </w:t>
            </w:r>
          </w:p>
        </w:tc>
      </w:tr>
      <w:tr w:rsidR="006651F3" w14:paraId="3B20433C" w14:textId="77777777" w:rsidTr="00A172F7">
        <w:tc>
          <w:tcPr>
            <w:tcW w:w="8956" w:type="dxa"/>
            <w:shd w:val="clear" w:color="auto" w:fill="auto"/>
          </w:tcPr>
          <w:p w14:paraId="47F07944" w14:textId="77777777" w:rsidR="006651F3" w:rsidRPr="001B71EA" w:rsidRDefault="006651F3" w:rsidP="00E56462">
            <w:pPr>
              <w:spacing w:before="40" w:after="40"/>
              <w:rPr>
                <w:bCs/>
              </w:rPr>
            </w:pPr>
            <w:r w:rsidRPr="00AF14D1">
              <w:rPr>
                <w:rFonts w:eastAsia="Calibri" w:cs="Calibri"/>
                <w:color w:val="000000" w:themeColor="text1"/>
              </w:rPr>
              <w:t xml:space="preserve">Anglican </w:t>
            </w:r>
            <w:r>
              <w:rPr>
                <w:rFonts w:eastAsia="Calibri" w:cs="Calibri"/>
                <w:color w:val="000000" w:themeColor="text1"/>
              </w:rPr>
              <w:t xml:space="preserve">Church investigation </w:t>
            </w:r>
          </w:p>
        </w:tc>
      </w:tr>
      <w:tr w:rsidR="006651F3" w14:paraId="377D8C57" w14:textId="77777777" w:rsidTr="00A172F7">
        <w:tc>
          <w:tcPr>
            <w:tcW w:w="8956" w:type="dxa"/>
            <w:shd w:val="clear" w:color="auto" w:fill="auto"/>
          </w:tcPr>
          <w:p w14:paraId="5FC02B90" w14:textId="3A14BAAF" w:rsidR="006651F3" w:rsidRPr="00AF14D1" w:rsidRDefault="00CD4C07" w:rsidP="00E56462">
            <w:pPr>
              <w:spacing w:before="40" w:after="40"/>
              <w:rPr>
                <w:rFonts w:eastAsia="Calibri" w:cs="Calibri"/>
                <w:color w:val="000000" w:themeColor="text1"/>
              </w:rPr>
            </w:pPr>
            <w:r w:rsidRPr="00F65772">
              <w:rPr>
                <w:rFonts w:eastAsia="Calibri" w:cs="Calibri"/>
                <w:color w:val="000000" w:themeColor="text1"/>
              </w:rPr>
              <w:t>Comment:</w:t>
            </w:r>
            <w:r w:rsidR="0084477E">
              <w:rPr>
                <w:bCs/>
              </w:rPr>
              <w:t xml:space="preserve"> </w:t>
            </w:r>
            <w:r w:rsidR="00EE10D5" w:rsidRPr="00F65772">
              <w:rPr>
                <w:bCs/>
              </w:rPr>
              <w:t xml:space="preserve">The Anglican </w:t>
            </w:r>
            <w:r w:rsidR="00EE10D5">
              <w:rPr>
                <w:bCs/>
              </w:rPr>
              <w:t>i</w:t>
            </w:r>
            <w:r w:rsidR="00EE10D5" w:rsidRPr="00F65772">
              <w:rPr>
                <w:bCs/>
              </w:rPr>
              <w:t xml:space="preserve">nvestigation </w:t>
            </w:r>
            <w:r w:rsidR="00EE10D5">
              <w:rPr>
                <w:bCs/>
              </w:rPr>
              <w:t>team is contributing to the redress report and planning for the next case study, which is yet to be confirmed.</w:t>
            </w:r>
          </w:p>
        </w:tc>
      </w:tr>
    </w:tbl>
    <w:p w14:paraId="3A1BA3A4" w14:textId="77777777" w:rsidR="0084477E" w:rsidRDefault="0084477E" w:rsidP="009C6A4E">
      <w:pPr>
        <w:rPr>
          <w:b/>
          <w:bCs/>
          <w:i/>
          <w:color w:val="1F546B" w:themeColor="text2"/>
          <w:szCs w:val="28"/>
        </w:rPr>
      </w:pPr>
    </w:p>
    <w:p w14:paraId="3AA413D9" w14:textId="09C3DDAB" w:rsidR="00664521" w:rsidRPr="009C6A4E" w:rsidRDefault="00BE67AB" w:rsidP="009C6A4E">
      <w:pPr>
        <w:rPr>
          <w:rFonts w:eastAsia="Calibri" w:cs="Calibri"/>
        </w:rPr>
      </w:pPr>
      <w:r w:rsidRPr="00391B9D">
        <w:rPr>
          <w:b/>
          <w:bCs/>
          <w:i/>
          <w:color w:val="1F546B" w:themeColor="text2"/>
          <w:szCs w:val="28"/>
        </w:rPr>
        <w:lastRenderedPageBreak/>
        <w:t>Research and Policy</w:t>
      </w:r>
      <w:r>
        <w:rPr>
          <w:b/>
          <w:bCs/>
          <w:i/>
          <w:color w:val="1F546B" w:themeColor="text2"/>
          <w:szCs w:val="28"/>
        </w:rPr>
        <w:br/>
      </w:r>
      <w:r>
        <w:br/>
        <w:t>This work is focussed on delivering research products to support the investigations and hearings workstreams. Other discrete research and policy work will sit outside the Investigations and Hearings streams. This work will include research and briefings, round tables, Commissioner information sessions, written reports – both internal and commissioned - and other information needs to support Commissioners.</w:t>
      </w:r>
      <w:r w:rsidRPr="00A0793F">
        <w:rPr>
          <w:rFonts w:eastAsia="Calibri" w:cs="Calibri"/>
        </w:rPr>
        <w:t xml:space="preserve"> </w:t>
      </w:r>
      <w:r>
        <w:rPr>
          <w:rFonts w:eastAsia="Calibri" w:cs="Calibri"/>
        </w:rPr>
        <w:t>Separate reporting against each stream of the policy work programme – core and investigative - will occur progressively as they are established.</w:t>
      </w:r>
    </w:p>
    <w:tbl>
      <w:tblPr>
        <w:tblStyle w:val="DIATable"/>
        <w:tblW w:w="9072" w:type="dxa"/>
        <w:tblInd w:w="-15"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9072"/>
      </w:tblGrid>
      <w:tr w:rsidR="008F0B59" w:rsidRPr="00061335" w14:paraId="7B4D291F" w14:textId="77777777" w:rsidTr="00A172F7">
        <w:trPr>
          <w:cnfStyle w:val="100000000000" w:firstRow="1" w:lastRow="0" w:firstColumn="0" w:lastColumn="0" w:oddVBand="0" w:evenVBand="0" w:oddHBand="0" w:evenHBand="0" w:firstRowFirstColumn="0" w:firstRowLastColumn="0" w:lastRowFirstColumn="0" w:lastRowLastColumn="0"/>
        </w:trPr>
        <w:tc>
          <w:tcPr>
            <w:tcW w:w="907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2D050"/>
          </w:tcPr>
          <w:p w14:paraId="439A49A4" w14:textId="1883217F" w:rsidR="008F0B59" w:rsidRPr="00061335" w:rsidRDefault="008F0B59" w:rsidP="000C2E09">
            <w:pPr>
              <w:spacing w:line="259" w:lineRule="auto"/>
              <w:rPr>
                <w:rFonts w:asciiTheme="minorHAnsi" w:hAnsiTheme="minorHAnsi" w:cstheme="minorHAnsi"/>
                <w:color w:val="auto"/>
                <w:szCs w:val="22"/>
                <w:highlight w:val="yellow"/>
              </w:rPr>
            </w:pPr>
            <w:r w:rsidRPr="00061335">
              <w:rPr>
                <w:rFonts w:asciiTheme="minorHAnsi" w:hAnsiTheme="minorHAnsi" w:cstheme="minorHAnsi"/>
                <w:bCs/>
                <w:color w:val="auto"/>
                <w:szCs w:val="22"/>
              </w:rPr>
              <w:t xml:space="preserve">How we will monitor our performance </w:t>
            </w:r>
            <w:r w:rsidRPr="00061335">
              <w:rPr>
                <w:rFonts w:asciiTheme="minorHAnsi" w:hAnsiTheme="minorHAnsi" w:cstheme="minorHAnsi"/>
                <w:bCs/>
                <w:color w:val="auto"/>
                <w:szCs w:val="22"/>
              </w:rPr>
              <w:tab/>
              <w:t xml:space="preserve">                  </w:t>
            </w:r>
            <w:r>
              <w:rPr>
                <w:rFonts w:asciiTheme="minorHAnsi" w:hAnsiTheme="minorHAnsi" w:cstheme="minorHAnsi"/>
                <w:bCs/>
                <w:color w:val="auto"/>
                <w:szCs w:val="22"/>
              </w:rPr>
              <w:t xml:space="preserve">         </w:t>
            </w:r>
            <w:r w:rsidRPr="00061335">
              <w:rPr>
                <w:rFonts w:asciiTheme="minorHAnsi" w:hAnsiTheme="minorHAnsi" w:cstheme="minorHAnsi"/>
                <w:bCs/>
                <w:color w:val="auto"/>
                <w:szCs w:val="22"/>
              </w:rPr>
              <w:t xml:space="preserve"> </w:t>
            </w:r>
          </w:p>
        </w:tc>
      </w:tr>
      <w:tr w:rsidR="008F0B59" w:rsidRPr="00061335" w14:paraId="3B822040" w14:textId="77777777" w:rsidTr="00A172F7">
        <w:tc>
          <w:tcPr>
            <w:tcW w:w="9072" w:type="dxa"/>
          </w:tcPr>
          <w:p w14:paraId="0849857A" w14:textId="4555C05A" w:rsidR="00EE10D5" w:rsidRPr="005E34A7" w:rsidRDefault="00CD4C07" w:rsidP="00EE10D5">
            <w:pPr>
              <w:spacing w:line="259" w:lineRule="auto"/>
              <w:rPr>
                <w:bCs/>
              </w:rPr>
            </w:pPr>
            <w:r>
              <w:rPr>
                <w:bCs/>
              </w:rPr>
              <w:t xml:space="preserve">Comment: </w:t>
            </w:r>
            <w:r w:rsidR="00EE10D5" w:rsidRPr="005E34A7">
              <w:rPr>
                <w:bCs/>
              </w:rPr>
              <w:t>The R</w:t>
            </w:r>
            <w:r w:rsidR="00C77C02">
              <w:rPr>
                <w:bCs/>
              </w:rPr>
              <w:t xml:space="preserve">esearch and Policy (R&amp;P) </w:t>
            </w:r>
            <w:r w:rsidR="00EE10D5" w:rsidRPr="005E34A7">
              <w:rPr>
                <w:bCs/>
              </w:rPr>
              <w:t xml:space="preserve">work programme to the end of June 2021 was signed off last quarter.  Overall, work against the plan is progressing well, with </w:t>
            </w:r>
            <w:proofErr w:type="gramStart"/>
            <w:r w:rsidR="00EE10D5" w:rsidRPr="005E34A7">
              <w:rPr>
                <w:bCs/>
              </w:rPr>
              <w:t>a number of</w:t>
            </w:r>
            <w:proofErr w:type="gramEnd"/>
            <w:r w:rsidR="00EE10D5" w:rsidRPr="005E34A7">
              <w:rPr>
                <w:bCs/>
              </w:rPr>
              <w:t xml:space="preserve"> key deliverables being completed and published, with timeframes being tightly managed.</w:t>
            </w:r>
          </w:p>
          <w:p w14:paraId="70A315A4" w14:textId="07925B7C" w:rsidR="008F0B59" w:rsidRPr="00061335" w:rsidRDefault="00EE10D5" w:rsidP="00EE10D5">
            <w:pPr>
              <w:rPr>
                <w:rFonts w:asciiTheme="minorHAnsi" w:hAnsiTheme="minorHAnsi" w:cstheme="minorHAnsi"/>
                <w:szCs w:val="22"/>
              </w:rPr>
            </w:pPr>
            <w:r w:rsidRPr="005E34A7">
              <w:rPr>
                <w:bCs/>
              </w:rPr>
              <w:t>Attention now turns to planning for the work programme for the remainder of 2021 and into 2022, including agreeing R&amp;P workplans in collaboration with each investigation, as well as determining any future pan-inquiry deliverables.</w:t>
            </w:r>
            <w:r>
              <w:rPr>
                <w:bCs/>
              </w:rPr>
              <w:t xml:space="preserve">  A big focus of the work plan between now and the end of October 2021 will be supporting the redress report.</w:t>
            </w:r>
          </w:p>
        </w:tc>
      </w:tr>
    </w:tbl>
    <w:p w14:paraId="38D6F72A" w14:textId="0A10E2BB" w:rsidR="00BE67AB" w:rsidRPr="00AF14D1" w:rsidRDefault="00BE67AB" w:rsidP="00BE67AB">
      <w:pPr>
        <w:keepLines w:val="0"/>
        <w:rPr>
          <w:b/>
          <w:bCs/>
          <w:i/>
          <w:color w:val="1F546B" w:themeColor="text2"/>
          <w:szCs w:val="28"/>
        </w:rPr>
      </w:pPr>
      <w:r>
        <w:rPr>
          <w:b/>
          <w:bCs/>
          <w:i/>
          <w:color w:val="1F546B" w:themeColor="text2"/>
          <w:szCs w:val="28"/>
        </w:rPr>
        <w:br/>
      </w:r>
      <w:r w:rsidRPr="00AF14D1">
        <w:rPr>
          <w:b/>
          <w:bCs/>
          <w:i/>
          <w:color w:val="1F546B" w:themeColor="text2"/>
          <w:szCs w:val="28"/>
        </w:rPr>
        <w:t>Survivor Accounts</w:t>
      </w:r>
    </w:p>
    <w:p w14:paraId="2A998354" w14:textId="097BA1CC" w:rsidR="00EE10D5" w:rsidRPr="00522E85" w:rsidRDefault="00EE10D5" w:rsidP="00EE10D5">
      <w:r w:rsidRPr="00522E85">
        <w:t xml:space="preserve">We </w:t>
      </w:r>
      <w:r>
        <w:t>had forecast that approximately</w:t>
      </w:r>
      <w:r w:rsidRPr="00522E85">
        <w:t xml:space="preserve"> 2</w:t>
      </w:r>
      <w:r>
        <w:t>,</w:t>
      </w:r>
      <w:r w:rsidRPr="00522E85">
        <w:t>000 survivors w</w:t>
      </w:r>
      <w:r>
        <w:t>ould</w:t>
      </w:r>
      <w:r w:rsidRPr="00522E85">
        <w:t xml:space="preserve"> be registered with the Inquiry in the 2020/21 financial year. </w:t>
      </w:r>
      <w:r>
        <w:t xml:space="preserve"> </w:t>
      </w:r>
      <w:r w:rsidR="00586359">
        <w:t xml:space="preserve">This will not now be met. </w:t>
      </w:r>
      <w:r>
        <w:t xml:space="preserve">We anticipated increased interest and awareness would develop resulting from Public Hearings, particularly those </w:t>
      </w:r>
      <w:r w:rsidR="006059CE">
        <w:t>h</w:t>
      </w:r>
      <w:r>
        <w:t>earings where survivors are active participants,</w:t>
      </w:r>
      <w:r w:rsidR="00586359">
        <w:t xml:space="preserve"> together with</w:t>
      </w:r>
      <w:r>
        <w:t xml:space="preserve"> community outreach, treaty engagements and hui, promotional communication strategies and word of mouth.  This has been true with between a three to four-fold increase in survivor related activities and enquiries.  However, it is now forecast that between 900 to 1,000 survivors will register during the 2020/21 financial year.</w:t>
      </w:r>
    </w:p>
    <w:p w14:paraId="79990A1E" w14:textId="27C11188" w:rsidR="00EE10D5" w:rsidRPr="00522E85" w:rsidRDefault="00EE10D5" w:rsidP="00BE67AB">
      <w:r>
        <w:br/>
      </w:r>
      <w:r>
        <w:br/>
      </w:r>
    </w:p>
    <w:tbl>
      <w:tblPr>
        <w:tblStyle w:val="TableGrid"/>
        <w:tblW w:w="9064" w:type="dxa"/>
        <w:tblLayout w:type="fixed"/>
        <w:tblLook w:val="04A0" w:firstRow="1" w:lastRow="0" w:firstColumn="1" w:lastColumn="0" w:noHBand="0" w:noVBand="1"/>
      </w:tblPr>
      <w:tblGrid>
        <w:gridCol w:w="3729"/>
        <w:gridCol w:w="992"/>
        <w:gridCol w:w="992"/>
        <w:gridCol w:w="1083"/>
        <w:gridCol w:w="1134"/>
        <w:gridCol w:w="1134"/>
      </w:tblGrid>
      <w:tr w:rsidR="00EE10D5" w14:paraId="3A23286F" w14:textId="77777777" w:rsidTr="009B56F3">
        <w:tc>
          <w:tcPr>
            <w:tcW w:w="3729" w:type="dxa"/>
            <w:tcBorders>
              <w:top w:val="single" w:sz="6" w:space="0" w:color="auto"/>
              <w:left w:val="single" w:sz="6" w:space="0" w:color="auto"/>
            </w:tcBorders>
            <w:shd w:val="clear" w:color="auto" w:fill="92CC63" w:themeFill="accent4" w:themeFillTint="99"/>
          </w:tcPr>
          <w:p w14:paraId="7F2611F7" w14:textId="77777777" w:rsidR="00EE10D5" w:rsidRPr="00061335" w:rsidRDefault="00EE10D5" w:rsidP="009B56F3">
            <w:pPr>
              <w:keepNext/>
              <w:spacing w:before="40" w:after="40" w:line="259" w:lineRule="auto"/>
              <w:rPr>
                <w:bCs/>
                <w:sz w:val="22"/>
                <w:szCs w:val="22"/>
              </w:rPr>
            </w:pPr>
            <w:bookmarkStart w:id="6" w:name="_Hlk55375203"/>
            <w:r>
              <w:rPr>
                <w:b/>
                <w:bCs/>
                <w:sz w:val="22"/>
                <w:szCs w:val="22"/>
              </w:rPr>
              <w:lastRenderedPageBreak/>
              <w:t xml:space="preserve">How </w:t>
            </w:r>
            <w:r w:rsidRPr="00061335">
              <w:rPr>
                <w:b/>
                <w:bCs/>
                <w:sz w:val="22"/>
                <w:szCs w:val="22"/>
              </w:rPr>
              <w:t xml:space="preserve">we will monitor our performance </w:t>
            </w:r>
            <w:r w:rsidRPr="00061335">
              <w:rPr>
                <w:b/>
                <w:bCs/>
                <w:sz w:val="22"/>
                <w:szCs w:val="22"/>
              </w:rPr>
              <w:tab/>
            </w:r>
          </w:p>
        </w:tc>
        <w:tc>
          <w:tcPr>
            <w:tcW w:w="992" w:type="dxa"/>
            <w:tcBorders>
              <w:top w:val="single" w:sz="6" w:space="0" w:color="auto"/>
            </w:tcBorders>
            <w:shd w:val="clear" w:color="auto" w:fill="92CC63" w:themeFill="accent4" w:themeFillTint="99"/>
          </w:tcPr>
          <w:p w14:paraId="728C253E" w14:textId="77777777" w:rsidR="00EE10D5" w:rsidRPr="00061335" w:rsidRDefault="00EE10D5" w:rsidP="009B56F3">
            <w:pPr>
              <w:keepNext/>
              <w:spacing w:before="40" w:after="40" w:line="259" w:lineRule="auto"/>
              <w:jc w:val="center"/>
              <w:rPr>
                <w:bCs/>
                <w:sz w:val="22"/>
                <w:szCs w:val="22"/>
              </w:rPr>
            </w:pPr>
            <w:r w:rsidRPr="00061335">
              <w:rPr>
                <w:b/>
                <w:bCs/>
                <w:sz w:val="22"/>
                <w:szCs w:val="22"/>
              </w:rPr>
              <w:t>Target 20/21</w:t>
            </w:r>
          </w:p>
        </w:tc>
        <w:tc>
          <w:tcPr>
            <w:tcW w:w="992" w:type="dxa"/>
            <w:tcBorders>
              <w:top w:val="single" w:sz="6" w:space="0" w:color="auto"/>
            </w:tcBorders>
            <w:shd w:val="clear" w:color="auto" w:fill="92CC63" w:themeFill="accent4" w:themeFillTint="99"/>
          </w:tcPr>
          <w:p w14:paraId="057DA6C0" w14:textId="77777777" w:rsidR="00EE10D5" w:rsidRDefault="00EE10D5" w:rsidP="009B56F3">
            <w:pPr>
              <w:keepNext/>
              <w:spacing w:before="40" w:after="40" w:line="259" w:lineRule="auto"/>
              <w:jc w:val="center"/>
              <w:rPr>
                <w:b/>
                <w:bCs/>
                <w:sz w:val="22"/>
                <w:szCs w:val="22"/>
              </w:rPr>
            </w:pPr>
            <w:r>
              <w:rPr>
                <w:b/>
                <w:bCs/>
                <w:sz w:val="22"/>
                <w:szCs w:val="22"/>
              </w:rPr>
              <w:t>YTD</w:t>
            </w:r>
            <w:r>
              <w:rPr>
                <w:b/>
                <w:bCs/>
                <w:sz w:val="22"/>
                <w:szCs w:val="22"/>
              </w:rPr>
              <w:br/>
              <w:t>20/21</w:t>
            </w:r>
          </w:p>
        </w:tc>
        <w:tc>
          <w:tcPr>
            <w:tcW w:w="1083" w:type="dxa"/>
            <w:tcBorders>
              <w:top w:val="single" w:sz="6" w:space="0" w:color="auto"/>
            </w:tcBorders>
            <w:shd w:val="clear" w:color="auto" w:fill="92CC63" w:themeFill="accent4" w:themeFillTint="99"/>
          </w:tcPr>
          <w:p w14:paraId="4072C487" w14:textId="77777777" w:rsidR="00EE10D5" w:rsidRDefault="00EE10D5" w:rsidP="009B56F3">
            <w:pPr>
              <w:keepNext/>
              <w:spacing w:before="40" w:after="40" w:line="259" w:lineRule="auto"/>
              <w:jc w:val="center"/>
              <w:rPr>
                <w:b/>
                <w:bCs/>
                <w:sz w:val="22"/>
                <w:szCs w:val="22"/>
              </w:rPr>
            </w:pPr>
            <w:r>
              <w:rPr>
                <w:b/>
                <w:bCs/>
                <w:sz w:val="22"/>
                <w:szCs w:val="22"/>
              </w:rPr>
              <w:t>Jan-Mar 2021</w:t>
            </w:r>
          </w:p>
        </w:tc>
        <w:tc>
          <w:tcPr>
            <w:tcW w:w="1134" w:type="dxa"/>
            <w:tcBorders>
              <w:top w:val="single" w:sz="6" w:space="0" w:color="auto"/>
            </w:tcBorders>
            <w:shd w:val="clear" w:color="auto" w:fill="92CC63" w:themeFill="accent4" w:themeFillTint="99"/>
          </w:tcPr>
          <w:p w14:paraId="0DEA5267" w14:textId="77777777" w:rsidR="00EE10D5" w:rsidRDefault="00EE10D5" w:rsidP="009B56F3">
            <w:pPr>
              <w:keepNext/>
              <w:spacing w:before="40" w:after="40" w:line="259" w:lineRule="auto"/>
              <w:jc w:val="center"/>
              <w:rPr>
                <w:b/>
                <w:bCs/>
                <w:sz w:val="22"/>
                <w:szCs w:val="22"/>
              </w:rPr>
            </w:pPr>
            <w:r>
              <w:rPr>
                <w:b/>
                <w:bCs/>
                <w:sz w:val="22"/>
                <w:szCs w:val="22"/>
              </w:rPr>
              <w:t>Oct-Dec 2020</w:t>
            </w:r>
          </w:p>
        </w:tc>
        <w:tc>
          <w:tcPr>
            <w:tcW w:w="1134" w:type="dxa"/>
            <w:tcBorders>
              <w:top w:val="single" w:sz="6" w:space="0" w:color="auto"/>
              <w:right w:val="single" w:sz="6" w:space="0" w:color="auto"/>
            </w:tcBorders>
            <w:shd w:val="clear" w:color="auto" w:fill="92CC63" w:themeFill="accent4" w:themeFillTint="99"/>
          </w:tcPr>
          <w:p w14:paraId="7167E759" w14:textId="77777777" w:rsidR="00EE10D5" w:rsidRPr="00061335" w:rsidRDefault="00EE10D5" w:rsidP="009B56F3">
            <w:pPr>
              <w:keepNext/>
              <w:spacing w:before="40" w:after="40" w:line="259" w:lineRule="auto"/>
              <w:jc w:val="center"/>
              <w:rPr>
                <w:bCs/>
                <w:sz w:val="22"/>
                <w:szCs w:val="22"/>
              </w:rPr>
            </w:pPr>
            <w:r>
              <w:rPr>
                <w:b/>
                <w:bCs/>
                <w:sz w:val="22"/>
                <w:szCs w:val="22"/>
              </w:rPr>
              <w:t>July-Sept 2020</w:t>
            </w:r>
          </w:p>
        </w:tc>
      </w:tr>
      <w:tr w:rsidR="00EE10D5" w14:paraId="094C3A25" w14:textId="77777777" w:rsidTr="009B56F3">
        <w:tc>
          <w:tcPr>
            <w:tcW w:w="3729" w:type="dxa"/>
            <w:tcBorders>
              <w:left w:val="single" w:sz="6" w:space="0" w:color="auto"/>
            </w:tcBorders>
          </w:tcPr>
          <w:p w14:paraId="71D301C3" w14:textId="77777777" w:rsidR="00EE10D5" w:rsidRPr="00061335" w:rsidRDefault="00EE10D5" w:rsidP="009B56F3">
            <w:pPr>
              <w:keepNext/>
              <w:spacing w:before="40" w:after="40" w:line="259" w:lineRule="auto"/>
              <w:rPr>
                <w:bCs/>
                <w:sz w:val="22"/>
                <w:szCs w:val="22"/>
              </w:rPr>
            </w:pPr>
            <w:r w:rsidRPr="00061335">
              <w:rPr>
                <w:bCs/>
                <w:sz w:val="22"/>
                <w:szCs w:val="22"/>
              </w:rPr>
              <w:t>Total Survivor registrations</w:t>
            </w:r>
          </w:p>
        </w:tc>
        <w:tc>
          <w:tcPr>
            <w:tcW w:w="992" w:type="dxa"/>
          </w:tcPr>
          <w:p w14:paraId="46F79511" w14:textId="77777777" w:rsidR="00EE10D5" w:rsidRPr="001B71EA" w:rsidRDefault="00EE10D5" w:rsidP="009B56F3">
            <w:pPr>
              <w:keepNext/>
              <w:spacing w:before="40" w:after="40" w:line="259" w:lineRule="auto"/>
              <w:jc w:val="center"/>
              <w:rPr>
                <w:bCs/>
                <w:sz w:val="22"/>
                <w:szCs w:val="22"/>
                <w:highlight w:val="yellow"/>
              </w:rPr>
            </w:pPr>
            <w:r w:rsidRPr="001A6441">
              <w:rPr>
                <w:bCs/>
                <w:sz w:val="22"/>
                <w:szCs w:val="22"/>
              </w:rPr>
              <w:t>2000</w:t>
            </w:r>
          </w:p>
        </w:tc>
        <w:tc>
          <w:tcPr>
            <w:tcW w:w="992" w:type="dxa"/>
          </w:tcPr>
          <w:p w14:paraId="231E9780" w14:textId="77777777" w:rsidR="00EE10D5" w:rsidRDefault="00EE10D5" w:rsidP="009B56F3">
            <w:pPr>
              <w:keepNext/>
              <w:spacing w:before="40" w:after="40" w:line="259" w:lineRule="auto"/>
              <w:jc w:val="center"/>
              <w:rPr>
                <w:bCs/>
                <w:sz w:val="22"/>
                <w:szCs w:val="22"/>
              </w:rPr>
            </w:pPr>
            <w:r>
              <w:rPr>
                <w:bCs/>
                <w:sz w:val="22"/>
                <w:szCs w:val="22"/>
              </w:rPr>
              <w:t>648</w:t>
            </w:r>
          </w:p>
        </w:tc>
        <w:tc>
          <w:tcPr>
            <w:tcW w:w="1083" w:type="dxa"/>
          </w:tcPr>
          <w:p w14:paraId="67A6D9AC" w14:textId="77777777" w:rsidR="00EE10D5" w:rsidRDefault="00EE10D5" w:rsidP="009B56F3">
            <w:pPr>
              <w:keepNext/>
              <w:spacing w:before="40" w:after="40" w:line="259" w:lineRule="auto"/>
              <w:jc w:val="center"/>
              <w:rPr>
                <w:bCs/>
                <w:sz w:val="22"/>
                <w:szCs w:val="22"/>
              </w:rPr>
            </w:pPr>
            <w:r>
              <w:rPr>
                <w:bCs/>
                <w:sz w:val="22"/>
                <w:szCs w:val="22"/>
              </w:rPr>
              <w:t>185</w:t>
            </w:r>
          </w:p>
        </w:tc>
        <w:tc>
          <w:tcPr>
            <w:tcW w:w="1134" w:type="dxa"/>
          </w:tcPr>
          <w:p w14:paraId="06F982F7" w14:textId="77777777" w:rsidR="00EE10D5" w:rsidRDefault="00EE10D5" w:rsidP="009B56F3">
            <w:pPr>
              <w:keepNext/>
              <w:spacing w:before="40" w:after="40" w:line="259" w:lineRule="auto"/>
              <w:jc w:val="center"/>
              <w:rPr>
                <w:bCs/>
                <w:sz w:val="22"/>
                <w:szCs w:val="22"/>
              </w:rPr>
            </w:pPr>
            <w:r>
              <w:rPr>
                <w:bCs/>
                <w:sz w:val="22"/>
                <w:szCs w:val="22"/>
              </w:rPr>
              <w:t>263</w:t>
            </w:r>
          </w:p>
        </w:tc>
        <w:tc>
          <w:tcPr>
            <w:tcW w:w="1134" w:type="dxa"/>
            <w:tcBorders>
              <w:right w:val="single" w:sz="6" w:space="0" w:color="auto"/>
            </w:tcBorders>
          </w:tcPr>
          <w:p w14:paraId="2D21EB4A" w14:textId="77777777" w:rsidR="00EE10D5" w:rsidRPr="00B93DB4" w:rsidRDefault="00EE10D5" w:rsidP="009B56F3">
            <w:pPr>
              <w:keepNext/>
              <w:spacing w:before="40" w:after="40" w:line="259" w:lineRule="auto"/>
              <w:jc w:val="center"/>
              <w:rPr>
                <w:bCs/>
                <w:sz w:val="22"/>
                <w:szCs w:val="22"/>
              </w:rPr>
            </w:pPr>
            <w:r>
              <w:rPr>
                <w:bCs/>
                <w:sz w:val="22"/>
                <w:szCs w:val="22"/>
              </w:rPr>
              <w:t>200</w:t>
            </w:r>
          </w:p>
        </w:tc>
      </w:tr>
      <w:tr w:rsidR="00EE10D5" w14:paraId="741B4129" w14:textId="77777777" w:rsidTr="009B56F3">
        <w:tc>
          <w:tcPr>
            <w:tcW w:w="3729" w:type="dxa"/>
            <w:tcBorders>
              <w:left w:val="single" w:sz="6" w:space="0" w:color="auto"/>
            </w:tcBorders>
          </w:tcPr>
          <w:p w14:paraId="4C5F6320" w14:textId="77777777" w:rsidR="00EE10D5" w:rsidRPr="00061335" w:rsidRDefault="00EE10D5" w:rsidP="009B56F3">
            <w:pPr>
              <w:keepNext/>
              <w:spacing w:before="40" w:after="40" w:line="259" w:lineRule="auto"/>
              <w:rPr>
                <w:bCs/>
                <w:sz w:val="22"/>
                <w:szCs w:val="22"/>
              </w:rPr>
            </w:pPr>
            <w:r w:rsidRPr="00061335">
              <w:rPr>
                <w:bCs/>
                <w:sz w:val="22"/>
                <w:szCs w:val="22"/>
              </w:rPr>
              <w:t>Private sessions conducted</w:t>
            </w:r>
            <w:r>
              <w:rPr>
                <w:bCs/>
                <w:sz w:val="22"/>
                <w:szCs w:val="22"/>
              </w:rPr>
              <w:t>, including Written Accounts and Zoom sessions</w:t>
            </w:r>
            <w:r w:rsidRPr="00061335">
              <w:rPr>
                <w:bCs/>
                <w:sz w:val="22"/>
                <w:szCs w:val="22"/>
              </w:rPr>
              <w:t xml:space="preserve">                                                       </w:t>
            </w:r>
          </w:p>
        </w:tc>
        <w:tc>
          <w:tcPr>
            <w:tcW w:w="992" w:type="dxa"/>
          </w:tcPr>
          <w:p w14:paraId="026A999F" w14:textId="77777777" w:rsidR="00EE10D5" w:rsidRPr="001B71EA" w:rsidRDefault="00EE10D5" w:rsidP="009B56F3">
            <w:pPr>
              <w:keepNext/>
              <w:spacing w:before="40" w:after="40" w:line="259" w:lineRule="auto"/>
              <w:jc w:val="center"/>
              <w:rPr>
                <w:bCs/>
                <w:sz w:val="22"/>
                <w:szCs w:val="22"/>
                <w:highlight w:val="yellow"/>
              </w:rPr>
            </w:pPr>
            <w:r w:rsidRPr="002D7B49">
              <w:rPr>
                <w:bCs/>
                <w:sz w:val="22"/>
                <w:szCs w:val="22"/>
              </w:rPr>
              <w:t>320</w:t>
            </w:r>
          </w:p>
        </w:tc>
        <w:tc>
          <w:tcPr>
            <w:tcW w:w="992" w:type="dxa"/>
          </w:tcPr>
          <w:p w14:paraId="4E9417D1" w14:textId="77777777" w:rsidR="00EE10D5" w:rsidRDefault="00EE10D5" w:rsidP="009B56F3">
            <w:pPr>
              <w:keepNext/>
              <w:spacing w:before="40" w:after="40" w:line="259" w:lineRule="auto"/>
              <w:jc w:val="center"/>
              <w:rPr>
                <w:bCs/>
                <w:sz w:val="22"/>
                <w:szCs w:val="22"/>
              </w:rPr>
            </w:pPr>
            <w:r>
              <w:rPr>
                <w:bCs/>
                <w:sz w:val="22"/>
                <w:szCs w:val="22"/>
              </w:rPr>
              <w:t>328</w:t>
            </w:r>
          </w:p>
        </w:tc>
        <w:tc>
          <w:tcPr>
            <w:tcW w:w="1083" w:type="dxa"/>
          </w:tcPr>
          <w:p w14:paraId="22628977" w14:textId="77777777" w:rsidR="00EE10D5" w:rsidRDefault="00EE10D5" w:rsidP="009B56F3">
            <w:pPr>
              <w:keepNext/>
              <w:spacing w:before="40" w:after="40" w:line="259" w:lineRule="auto"/>
              <w:jc w:val="center"/>
              <w:rPr>
                <w:bCs/>
                <w:sz w:val="22"/>
                <w:szCs w:val="22"/>
              </w:rPr>
            </w:pPr>
            <w:r>
              <w:rPr>
                <w:bCs/>
                <w:sz w:val="22"/>
                <w:szCs w:val="22"/>
              </w:rPr>
              <w:t>107</w:t>
            </w:r>
          </w:p>
        </w:tc>
        <w:tc>
          <w:tcPr>
            <w:tcW w:w="1134" w:type="dxa"/>
          </w:tcPr>
          <w:p w14:paraId="39407139" w14:textId="77777777" w:rsidR="00EE10D5" w:rsidRDefault="00EE10D5" w:rsidP="009B56F3">
            <w:pPr>
              <w:keepNext/>
              <w:spacing w:before="40" w:after="40" w:line="259" w:lineRule="auto"/>
              <w:jc w:val="center"/>
              <w:rPr>
                <w:bCs/>
                <w:sz w:val="22"/>
                <w:szCs w:val="22"/>
              </w:rPr>
            </w:pPr>
            <w:r>
              <w:rPr>
                <w:bCs/>
                <w:sz w:val="22"/>
                <w:szCs w:val="22"/>
              </w:rPr>
              <w:t>94</w:t>
            </w:r>
          </w:p>
        </w:tc>
        <w:tc>
          <w:tcPr>
            <w:tcW w:w="1134" w:type="dxa"/>
            <w:tcBorders>
              <w:right w:val="single" w:sz="6" w:space="0" w:color="auto"/>
            </w:tcBorders>
          </w:tcPr>
          <w:p w14:paraId="78446D1F" w14:textId="77777777" w:rsidR="00EE10D5" w:rsidRPr="00061335" w:rsidRDefault="00EE10D5" w:rsidP="009B56F3">
            <w:pPr>
              <w:keepNext/>
              <w:spacing w:before="40" w:after="40" w:line="259" w:lineRule="auto"/>
              <w:jc w:val="center"/>
              <w:rPr>
                <w:bCs/>
                <w:sz w:val="22"/>
                <w:szCs w:val="22"/>
              </w:rPr>
            </w:pPr>
            <w:r>
              <w:rPr>
                <w:bCs/>
                <w:sz w:val="22"/>
                <w:szCs w:val="22"/>
              </w:rPr>
              <w:t>127</w:t>
            </w:r>
          </w:p>
        </w:tc>
      </w:tr>
      <w:tr w:rsidR="00EE10D5" w14:paraId="64A25A75" w14:textId="77777777" w:rsidTr="009B56F3">
        <w:tc>
          <w:tcPr>
            <w:tcW w:w="3729" w:type="dxa"/>
            <w:tcBorders>
              <w:left w:val="single" w:sz="6" w:space="0" w:color="auto"/>
            </w:tcBorders>
          </w:tcPr>
          <w:p w14:paraId="549FA852" w14:textId="77777777" w:rsidR="00EE10D5" w:rsidRPr="00061335" w:rsidRDefault="00EE10D5" w:rsidP="009B56F3">
            <w:pPr>
              <w:keepNext/>
              <w:spacing w:before="40" w:after="40" w:line="259" w:lineRule="auto"/>
              <w:rPr>
                <w:bCs/>
                <w:sz w:val="22"/>
                <w:szCs w:val="22"/>
              </w:rPr>
            </w:pPr>
            <w:r>
              <w:rPr>
                <w:bCs/>
                <w:sz w:val="22"/>
                <w:szCs w:val="22"/>
              </w:rPr>
              <w:t>Witness Statements</w:t>
            </w:r>
          </w:p>
        </w:tc>
        <w:tc>
          <w:tcPr>
            <w:tcW w:w="992" w:type="dxa"/>
          </w:tcPr>
          <w:p w14:paraId="0C093752" w14:textId="77777777" w:rsidR="00EE10D5" w:rsidRPr="002D7B49" w:rsidRDefault="00EE10D5" w:rsidP="009B56F3">
            <w:pPr>
              <w:keepNext/>
              <w:spacing w:before="40" w:after="40" w:line="259" w:lineRule="auto"/>
              <w:jc w:val="center"/>
              <w:rPr>
                <w:bCs/>
                <w:sz w:val="22"/>
                <w:szCs w:val="22"/>
              </w:rPr>
            </w:pPr>
            <w:r>
              <w:rPr>
                <w:bCs/>
                <w:sz w:val="22"/>
                <w:szCs w:val="22"/>
              </w:rPr>
              <w:t>-</w:t>
            </w:r>
          </w:p>
        </w:tc>
        <w:tc>
          <w:tcPr>
            <w:tcW w:w="992" w:type="dxa"/>
          </w:tcPr>
          <w:p w14:paraId="589BFCFC" w14:textId="77777777" w:rsidR="00EE10D5" w:rsidRDefault="00EE10D5" w:rsidP="009B56F3">
            <w:pPr>
              <w:keepNext/>
              <w:spacing w:before="40" w:after="40" w:line="259" w:lineRule="auto"/>
              <w:jc w:val="center"/>
              <w:rPr>
                <w:bCs/>
                <w:sz w:val="22"/>
                <w:szCs w:val="22"/>
              </w:rPr>
            </w:pPr>
            <w:r>
              <w:rPr>
                <w:bCs/>
                <w:sz w:val="22"/>
                <w:szCs w:val="22"/>
              </w:rPr>
              <w:t>218</w:t>
            </w:r>
          </w:p>
        </w:tc>
        <w:tc>
          <w:tcPr>
            <w:tcW w:w="1083" w:type="dxa"/>
          </w:tcPr>
          <w:p w14:paraId="7345323A" w14:textId="77777777" w:rsidR="00EE10D5" w:rsidRDefault="00EE10D5" w:rsidP="009B56F3">
            <w:pPr>
              <w:keepNext/>
              <w:spacing w:before="40" w:after="40" w:line="259" w:lineRule="auto"/>
              <w:jc w:val="center"/>
              <w:rPr>
                <w:bCs/>
                <w:sz w:val="22"/>
                <w:szCs w:val="22"/>
              </w:rPr>
            </w:pPr>
          </w:p>
        </w:tc>
        <w:tc>
          <w:tcPr>
            <w:tcW w:w="1134" w:type="dxa"/>
          </w:tcPr>
          <w:p w14:paraId="40A4BD60" w14:textId="77777777" w:rsidR="00EE10D5" w:rsidRDefault="00EE10D5" w:rsidP="009B56F3">
            <w:pPr>
              <w:keepNext/>
              <w:spacing w:before="40" w:after="40" w:line="259" w:lineRule="auto"/>
              <w:jc w:val="center"/>
              <w:rPr>
                <w:bCs/>
                <w:sz w:val="22"/>
                <w:szCs w:val="22"/>
              </w:rPr>
            </w:pPr>
          </w:p>
        </w:tc>
        <w:tc>
          <w:tcPr>
            <w:tcW w:w="1134" w:type="dxa"/>
            <w:tcBorders>
              <w:right w:val="single" w:sz="6" w:space="0" w:color="auto"/>
            </w:tcBorders>
          </w:tcPr>
          <w:p w14:paraId="0B01F1B5" w14:textId="77777777" w:rsidR="00EE10D5" w:rsidRDefault="00EE10D5" w:rsidP="009B56F3">
            <w:pPr>
              <w:keepNext/>
              <w:spacing w:before="40" w:after="40" w:line="259" w:lineRule="auto"/>
              <w:jc w:val="center"/>
              <w:rPr>
                <w:bCs/>
                <w:sz w:val="22"/>
                <w:szCs w:val="22"/>
              </w:rPr>
            </w:pPr>
          </w:p>
        </w:tc>
      </w:tr>
      <w:tr w:rsidR="00EE10D5" w14:paraId="561EDEFA" w14:textId="77777777" w:rsidTr="009B56F3">
        <w:trPr>
          <w:trHeight w:val="754"/>
        </w:trPr>
        <w:tc>
          <w:tcPr>
            <w:tcW w:w="3729" w:type="dxa"/>
            <w:tcBorders>
              <w:left w:val="single" w:sz="6" w:space="0" w:color="auto"/>
            </w:tcBorders>
          </w:tcPr>
          <w:p w14:paraId="43753310" w14:textId="77777777" w:rsidR="00EE10D5" w:rsidRDefault="00EE10D5" w:rsidP="009B56F3">
            <w:pPr>
              <w:keepNext/>
              <w:spacing w:before="40" w:after="40" w:line="259" w:lineRule="auto"/>
              <w:rPr>
                <w:bCs/>
                <w:sz w:val="22"/>
                <w:szCs w:val="22"/>
              </w:rPr>
            </w:pPr>
            <w:r w:rsidRPr="00061335">
              <w:rPr>
                <w:bCs/>
                <w:sz w:val="22"/>
                <w:szCs w:val="22"/>
              </w:rPr>
              <w:t xml:space="preserve">Wellbeing sessions </w:t>
            </w:r>
            <w:r>
              <w:rPr>
                <w:bCs/>
                <w:sz w:val="22"/>
                <w:szCs w:val="22"/>
              </w:rPr>
              <w:t xml:space="preserve">provided </w:t>
            </w:r>
          </w:p>
          <w:p w14:paraId="0234D09F" w14:textId="6A31FDF4" w:rsidR="00EE10D5" w:rsidRPr="00061335" w:rsidRDefault="00EE10D5" w:rsidP="009B56F3">
            <w:pPr>
              <w:keepNext/>
              <w:spacing w:before="40" w:after="40" w:line="259" w:lineRule="auto"/>
              <w:rPr>
                <w:bCs/>
                <w:sz w:val="22"/>
                <w:szCs w:val="22"/>
              </w:rPr>
            </w:pPr>
            <w:r>
              <w:rPr>
                <w:bCs/>
                <w:sz w:val="22"/>
                <w:szCs w:val="22"/>
              </w:rPr>
              <w:t xml:space="preserve">(2,592 Wellbeing and 240 </w:t>
            </w:r>
            <w:proofErr w:type="spellStart"/>
            <w:r>
              <w:rPr>
                <w:bCs/>
                <w:sz w:val="22"/>
                <w:szCs w:val="22"/>
              </w:rPr>
              <w:t>Kaupapa</w:t>
            </w:r>
            <w:proofErr w:type="spellEnd"/>
            <w:r>
              <w:rPr>
                <w:bCs/>
                <w:sz w:val="22"/>
                <w:szCs w:val="22"/>
              </w:rPr>
              <w:t xml:space="preserve"> Māori NGO</w:t>
            </w:r>
            <w:r w:rsidR="00931A4C">
              <w:rPr>
                <w:bCs/>
                <w:sz w:val="22"/>
                <w:szCs w:val="22"/>
              </w:rPr>
              <w:t xml:space="preserve"> </w:t>
            </w:r>
            <w:r w:rsidR="00931A4C" w:rsidRPr="00931A4C">
              <w:rPr>
                <w:bCs/>
                <w:i/>
                <w:sz w:val="20"/>
                <w:szCs w:val="20"/>
                <w:vertAlign w:val="superscript"/>
              </w:rPr>
              <w:t>(A)</w:t>
            </w:r>
            <w:r w:rsidR="0085093C">
              <w:rPr>
                <w:bCs/>
                <w:sz w:val="22"/>
                <w:szCs w:val="22"/>
              </w:rPr>
              <w:t xml:space="preserve">) </w:t>
            </w:r>
          </w:p>
        </w:tc>
        <w:tc>
          <w:tcPr>
            <w:tcW w:w="992" w:type="dxa"/>
          </w:tcPr>
          <w:p w14:paraId="3F341524" w14:textId="77777777" w:rsidR="00EE10D5" w:rsidRPr="001B71EA" w:rsidRDefault="00EE10D5" w:rsidP="009B56F3">
            <w:pPr>
              <w:keepNext/>
              <w:spacing w:before="40" w:after="40" w:line="259" w:lineRule="auto"/>
              <w:jc w:val="center"/>
              <w:rPr>
                <w:bCs/>
                <w:sz w:val="22"/>
                <w:szCs w:val="22"/>
                <w:highlight w:val="yellow"/>
              </w:rPr>
            </w:pPr>
            <w:r w:rsidRPr="002D7B49">
              <w:rPr>
                <w:bCs/>
                <w:sz w:val="22"/>
                <w:szCs w:val="22"/>
              </w:rPr>
              <w:t>2732</w:t>
            </w:r>
            <w:r>
              <w:rPr>
                <w:bCs/>
                <w:sz w:val="22"/>
                <w:szCs w:val="22"/>
              </w:rPr>
              <w:t xml:space="preserve"> </w:t>
            </w:r>
          </w:p>
        </w:tc>
        <w:tc>
          <w:tcPr>
            <w:tcW w:w="992" w:type="dxa"/>
          </w:tcPr>
          <w:p w14:paraId="4C1BD474" w14:textId="77777777" w:rsidR="00EE10D5" w:rsidRDefault="00EE10D5" w:rsidP="009B56F3">
            <w:pPr>
              <w:pStyle w:val="Tablenormal0"/>
              <w:jc w:val="center"/>
            </w:pPr>
            <w:r>
              <w:t>1399</w:t>
            </w:r>
          </w:p>
        </w:tc>
        <w:tc>
          <w:tcPr>
            <w:tcW w:w="1083" w:type="dxa"/>
          </w:tcPr>
          <w:p w14:paraId="62B256D5" w14:textId="77777777" w:rsidR="00EE10D5" w:rsidRDefault="00EE10D5" w:rsidP="009B56F3">
            <w:pPr>
              <w:pStyle w:val="Tablenormal0"/>
              <w:spacing w:before="0" w:after="0"/>
              <w:jc w:val="center"/>
            </w:pPr>
            <w:r>
              <w:t>483</w:t>
            </w:r>
          </w:p>
          <w:p w14:paraId="6EBA0A69" w14:textId="77777777" w:rsidR="00EE10D5" w:rsidRPr="000144D4" w:rsidRDefault="00EE10D5" w:rsidP="009B56F3">
            <w:pPr>
              <w:pStyle w:val="Tablenormal0"/>
              <w:spacing w:before="0" w:after="0"/>
              <w:jc w:val="center"/>
            </w:pPr>
            <w:r w:rsidRPr="00E16F35">
              <w:rPr>
                <w:sz w:val="18"/>
              </w:rPr>
              <w:t>(Wellbeing)</w:t>
            </w:r>
          </w:p>
        </w:tc>
        <w:tc>
          <w:tcPr>
            <w:tcW w:w="1134" w:type="dxa"/>
          </w:tcPr>
          <w:p w14:paraId="722E4099" w14:textId="77777777" w:rsidR="00EE10D5" w:rsidRPr="00D92B66" w:rsidRDefault="00EE10D5" w:rsidP="009B56F3">
            <w:pPr>
              <w:keepNext/>
              <w:spacing w:before="40" w:after="40" w:line="259" w:lineRule="auto"/>
              <w:jc w:val="center"/>
              <w:rPr>
                <w:bCs/>
                <w:sz w:val="22"/>
                <w:szCs w:val="22"/>
              </w:rPr>
            </w:pPr>
            <w:r w:rsidRPr="00A537AF">
              <w:rPr>
                <w:sz w:val="22"/>
              </w:rPr>
              <w:t>454</w:t>
            </w:r>
            <w:r w:rsidRPr="00A537AF">
              <w:rPr>
                <w:sz w:val="22"/>
              </w:rPr>
              <w:br/>
            </w:r>
            <w:r w:rsidRPr="00E16F35">
              <w:rPr>
                <w:sz w:val="18"/>
              </w:rPr>
              <w:t>(Wellbeing)</w:t>
            </w:r>
          </w:p>
        </w:tc>
        <w:tc>
          <w:tcPr>
            <w:tcW w:w="1134" w:type="dxa"/>
            <w:tcBorders>
              <w:right w:val="single" w:sz="6" w:space="0" w:color="auto"/>
            </w:tcBorders>
          </w:tcPr>
          <w:p w14:paraId="7371217E" w14:textId="77777777" w:rsidR="00EE10D5" w:rsidRPr="0043595E" w:rsidRDefault="00EE10D5" w:rsidP="009B56F3">
            <w:pPr>
              <w:keepNext/>
              <w:spacing w:before="40" w:after="40" w:line="259" w:lineRule="auto"/>
              <w:jc w:val="center"/>
              <w:rPr>
                <w:bCs/>
                <w:sz w:val="22"/>
                <w:szCs w:val="22"/>
                <w:highlight w:val="yellow"/>
              </w:rPr>
            </w:pPr>
            <w:r w:rsidRPr="00D92B66">
              <w:rPr>
                <w:bCs/>
                <w:sz w:val="22"/>
                <w:szCs w:val="22"/>
              </w:rPr>
              <w:t>462</w:t>
            </w:r>
            <w:r w:rsidRPr="000144D4">
              <w:rPr>
                <w:bCs/>
                <w:sz w:val="22"/>
                <w:szCs w:val="22"/>
              </w:rPr>
              <w:t xml:space="preserve"> </w:t>
            </w:r>
            <w:r w:rsidRPr="00E16F35">
              <w:rPr>
                <w:bCs/>
                <w:sz w:val="18"/>
                <w:szCs w:val="22"/>
              </w:rPr>
              <w:t>(Wellbeing)</w:t>
            </w:r>
          </w:p>
        </w:tc>
      </w:tr>
      <w:tr w:rsidR="00EE10D5" w14:paraId="77293BDC" w14:textId="77777777" w:rsidTr="009B56F3">
        <w:tc>
          <w:tcPr>
            <w:tcW w:w="3729" w:type="dxa"/>
            <w:tcBorders>
              <w:left w:val="single" w:sz="6" w:space="0" w:color="auto"/>
            </w:tcBorders>
          </w:tcPr>
          <w:p w14:paraId="795CEE90" w14:textId="77777777" w:rsidR="00EE10D5" w:rsidRPr="00F9049C" w:rsidRDefault="00EE10D5" w:rsidP="009B56F3">
            <w:pPr>
              <w:keepNext/>
              <w:spacing w:before="40" w:after="40" w:line="259" w:lineRule="auto"/>
              <w:rPr>
                <w:bCs/>
                <w:sz w:val="22"/>
                <w:szCs w:val="22"/>
              </w:rPr>
            </w:pPr>
            <w:r w:rsidRPr="00F9049C">
              <w:rPr>
                <w:bCs/>
                <w:sz w:val="22"/>
                <w:szCs w:val="22"/>
              </w:rPr>
              <w:t>Results of a Survivor Evaluation Survey (from April 2021)</w:t>
            </w:r>
          </w:p>
        </w:tc>
        <w:tc>
          <w:tcPr>
            <w:tcW w:w="992" w:type="dxa"/>
          </w:tcPr>
          <w:p w14:paraId="7D391108" w14:textId="77777777" w:rsidR="00EE10D5" w:rsidRPr="00F9241B" w:rsidRDefault="00EE10D5" w:rsidP="009B56F3">
            <w:pPr>
              <w:keepNext/>
              <w:spacing w:before="40" w:after="40" w:line="259" w:lineRule="auto"/>
              <w:jc w:val="center"/>
              <w:rPr>
                <w:bCs/>
                <w:sz w:val="22"/>
                <w:szCs w:val="22"/>
              </w:rPr>
            </w:pPr>
            <w:r w:rsidRPr="00F9241B">
              <w:rPr>
                <w:bCs/>
                <w:sz w:val="22"/>
                <w:szCs w:val="22"/>
              </w:rPr>
              <w:t>June 2021</w:t>
            </w:r>
          </w:p>
        </w:tc>
        <w:tc>
          <w:tcPr>
            <w:tcW w:w="2075" w:type="dxa"/>
            <w:gridSpan w:val="2"/>
          </w:tcPr>
          <w:p w14:paraId="114F5087" w14:textId="77777777" w:rsidR="00EE10D5" w:rsidRPr="00DB5EC3" w:rsidRDefault="00EE10D5" w:rsidP="009B56F3">
            <w:pPr>
              <w:keepNext/>
              <w:spacing w:before="40" w:after="40" w:line="259" w:lineRule="auto"/>
              <w:jc w:val="center"/>
              <w:rPr>
                <w:bCs/>
                <w:sz w:val="18"/>
                <w:szCs w:val="18"/>
              </w:rPr>
            </w:pPr>
            <w:r w:rsidRPr="00DB5EC3">
              <w:rPr>
                <w:bCs/>
                <w:sz w:val="18"/>
                <w:szCs w:val="18"/>
              </w:rPr>
              <w:t>See comments below</w:t>
            </w:r>
          </w:p>
        </w:tc>
        <w:tc>
          <w:tcPr>
            <w:tcW w:w="1134" w:type="dxa"/>
          </w:tcPr>
          <w:p w14:paraId="2AD0FED2" w14:textId="77777777" w:rsidR="00EE10D5" w:rsidRDefault="00EE10D5" w:rsidP="009B56F3">
            <w:pPr>
              <w:keepNext/>
              <w:spacing w:before="40" w:after="40" w:line="259" w:lineRule="auto"/>
              <w:jc w:val="center"/>
              <w:rPr>
                <w:bCs/>
                <w:sz w:val="22"/>
                <w:szCs w:val="22"/>
              </w:rPr>
            </w:pPr>
            <w:r w:rsidRPr="00D92B66">
              <w:rPr>
                <w:bCs/>
                <w:sz w:val="22"/>
                <w:szCs w:val="22"/>
              </w:rPr>
              <w:t>N/A</w:t>
            </w:r>
          </w:p>
        </w:tc>
        <w:tc>
          <w:tcPr>
            <w:tcW w:w="1134" w:type="dxa"/>
            <w:tcBorders>
              <w:right w:val="single" w:sz="6" w:space="0" w:color="auto"/>
            </w:tcBorders>
          </w:tcPr>
          <w:p w14:paraId="2ECC8579" w14:textId="77777777" w:rsidR="00EE10D5" w:rsidRDefault="00EE10D5" w:rsidP="009B56F3">
            <w:pPr>
              <w:keepNext/>
              <w:spacing w:before="40" w:after="40" w:line="259" w:lineRule="auto"/>
              <w:jc w:val="center"/>
              <w:rPr>
                <w:bCs/>
                <w:sz w:val="22"/>
                <w:szCs w:val="22"/>
              </w:rPr>
            </w:pPr>
            <w:r>
              <w:rPr>
                <w:bCs/>
                <w:sz w:val="22"/>
                <w:szCs w:val="22"/>
              </w:rPr>
              <w:t>N/A</w:t>
            </w:r>
          </w:p>
        </w:tc>
      </w:tr>
      <w:tr w:rsidR="00EE10D5" w14:paraId="1CB9526A" w14:textId="77777777" w:rsidTr="009B56F3">
        <w:trPr>
          <w:trHeight w:val="1464"/>
        </w:trPr>
        <w:tc>
          <w:tcPr>
            <w:tcW w:w="9064" w:type="dxa"/>
            <w:gridSpan w:val="6"/>
            <w:tcBorders>
              <w:left w:val="single" w:sz="6" w:space="0" w:color="auto"/>
              <w:bottom w:val="single" w:sz="6" w:space="0" w:color="auto"/>
              <w:right w:val="single" w:sz="6" w:space="0" w:color="auto"/>
            </w:tcBorders>
          </w:tcPr>
          <w:p w14:paraId="769FFE50" w14:textId="77777777" w:rsidR="00931A4C" w:rsidRDefault="00CD4304" w:rsidP="00931A4C">
            <w:pPr>
              <w:pStyle w:val="ListParagraph"/>
              <w:numPr>
                <w:ilvl w:val="0"/>
                <w:numId w:val="33"/>
              </w:numPr>
              <w:spacing w:before="40" w:after="40" w:line="259" w:lineRule="auto"/>
              <w:ind w:left="310" w:hanging="284"/>
              <w:rPr>
                <w:sz w:val="22"/>
                <w:szCs w:val="22"/>
              </w:rPr>
            </w:pPr>
            <w:r w:rsidRPr="00931A4C">
              <w:rPr>
                <w:i/>
                <w:sz w:val="16"/>
                <w:szCs w:val="16"/>
              </w:rPr>
              <w:t xml:space="preserve">Contracts commenced January 2021. </w:t>
            </w:r>
            <w:proofErr w:type="spellStart"/>
            <w:r w:rsidRPr="00931A4C">
              <w:rPr>
                <w:i/>
                <w:sz w:val="16"/>
                <w:szCs w:val="16"/>
              </w:rPr>
              <w:t>Kaupapa</w:t>
            </w:r>
            <w:proofErr w:type="spellEnd"/>
            <w:r w:rsidRPr="00931A4C">
              <w:rPr>
                <w:i/>
                <w:sz w:val="16"/>
                <w:szCs w:val="16"/>
              </w:rPr>
              <w:t xml:space="preserve"> Māori wellbeing sessions were not counted this quarter but will be for the next</w:t>
            </w:r>
            <w:r w:rsidRPr="00931A4C">
              <w:rPr>
                <w:i/>
                <w:sz w:val="18"/>
                <w:szCs w:val="18"/>
              </w:rPr>
              <w:t xml:space="preserve">. </w:t>
            </w:r>
          </w:p>
          <w:p w14:paraId="03EA5D03" w14:textId="1EE8CF48" w:rsidR="00EE10D5" w:rsidRPr="00931A4C" w:rsidRDefault="00EE10D5" w:rsidP="00931A4C">
            <w:pPr>
              <w:spacing w:before="40" w:after="40" w:line="259" w:lineRule="auto"/>
              <w:ind w:left="26"/>
              <w:rPr>
                <w:sz w:val="22"/>
                <w:szCs w:val="22"/>
              </w:rPr>
            </w:pPr>
            <w:r w:rsidRPr="00931A4C">
              <w:rPr>
                <w:sz w:val="22"/>
                <w:szCs w:val="22"/>
              </w:rPr>
              <w:t>Comments:</w:t>
            </w:r>
            <w:r w:rsidRPr="00931A4C">
              <w:rPr>
                <w:sz w:val="22"/>
                <w:szCs w:val="22"/>
              </w:rPr>
              <w:br/>
            </w:r>
            <w:r w:rsidRPr="00931A4C">
              <w:rPr>
                <w:b/>
                <w:sz w:val="22"/>
                <w:szCs w:val="22"/>
              </w:rPr>
              <w:t>Survivor Registrations:</w:t>
            </w:r>
            <w:r w:rsidRPr="00931A4C">
              <w:rPr>
                <w:b/>
                <w:sz w:val="22"/>
                <w:szCs w:val="22"/>
              </w:rPr>
              <w:br/>
            </w:r>
            <w:r w:rsidRPr="00931A4C">
              <w:rPr>
                <w:sz w:val="22"/>
                <w:szCs w:val="22"/>
              </w:rPr>
              <w:t xml:space="preserve">Survivor registrations were lighter this quarter, with January having low contact due to the </w:t>
            </w:r>
            <w:r w:rsidR="00DA7477" w:rsidRPr="00931A4C">
              <w:rPr>
                <w:sz w:val="22"/>
                <w:szCs w:val="22"/>
              </w:rPr>
              <w:t xml:space="preserve">closedown </w:t>
            </w:r>
            <w:r w:rsidRPr="00931A4C">
              <w:rPr>
                <w:sz w:val="22"/>
                <w:szCs w:val="22"/>
              </w:rPr>
              <w:t xml:space="preserve">and holiday period.  </w:t>
            </w:r>
            <w:r w:rsidR="00586359" w:rsidRPr="00931A4C">
              <w:rPr>
                <w:sz w:val="22"/>
                <w:szCs w:val="22"/>
              </w:rPr>
              <w:t>P</w:t>
            </w:r>
            <w:r w:rsidRPr="00931A4C">
              <w:rPr>
                <w:sz w:val="22"/>
                <w:szCs w:val="22"/>
              </w:rPr>
              <w:t xml:space="preserve">hase two of the Faith-based Redress hearings </w:t>
            </w:r>
            <w:r w:rsidR="00586359" w:rsidRPr="00931A4C">
              <w:rPr>
                <w:sz w:val="22"/>
                <w:szCs w:val="22"/>
              </w:rPr>
              <w:t>saw</w:t>
            </w:r>
            <w:r w:rsidRPr="00931A4C">
              <w:rPr>
                <w:sz w:val="22"/>
                <w:szCs w:val="22"/>
              </w:rPr>
              <w:t xml:space="preserve"> a smaller increase in registrations </w:t>
            </w:r>
            <w:r w:rsidR="00586359" w:rsidRPr="00931A4C">
              <w:rPr>
                <w:sz w:val="22"/>
                <w:szCs w:val="22"/>
              </w:rPr>
              <w:t xml:space="preserve">compared to </w:t>
            </w:r>
            <w:r w:rsidRPr="00931A4C">
              <w:rPr>
                <w:sz w:val="22"/>
                <w:szCs w:val="22"/>
              </w:rPr>
              <w:t xml:space="preserve">earlier public hearings. </w:t>
            </w:r>
          </w:p>
          <w:p w14:paraId="123A2869" w14:textId="6464C1CA" w:rsidR="00DA7477" w:rsidRDefault="00EE10D5" w:rsidP="009B56F3">
            <w:pPr>
              <w:spacing w:before="40" w:after="40" w:line="259" w:lineRule="auto"/>
              <w:rPr>
                <w:sz w:val="22"/>
                <w:szCs w:val="22"/>
              </w:rPr>
            </w:pPr>
            <w:r w:rsidRPr="00846045">
              <w:rPr>
                <w:b/>
                <w:sz w:val="22"/>
                <w:szCs w:val="22"/>
              </w:rPr>
              <w:t xml:space="preserve">Private Sessions </w:t>
            </w:r>
            <w:r w:rsidRPr="00846045">
              <w:rPr>
                <w:b/>
                <w:sz w:val="22"/>
                <w:szCs w:val="22"/>
              </w:rPr>
              <w:br/>
            </w:r>
            <w:r>
              <w:rPr>
                <w:sz w:val="22"/>
                <w:szCs w:val="22"/>
              </w:rPr>
              <w:t xml:space="preserve">Survivor private sessions held with a Commissioner achieved the </w:t>
            </w:r>
            <w:r w:rsidR="003F2939">
              <w:rPr>
                <w:sz w:val="22"/>
                <w:szCs w:val="22"/>
              </w:rPr>
              <w:t xml:space="preserve">target </w:t>
            </w:r>
            <w:r>
              <w:rPr>
                <w:sz w:val="22"/>
                <w:szCs w:val="22"/>
              </w:rPr>
              <w:t xml:space="preserve">number of 320 sessions </w:t>
            </w:r>
            <w:r w:rsidR="003F2939">
              <w:rPr>
                <w:sz w:val="22"/>
                <w:szCs w:val="22"/>
              </w:rPr>
              <w:t>during this quarter.</w:t>
            </w:r>
            <w:r>
              <w:rPr>
                <w:sz w:val="22"/>
                <w:szCs w:val="22"/>
              </w:rPr>
              <w:br/>
            </w:r>
            <w:r w:rsidRPr="00846045">
              <w:rPr>
                <w:b/>
                <w:sz w:val="22"/>
                <w:szCs w:val="22"/>
              </w:rPr>
              <w:t>Wellbeing Sessions</w:t>
            </w:r>
            <w:r w:rsidRPr="00846045">
              <w:rPr>
                <w:sz w:val="22"/>
                <w:szCs w:val="22"/>
              </w:rPr>
              <w:t xml:space="preserve"> </w:t>
            </w:r>
            <w:r w:rsidRPr="00846045">
              <w:rPr>
                <w:sz w:val="22"/>
                <w:szCs w:val="22"/>
              </w:rPr>
              <w:br/>
            </w:r>
            <w:r>
              <w:rPr>
                <w:sz w:val="22"/>
                <w:szCs w:val="22"/>
              </w:rPr>
              <w:t>T</w:t>
            </w:r>
            <w:r w:rsidR="00DA7477">
              <w:rPr>
                <w:sz w:val="22"/>
                <w:szCs w:val="22"/>
              </w:rPr>
              <w:t xml:space="preserve">he number of wellbeing sessions, </w:t>
            </w:r>
            <w:r>
              <w:rPr>
                <w:sz w:val="22"/>
                <w:szCs w:val="22"/>
              </w:rPr>
              <w:t xml:space="preserve">are increasing as survivor/witness participation increases with the Inquiry, </w:t>
            </w:r>
            <w:proofErr w:type="gramStart"/>
            <w:r>
              <w:rPr>
                <w:sz w:val="22"/>
                <w:szCs w:val="22"/>
              </w:rPr>
              <w:t>in particular as</w:t>
            </w:r>
            <w:proofErr w:type="gramEnd"/>
            <w:r>
              <w:rPr>
                <w:sz w:val="22"/>
                <w:szCs w:val="22"/>
              </w:rPr>
              <w:t xml:space="preserve"> multiple investigations </w:t>
            </w:r>
            <w:r w:rsidR="00586359">
              <w:rPr>
                <w:sz w:val="22"/>
                <w:szCs w:val="22"/>
              </w:rPr>
              <w:t xml:space="preserve">progress </w:t>
            </w:r>
            <w:r>
              <w:rPr>
                <w:sz w:val="22"/>
                <w:szCs w:val="22"/>
              </w:rPr>
              <w:t>and the associated need to engage with witnesses pick</w:t>
            </w:r>
            <w:r w:rsidR="00586359">
              <w:rPr>
                <w:sz w:val="22"/>
                <w:szCs w:val="22"/>
              </w:rPr>
              <w:t>s</w:t>
            </w:r>
            <w:r>
              <w:rPr>
                <w:sz w:val="22"/>
                <w:szCs w:val="22"/>
              </w:rPr>
              <w:t xml:space="preserve"> up momentum.  However, given survivor registrations will be lower than forecast this will have a flow on effect to wellbeing sessions</w:t>
            </w:r>
            <w:r w:rsidR="00586359">
              <w:rPr>
                <w:sz w:val="22"/>
                <w:szCs w:val="22"/>
              </w:rPr>
              <w:t>.</w:t>
            </w:r>
            <w:r w:rsidR="00DA7477">
              <w:rPr>
                <w:sz w:val="22"/>
                <w:szCs w:val="22"/>
              </w:rPr>
              <w:t xml:space="preserve"> </w:t>
            </w:r>
          </w:p>
          <w:p w14:paraId="50FEF9C1" w14:textId="73941017" w:rsidR="00EE10D5" w:rsidRDefault="00EE10D5" w:rsidP="009B56F3">
            <w:pPr>
              <w:spacing w:before="40" w:after="40" w:line="259" w:lineRule="auto"/>
              <w:rPr>
                <w:sz w:val="22"/>
                <w:szCs w:val="22"/>
              </w:rPr>
            </w:pPr>
            <w:r>
              <w:rPr>
                <w:b/>
                <w:sz w:val="22"/>
                <w:szCs w:val="22"/>
              </w:rPr>
              <w:t xml:space="preserve">Results of </w:t>
            </w:r>
            <w:r w:rsidRPr="00846045">
              <w:rPr>
                <w:b/>
                <w:sz w:val="22"/>
                <w:szCs w:val="22"/>
              </w:rPr>
              <w:t>Survivor Evaluation Survey</w:t>
            </w:r>
            <w:r w:rsidRPr="00846045">
              <w:rPr>
                <w:sz w:val="22"/>
                <w:szCs w:val="22"/>
              </w:rPr>
              <w:br/>
              <w:t>An evaluation survey for survivors to provide feedback on their experience and engagement</w:t>
            </w:r>
            <w:r>
              <w:rPr>
                <w:sz w:val="22"/>
                <w:szCs w:val="22"/>
              </w:rPr>
              <w:t xml:space="preserve"> </w:t>
            </w:r>
            <w:r w:rsidR="00586359">
              <w:rPr>
                <w:sz w:val="22"/>
                <w:szCs w:val="22"/>
              </w:rPr>
              <w:t xml:space="preserve">with </w:t>
            </w:r>
            <w:r>
              <w:rPr>
                <w:sz w:val="22"/>
                <w:szCs w:val="22"/>
              </w:rPr>
              <w:t>private sessions</w:t>
            </w:r>
            <w:r w:rsidRPr="00846045">
              <w:rPr>
                <w:sz w:val="22"/>
                <w:szCs w:val="22"/>
              </w:rPr>
              <w:t xml:space="preserve"> </w:t>
            </w:r>
            <w:r>
              <w:rPr>
                <w:sz w:val="22"/>
                <w:szCs w:val="22"/>
              </w:rPr>
              <w:t>was</w:t>
            </w:r>
            <w:r w:rsidRPr="00846045">
              <w:rPr>
                <w:sz w:val="22"/>
                <w:szCs w:val="22"/>
              </w:rPr>
              <w:t xml:space="preserve"> </w:t>
            </w:r>
            <w:r>
              <w:rPr>
                <w:sz w:val="22"/>
                <w:szCs w:val="22"/>
              </w:rPr>
              <w:t>undertaken in January and February 2021.</w:t>
            </w:r>
            <w:r w:rsidRPr="00846045">
              <w:rPr>
                <w:sz w:val="22"/>
                <w:szCs w:val="22"/>
              </w:rPr>
              <w:t xml:space="preserve"> The survey evaluate</w:t>
            </w:r>
            <w:r>
              <w:rPr>
                <w:sz w:val="22"/>
                <w:szCs w:val="22"/>
              </w:rPr>
              <w:t>d</w:t>
            </w:r>
            <w:r w:rsidRPr="00846045">
              <w:rPr>
                <w:sz w:val="22"/>
                <w:szCs w:val="22"/>
              </w:rPr>
              <w:t xml:space="preserve"> the survivor journey from registrations through to a private session and wellbeing support</w:t>
            </w:r>
            <w:r>
              <w:rPr>
                <w:sz w:val="22"/>
                <w:szCs w:val="22"/>
              </w:rPr>
              <w:t xml:space="preserve"> for 50 survivors</w:t>
            </w:r>
            <w:r w:rsidRPr="00846045">
              <w:rPr>
                <w:sz w:val="22"/>
                <w:szCs w:val="22"/>
              </w:rPr>
              <w:t xml:space="preserve">. </w:t>
            </w:r>
          </w:p>
          <w:p w14:paraId="60C04DC2" w14:textId="77777777" w:rsidR="00EE10D5" w:rsidRDefault="00EE10D5" w:rsidP="009B56F3">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n-US"/>
              </w:rPr>
              <w:t>Overall feedback confirmed most survivors perceived their experience to be ‘very good’ or ‘good’, validating the current operating model.</w:t>
            </w:r>
            <w:r>
              <w:rPr>
                <w:rStyle w:val="eop"/>
                <w:rFonts w:ascii="Calibri" w:hAnsi="Calibri" w:cs="Calibri"/>
                <w:sz w:val="22"/>
                <w:szCs w:val="22"/>
              </w:rPr>
              <w:t> </w:t>
            </w:r>
          </w:p>
          <w:p w14:paraId="4C73F3DA" w14:textId="77777777" w:rsidR="00EE10D5" w:rsidRPr="00F40571" w:rsidRDefault="00EE10D5" w:rsidP="003F2939">
            <w:pPr>
              <w:pStyle w:val="ListParagraph"/>
              <w:numPr>
                <w:ilvl w:val="0"/>
                <w:numId w:val="28"/>
              </w:numPr>
              <w:spacing w:before="40" w:after="40" w:line="259" w:lineRule="auto"/>
              <w:rPr>
                <w:sz w:val="22"/>
                <w:szCs w:val="22"/>
              </w:rPr>
            </w:pPr>
            <w:r w:rsidRPr="00DB5EC3">
              <w:rPr>
                <w:sz w:val="22"/>
                <w:szCs w:val="22"/>
              </w:rPr>
              <w:t>Three quarters of survivors rated the registration process ‘very good’ (60%) or ‘good’ (15%).  Just over a fifth of people rated the registration process as ‘ok’. </w:t>
            </w:r>
          </w:p>
          <w:p w14:paraId="175ECD03" w14:textId="77777777" w:rsidR="00EE10D5" w:rsidRPr="00DB5EC3" w:rsidRDefault="00EE10D5" w:rsidP="003F2939">
            <w:pPr>
              <w:pStyle w:val="paragraph"/>
              <w:numPr>
                <w:ilvl w:val="0"/>
                <w:numId w:val="28"/>
              </w:numPr>
              <w:spacing w:before="0" w:beforeAutospacing="0" w:after="0" w:afterAutospacing="0"/>
              <w:textAlignment w:val="baseline"/>
              <w:rPr>
                <w:rFonts w:ascii="Calibri" w:eastAsiaTheme="minorHAnsi" w:hAnsi="Calibri"/>
                <w:sz w:val="22"/>
                <w:szCs w:val="22"/>
                <w:lang w:eastAsia="en-US"/>
              </w:rPr>
            </w:pPr>
            <w:r w:rsidRPr="00DB5EC3">
              <w:rPr>
                <w:rFonts w:ascii="Calibri" w:eastAsiaTheme="minorHAnsi" w:hAnsi="Calibri"/>
                <w:sz w:val="22"/>
                <w:szCs w:val="22"/>
                <w:lang w:eastAsia="en-US"/>
              </w:rPr>
              <w:t>Most survivors rated all aspects of the private sessions as ‘very good’ or ‘good’.  Survivors stated that the Commissioners were very professional and listened well to their experiences. </w:t>
            </w:r>
          </w:p>
          <w:p w14:paraId="2AEBA543" w14:textId="77777777" w:rsidR="00EE10D5" w:rsidRPr="00DB5EC3" w:rsidRDefault="00EE10D5" w:rsidP="003F2939">
            <w:pPr>
              <w:pStyle w:val="ListParagraph"/>
              <w:numPr>
                <w:ilvl w:val="0"/>
                <w:numId w:val="28"/>
              </w:numPr>
              <w:spacing w:before="40" w:after="40" w:line="259" w:lineRule="auto"/>
            </w:pPr>
            <w:r w:rsidRPr="00DB5EC3">
              <w:rPr>
                <w:sz w:val="22"/>
                <w:szCs w:val="22"/>
              </w:rPr>
              <w:t>The amount of time that people had to share their experiences was more likely to be rated as ‘ok’ or ‘poor’ than other aspects of the private sessions. This was due to people wanting more time to share their experiences, with some (7) survivors noting that they did not have enough time to share all their experiences of abuse.</w:t>
            </w:r>
          </w:p>
          <w:p w14:paraId="2D2FC585" w14:textId="77777777" w:rsidR="00EE10D5" w:rsidRPr="0016483B" w:rsidRDefault="00EE10D5" w:rsidP="003F2939">
            <w:pPr>
              <w:pStyle w:val="ListParagraph"/>
              <w:numPr>
                <w:ilvl w:val="0"/>
                <w:numId w:val="28"/>
              </w:numPr>
              <w:spacing w:before="40" w:after="40" w:line="259" w:lineRule="auto"/>
              <w:rPr>
                <w:sz w:val="22"/>
                <w:szCs w:val="22"/>
              </w:rPr>
            </w:pPr>
            <w:r w:rsidRPr="00DB5EC3">
              <w:rPr>
                <w:sz w:val="22"/>
                <w:szCs w:val="22"/>
              </w:rPr>
              <w:t>Most survivors rated the wellbeing support as “very helpful” (47%) or “helpful” (22%). </w:t>
            </w:r>
          </w:p>
        </w:tc>
      </w:tr>
    </w:tbl>
    <w:bookmarkEnd w:id="6"/>
    <w:p w14:paraId="0C9B70D9" w14:textId="77777777" w:rsidR="00EE10D5" w:rsidRDefault="00EE10D5" w:rsidP="00EE10D5">
      <w:pPr>
        <w:keepLines w:val="0"/>
        <w:spacing w:before="40" w:after="40"/>
        <w:rPr>
          <w:b/>
          <w:bCs/>
          <w:i/>
          <w:color w:val="1F546B" w:themeColor="text2"/>
          <w:szCs w:val="28"/>
        </w:rPr>
      </w:pPr>
      <w:r>
        <w:rPr>
          <w:b/>
          <w:bCs/>
          <w:i/>
          <w:color w:val="1F546B" w:themeColor="text2"/>
          <w:szCs w:val="28"/>
        </w:rPr>
        <w:br/>
      </w:r>
    </w:p>
    <w:p w14:paraId="4244DB1F" w14:textId="77777777" w:rsidR="00EE10D5" w:rsidRDefault="00EE10D5" w:rsidP="00EE10D5">
      <w:pPr>
        <w:keepLines w:val="0"/>
        <w:spacing w:before="40" w:after="40"/>
        <w:rPr>
          <w:b/>
          <w:bCs/>
          <w:i/>
          <w:color w:val="1F546B" w:themeColor="text2"/>
          <w:szCs w:val="28"/>
        </w:rPr>
      </w:pPr>
    </w:p>
    <w:p w14:paraId="6857FD39" w14:textId="02E3D618" w:rsidR="00BE67AB" w:rsidRPr="00522E85" w:rsidRDefault="00BE67AB" w:rsidP="00BE67AB"/>
    <w:p w14:paraId="078CB231" w14:textId="16DD80F0" w:rsidR="00BE67AB" w:rsidRPr="00AF14D1" w:rsidRDefault="00664521" w:rsidP="00E56462">
      <w:pPr>
        <w:keepLines w:val="0"/>
        <w:spacing w:before="40" w:after="40"/>
        <w:rPr>
          <w:b/>
          <w:bCs/>
          <w:i/>
          <w:color w:val="1F546B" w:themeColor="text2"/>
          <w:szCs w:val="28"/>
        </w:rPr>
      </w:pPr>
      <w:r>
        <w:rPr>
          <w:b/>
          <w:bCs/>
          <w:i/>
          <w:color w:val="1F546B" w:themeColor="text2"/>
          <w:szCs w:val="28"/>
        </w:rPr>
        <w:lastRenderedPageBreak/>
        <w:br/>
      </w:r>
      <w:r w:rsidR="00BE67AB" w:rsidRPr="00AF14D1">
        <w:rPr>
          <w:b/>
          <w:bCs/>
          <w:i/>
          <w:color w:val="1F546B" w:themeColor="text2"/>
          <w:szCs w:val="28"/>
        </w:rPr>
        <w:t xml:space="preserve">Community and Treaty Engagement </w:t>
      </w:r>
    </w:p>
    <w:p w14:paraId="3B9CA82A" w14:textId="082EA10B" w:rsidR="00BE67AB" w:rsidRDefault="00BE67AB" w:rsidP="00BE67AB">
      <w:r>
        <w:t xml:space="preserve">Engagement with Iwi, NGOs and support/community organisations. </w:t>
      </w:r>
      <w:r w:rsidRPr="00F9049C">
        <w:t xml:space="preserve">‘Engagement’ constitutes a stakeholder activity (e.g., large or small group meetings, </w:t>
      </w:r>
      <w:r>
        <w:t>significant conversations, face-to-</w:t>
      </w:r>
      <w:r w:rsidRPr="00F9049C">
        <w:t xml:space="preserve">face or virtual meetings that </w:t>
      </w:r>
      <w:r w:rsidR="005329DD">
        <w:t>a</w:t>
      </w:r>
      <w:r w:rsidRPr="00F9049C">
        <w:t>dvisors have with an external community stakeholder (new or established).</w:t>
      </w:r>
      <w:r>
        <w:t xml:space="preserve"> </w:t>
      </w:r>
    </w:p>
    <w:p w14:paraId="03EC2D1A" w14:textId="06A336B0" w:rsidR="00BE67AB" w:rsidRDefault="00BE67AB" w:rsidP="00BE67AB">
      <w:r>
        <w:t xml:space="preserve">We will engage with external stakeholders </w:t>
      </w:r>
      <w:r w:rsidR="005329DD">
        <w:t>(</w:t>
      </w:r>
      <w:r>
        <w:t>with a focus on Māori, Iwi, Pacific people, Disabled and LGBTIQA+</w:t>
      </w:r>
      <w:r w:rsidR="005329DD">
        <w:t>)</w:t>
      </w:r>
      <w:r>
        <w:t xml:space="preserve"> to increase awareness of </w:t>
      </w:r>
      <w:r w:rsidR="005329DD">
        <w:t>our work and to promote engagement</w:t>
      </w:r>
      <w:r>
        <w:t xml:space="preserve"> and </w:t>
      </w:r>
      <w:r w:rsidR="005329DD">
        <w:t xml:space="preserve">the </w:t>
      </w:r>
      <w:r>
        <w:t>registration of survivors</w:t>
      </w:r>
      <w:r w:rsidR="005329DD">
        <w:t>.</w:t>
      </w:r>
    </w:p>
    <w:tbl>
      <w:tblPr>
        <w:tblStyle w:val="TableGrid"/>
        <w:tblW w:w="9348" w:type="dxa"/>
        <w:tblLook w:val="04A0" w:firstRow="1" w:lastRow="0" w:firstColumn="1" w:lastColumn="0" w:noHBand="0" w:noVBand="1"/>
      </w:tblPr>
      <w:tblGrid>
        <w:gridCol w:w="2827"/>
        <w:gridCol w:w="2552"/>
        <w:gridCol w:w="953"/>
        <w:gridCol w:w="1094"/>
        <w:gridCol w:w="992"/>
        <w:gridCol w:w="930"/>
      </w:tblGrid>
      <w:tr w:rsidR="00161191" w:rsidRPr="00D45D71" w14:paraId="701E1126" w14:textId="77777777" w:rsidTr="00161191">
        <w:tc>
          <w:tcPr>
            <w:tcW w:w="2827" w:type="dxa"/>
            <w:tcBorders>
              <w:top w:val="single" w:sz="6" w:space="0" w:color="auto"/>
              <w:left w:val="single" w:sz="6" w:space="0" w:color="auto"/>
            </w:tcBorders>
            <w:shd w:val="clear" w:color="auto" w:fill="92CC63" w:themeFill="accent4" w:themeFillTint="99"/>
          </w:tcPr>
          <w:p w14:paraId="168AE9C2" w14:textId="77777777" w:rsidR="00161191" w:rsidRPr="003144F0" w:rsidRDefault="00161191" w:rsidP="00161191">
            <w:pPr>
              <w:keepNext/>
              <w:spacing w:before="40" w:after="40" w:line="259" w:lineRule="auto"/>
              <w:rPr>
                <w:bCs/>
                <w:sz w:val="22"/>
                <w:szCs w:val="22"/>
              </w:rPr>
            </w:pPr>
            <w:r w:rsidRPr="003144F0">
              <w:rPr>
                <w:b/>
                <w:bCs/>
                <w:sz w:val="22"/>
                <w:szCs w:val="22"/>
              </w:rPr>
              <w:t xml:space="preserve">How we will monitor our performance </w:t>
            </w:r>
            <w:r w:rsidRPr="003144F0">
              <w:rPr>
                <w:b/>
                <w:bCs/>
                <w:sz w:val="22"/>
                <w:szCs w:val="22"/>
              </w:rPr>
              <w:tab/>
            </w:r>
          </w:p>
        </w:tc>
        <w:tc>
          <w:tcPr>
            <w:tcW w:w="2552" w:type="dxa"/>
            <w:tcBorders>
              <w:top w:val="single" w:sz="6" w:space="0" w:color="auto"/>
            </w:tcBorders>
            <w:shd w:val="clear" w:color="auto" w:fill="92CC63" w:themeFill="accent4" w:themeFillTint="99"/>
          </w:tcPr>
          <w:p w14:paraId="6A366A80" w14:textId="77777777" w:rsidR="00161191" w:rsidRPr="003144F0" w:rsidRDefault="00161191" w:rsidP="00161191">
            <w:pPr>
              <w:keepNext/>
              <w:spacing w:before="40" w:after="40" w:line="259" w:lineRule="auto"/>
              <w:rPr>
                <w:bCs/>
                <w:sz w:val="22"/>
                <w:szCs w:val="22"/>
              </w:rPr>
            </w:pPr>
            <w:r w:rsidRPr="003144F0">
              <w:rPr>
                <w:b/>
                <w:bCs/>
                <w:sz w:val="22"/>
                <w:szCs w:val="22"/>
              </w:rPr>
              <w:t>Target 20/21</w:t>
            </w:r>
          </w:p>
        </w:tc>
        <w:tc>
          <w:tcPr>
            <w:tcW w:w="953" w:type="dxa"/>
            <w:tcBorders>
              <w:top w:val="single" w:sz="6" w:space="0" w:color="auto"/>
            </w:tcBorders>
            <w:shd w:val="clear" w:color="auto" w:fill="92CC63" w:themeFill="accent4" w:themeFillTint="99"/>
          </w:tcPr>
          <w:p w14:paraId="04608A00" w14:textId="25D07CF8" w:rsidR="00161191" w:rsidRDefault="00161191" w:rsidP="00161191">
            <w:pPr>
              <w:keepNext/>
              <w:spacing w:before="40" w:after="40" w:line="259" w:lineRule="auto"/>
              <w:jc w:val="center"/>
              <w:rPr>
                <w:b/>
                <w:bCs/>
                <w:sz w:val="22"/>
                <w:szCs w:val="22"/>
              </w:rPr>
            </w:pPr>
            <w:r>
              <w:rPr>
                <w:b/>
                <w:bCs/>
                <w:sz w:val="22"/>
                <w:szCs w:val="22"/>
              </w:rPr>
              <w:t>YTD 20/21</w:t>
            </w:r>
          </w:p>
        </w:tc>
        <w:tc>
          <w:tcPr>
            <w:tcW w:w="1094" w:type="dxa"/>
            <w:tcBorders>
              <w:top w:val="single" w:sz="6" w:space="0" w:color="auto"/>
            </w:tcBorders>
            <w:shd w:val="clear" w:color="auto" w:fill="92CC63" w:themeFill="accent4" w:themeFillTint="99"/>
          </w:tcPr>
          <w:p w14:paraId="7B0EF7FA" w14:textId="770395C4" w:rsidR="00161191" w:rsidRPr="003144F0" w:rsidRDefault="00161191" w:rsidP="00161191">
            <w:pPr>
              <w:keepNext/>
              <w:spacing w:before="40" w:after="40" w:line="259" w:lineRule="auto"/>
              <w:jc w:val="center"/>
              <w:rPr>
                <w:b/>
                <w:bCs/>
                <w:sz w:val="22"/>
                <w:szCs w:val="22"/>
              </w:rPr>
            </w:pPr>
            <w:r w:rsidRPr="003144F0">
              <w:rPr>
                <w:b/>
                <w:bCs/>
                <w:sz w:val="22"/>
                <w:szCs w:val="22"/>
              </w:rPr>
              <w:t xml:space="preserve">Jan-Mar </w:t>
            </w:r>
            <w:r>
              <w:rPr>
                <w:b/>
                <w:bCs/>
                <w:sz w:val="22"/>
                <w:szCs w:val="22"/>
              </w:rPr>
              <w:t>20</w:t>
            </w:r>
            <w:r w:rsidRPr="003144F0">
              <w:rPr>
                <w:b/>
                <w:bCs/>
                <w:sz w:val="22"/>
                <w:szCs w:val="22"/>
              </w:rPr>
              <w:t>21</w:t>
            </w:r>
          </w:p>
        </w:tc>
        <w:tc>
          <w:tcPr>
            <w:tcW w:w="992" w:type="dxa"/>
            <w:tcBorders>
              <w:top w:val="single" w:sz="6" w:space="0" w:color="auto"/>
            </w:tcBorders>
            <w:shd w:val="clear" w:color="auto" w:fill="92CC63" w:themeFill="accent4" w:themeFillTint="99"/>
          </w:tcPr>
          <w:p w14:paraId="50F49A6C" w14:textId="5F95679A" w:rsidR="00161191" w:rsidRPr="003144F0" w:rsidRDefault="00161191" w:rsidP="00161191">
            <w:pPr>
              <w:keepNext/>
              <w:spacing w:before="40" w:after="40" w:line="259" w:lineRule="auto"/>
              <w:jc w:val="center"/>
              <w:rPr>
                <w:b/>
                <w:bCs/>
                <w:sz w:val="22"/>
                <w:szCs w:val="22"/>
              </w:rPr>
            </w:pPr>
            <w:r w:rsidRPr="003144F0">
              <w:rPr>
                <w:b/>
                <w:bCs/>
                <w:sz w:val="22"/>
                <w:szCs w:val="22"/>
              </w:rPr>
              <w:t xml:space="preserve">Oct-Dec </w:t>
            </w:r>
            <w:r>
              <w:rPr>
                <w:b/>
                <w:bCs/>
                <w:sz w:val="22"/>
                <w:szCs w:val="22"/>
              </w:rPr>
              <w:t>20</w:t>
            </w:r>
            <w:r w:rsidRPr="003144F0">
              <w:rPr>
                <w:b/>
                <w:bCs/>
                <w:sz w:val="22"/>
                <w:szCs w:val="22"/>
              </w:rPr>
              <w:t>20</w:t>
            </w:r>
          </w:p>
        </w:tc>
        <w:tc>
          <w:tcPr>
            <w:tcW w:w="930" w:type="dxa"/>
            <w:tcBorders>
              <w:top w:val="single" w:sz="6" w:space="0" w:color="auto"/>
            </w:tcBorders>
            <w:shd w:val="clear" w:color="auto" w:fill="92CC63" w:themeFill="accent4" w:themeFillTint="99"/>
          </w:tcPr>
          <w:p w14:paraId="44A0A517" w14:textId="01B47244" w:rsidR="00161191" w:rsidRPr="003144F0" w:rsidRDefault="00161191" w:rsidP="00161191">
            <w:pPr>
              <w:keepNext/>
              <w:spacing w:before="40" w:after="40" w:line="259" w:lineRule="auto"/>
              <w:jc w:val="center"/>
              <w:rPr>
                <w:b/>
                <w:bCs/>
                <w:sz w:val="22"/>
                <w:szCs w:val="22"/>
              </w:rPr>
            </w:pPr>
            <w:r w:rsidRPr="003144F0">
              <w:rPr>
                <w:b/>
                <w:bCs/>
                <w:sz w:val="22"/>
                <w:szCs w:val="22"/>
              </w:rPr>
              <w:t xml:space="preserve">July-Sept </w:t>
            </w:r>
            <w:r>
              <w:rPr>
                <w:b/>
                <w:bCs/>
                <w:sz w:val="22"/>
                <w:szCs w:val="22"/>
              </w:rPr>
              <w:t>20</w:t>
            </w:r>
            <w:r w:rsidRPr="003144F0">
              <w:rPr>
                <w:b/>
                <w:bCs/>
                <w:sz w:val="22"/>
                <w:szCs w:val="22"/>
              </w:rPr>
              <w:t>20</w:t>
            </w:r>
          </w:p>
        </w:tc>
      </w:tr>
      <w:tr w:rsidR="00161191" w:rsidRPr="00D45D71" w14:paraId="5074D54B" w14:textId="77777777" w:rsidTr="00161191">
        <w:tc>
          <w:tcPr>
            <w:tcW w:w="2827" w:type="dxa"/>
            <w:tcBorders>
              <w:left w:val="single" w:sz="6" w:space="0" w:color="auto"/>
            </w:tcBorders>
          </w:tcPr>
          <w:p w14:paraId="4C84BFB0" w14:textId="77777777" w:rsidR="00161191" w:rsidRPr="001B71EA" w:rsidRDefault="00161191" w:rsidP="00161191">
            <w:pPr>
              <w:keepNext/>
              <w:spacing w:before="40" w:after="40" w:line="259" w:lineRule="auto"/>
              <w:rPr>
                <w:bCs/>
                <w:sz w:val="22"/>
                <w:szCs w:val="22"/>
              </w:rPr>
            </w:pPr>
            <w:r w:rsidRPr="001B71EA">
              <w:rPr>
                <w:bCs/>
                <w:sz w:val="22"/>
                <w:szCs w:val="22"/>
              </w:rPr>
              <w:t>Community engagements</w:t>
            </w:r>
          </w:p>
        </w:tc>
        <w:tc>
          <w:tcPr>
            <w:tcW w:w="2552" w:type="dxa"/>
          </w:tcPr>
          <w:p w14:paraId="1BBA9789" w14:textId="77777777" w:rsidR="00161191" w:rsidRPr="00061335" w:rsidRDefault="00161191" w:rsidP="00161191">
            <w:pPr>
              <w:keepNext/>
              <w:spacing w:before="40" w:after="40" w:line="259" w:lineRule="auto"/>
              <w:rPr>
                <w:bCs/>
                <w:sz w:val="22"/>
                <w:szCs w:val="22"/>
              </w:rPr>
            </w:pPr>
            <w:r>
              <w:rPr>
                <w:bCs/>
                <w:sz w:val="22"/>
                <w:szCs w:val="22"/>
              </w:rPr>
              <w:t>120 per month</w:t>
            </w:r>
          </w:p>
        </w:tc>
        <w:tc>
          <w:tcPr>
            <w:tcW w:w="953" w:type="dxa"/>
          </w:tcPr>
          <w:p w14:paraId="7D0DBA36" w14:textId="14936260" w:rsidR="00161191" w:rsidRDefault="00161191" w:rsidP="00161191">
            <w:pPr>
              <w:keepNext/>
              <w:spacing w:before="40" w:after="40" w:line="259" w:lineRule="auto"/>
              <w:jc w:val="center"/>
              <w:rPr>
                <w:bCs/>
              </w:rPr>
            </w:pPr>
            <w:r>
              <w:rPr>
                <w:bCs/>
              </w:rPr>
              <w:t>2000</w:t>
            </w:r>
          </w:p>
        </w:tc>
        <w:tc>
          <w:tcPr>
            <w:tcW w:w="1094" w:type="dxa"/>
            <w:shd w:val="clear" w:color="auto" w:fill="FFFFFF" w:themeFill="background1"/>
          </w:tcPr>
          <w:p w14:paraId="6DB4E719" w14:textId="02903CBA" w:rsidR="00161191" w:rsidRDefault="00161191" w:rsidP="00161191">
            <w:pPr>
              <w:keepNext/>
              <w:spacing w:before="40" w:after="40" w:line="259" w:lineRule="auto"/>
              <w:jc w:val="center"/>
              <w:rPr>
                <w:bCs/>
              </w:rPr>
            </w:pPr>
            <w:r>
              <w:rPr>
                <w:bCs/>
              </w:rPr>
              <w:t>1374</w:t>
            </w:r>
          </w:p>
        </w:tc>
        <w:tc>
          <w:tcPr>
            <w:tcW w:w="992" w:type="dxa"/>
          </w:tcPr>
          <w:p w14:paraId="50859001" w14:textId="72764A84" w:rsidR="00161191" w:rsidRDefault="00161191" w:rsidP="00161191">
            <w:pPr>
              <w:keepNext/>
              <w:spacing w:before="40" w:after="40" w:line="259" w:lineRule="auto"/>
              <w:jc w:val="center"/>
              <w:rPr>
                <w:bCs/>
              </w:rPr>
            </w:pPr>
            <w:r>
              <w:rPr>
                <w:bCs/>
              </w:rPr>
              <w:t>466</w:t>
            </w:r>
          </w:p>
        </w:tc>
        <w:tc>
          <w:tcPr>
            <w:tcW w:w="930" w:type="dxa"/>
          </w:tcPr>
          <w:p w14:paraId="60541904" w14:textId="3F159B77" w:rsidR="00161191" w:rsidRPr="002D7B49" w:rsidRDefault="00161191" w:rsidP="00161191">
            <w:pPr>
              <w:keepNext/>
              <w:spacing w:before="40" w:after="40" w:line="259" w:lineRule="auto"/>
              <w:jc w:val="center"/>
              <w:rPr>
                <w:bCs/>
              </w:rPr>
            </w:pPr>
            <w:r>
              <w:rPr>
                <w:bCs/>
              </w:rPr>
              <w:t>292</w:t>
            </w:r>
          </w:p>
        </w:tc>
      </w:tr>
      <w:tr w:rsidR="00161191" w:rsidRPr="00D45D71" w14:paraId="43776FBB" w14:textId="77777777" w:rsidTr="00161191">
        <w:tc>
          <w:tcPr>
            <w:tcW w:w="2827" w:type="dxa"/>
            <w:tcBorders>
              <w:left w:val="single" w:sz="6" w:space="0" w:color="auto"/>
            </w:tcBorders>
          </w:tcPr>
          <w:p w14:paraId="2D277A56" w14:textId="77777777" w:rsidR="00161191" w:rsidRPr="001B71EA" w:rsidRDefault="00161191" w:rsidP="00161191">
            <w:pPr>
              <w:keepNext/>
              <w:spacing w:before="40" w:after="40" w:line="259" w:lineRule="auto"/>
              <w:rPr>
                <w:bCs/>
                <w:sz w:val="22"/>
                <w:szCs w:val="22"/>
              </w:rPr>
            </w:pPr>
            <w:r w:rsidRPr="001B71EA">
              <w:rPr>
                <w:bCs/>
                <w:sz w:val="22"/>
                <w:szCs w:val="22"/>
              </w:rPr>
              <w:t xml:space="preserve">Treaty engagements                                                                                     </w:t>
            </w:r>
          </w:p>
        </w:tc>
        <w:tc>
          <w:tcPr>
            <w:tcW w:w="2552" w:type="dxa"/>
          </w:tcPr>
          <w:p w14:paraId="5E8CF1C8" w14:textId="77777777" w:rsidR="00161191" w:rsidRPr="00061335" w:rsidRDefault="00161191" w:rsidP="00161191">
            <w:pPr>
              <w:keepNext/>
              <w:spacing w:before="40" w:after="40" w:line="259" w:lineRule="auto"/>
              <w:rPr>
                <w:bCs/>
                <w:sz w:val="22"/>
                <w:szCs w:val="22"/>
              </w:rPr>
            </w:pPr>
            <w:r>
              <w:rPr>
                <w:bCs/>
                <w:sz w:val="22"/>
                <w:szCs w:val="22"/>
              </w:rPr>
              <w:t xml:space="preserve">5 </w:t>
            </w:r>
            <w:proofErr w:type="gramStart"/>
            <w:r>
              <w:rPr>
                <w:bCs/>
                <w:sz w:val="22"/>
                <w:szCs w:val="22"/>
              </w:rPr>
              <w:t>iwi</w:t>
            </w:r>
            <w:proofErr w:type="gramEnd"/>
            <w:r>
              <w:rPr>
                <w:bCs/>
                <w:sz w:val="22"/>
                <w:szCs w:val="22"/>
              </w:rPr>
              <w:t xml:space="preserve"> and 10 survivors per month </w:t>
            </w:r>
          </w:p>
        </w:tc>
        <w:tc>
          <w:tcPr>
            <w:tcW w:w="953" w:type="dxa"/>
          </w:tcPr>
          <w:p w14:paraId="2D529847" w14:textId="1DE180B0" w:rsidR="00161191" w:rsidRPr="00494AE9" w:rsidRDefault="00161191" w:rsidP="00161191">
            <w:pPr>
              <w:keepNext/>
              <w:spacing w:before="40" w:after="40" w:line="259" w:lineRule="auto"/>
              <w:jc w:val="center"/>
              <w:rPr>
                <w:bCs/>
              </w:rPr>
            </w:pPr>
            <w:r>
              <w:rPr>
                <w:bCs/>
              </w:rPr>
              <w:t>274</w:t>
            </w:r>
          </w:p>
        </w:tc>
        <w:tc>
          <w:tcPr>
            <w:tcW w:w="1094" w:type="dxa"/>
            <w:shd w:val="clear" w:color="auto" w:fill="FFFFFF" w:themeFill="background1"/>
          </w:tcPr>
          <w:p w14:paraId="740AC7A5" w14:textId="3AF9FD9F" w:rsidR="00161191" w:rsidRPr="00494AE9" w:rsidRDefault="00161191" w:rsidP="00161191">
            <w:pPr>
              <w:keepNext/>
              <w:spacing w:before="40" w:after="40" w:line="259" w:lineRule="auto"/>
              <w:jc w:val="center"/>
              <w:rPr>
                <w:bCs/>
              </w:rPr>
            </w:pPr>
            <w:r>
              <w:rPr>
                <w:bCs/>
              </w:rPr>
              <w:t>135</w:t>
            </w:r>
          </w:p>
        </w:tc>
        <w:tc>
          <w:tcPr>
            <w:tcW w:w="992" w:type="dxa"/>
          </w:tcPr>
          <w:p w14:paraId="213529FA" w14:textId="23838AFD" w:rsidR="00161191" w:rsidRPr="00494AE9" w:rsidRDefault="00161191" w:rsidP="00161191">
            <w:pPr>
              <w:keepNext/>
              <w:spacing w:before="40" w:after="40" w:line="259" w:lineRule="auto"/>
              <w:jc w:val="center"/>
              <w:rPr>
                <w:bCs/>
              </w:rPr>
            </w:pPr>
            <w:r w:rsidRPr="00494AE9">
              <w:rPr>
                <w:bCs/>
              </w:rPr>
              <w:t>86</w:t>
            </w:r>
          </w:p>
        </w:tc>
        <w:tc>
          <w:tcPr>
            <w:tcW w:w="930" w:type="dxa"/>
          </w:tcPr>
          <w:p w14:paraId="60247CDE" w14:textId="0877D7AB" w:rsidR="00161191" w:rsidRPr="0043595E" w:rsidRDefault="00161191" w:rsidP="00161191">
            <w:pPr>
              <w:keepNext/>
              <w:spacing w:before="40" w:after="40" w:line="259" w:lineRule="auto"/>
              <w:jc w:val="center"/>
              <w:rPr>
                <w:bCs/>
                <w:highlight w:val="yellow"/>
              </w:rPr>
            </w:pPr>
            <w:r w:rsidRPr="00E171D4">
              <w:rPr>
                <w:bCs/>
              </w:rPr>
              <w:t>53</w:t>
            </w:r>
          </w:p>
        </w:tc>
      </w:tr>
      <w:tr w:rsidR="00161191" w14:paraId="7E1F06E5" w14:textId="77777777" w:rsidTr="00161191">
        <w:trPr>
          <w:trHeight w:val="970"/>
        </w:trPr>
        <w:tc>
          <w:tcPr>
            <w:tcW w:w="9348" w:type="dxa"/>
            <w:gridSpan w:val="6"/>
            <w:tcBorders>
              <w:left w:val="single" w:sz="6" w:space="0" w:color="auto"/>
              <w:bottom w:val="single" w:sz="6" w:space="0" w:color="auto"/>
              <w:right w:val="single" w:sz="6" w:space="0" w:color="auto"/>
            </w:tcBorders>
          </w:tcPr>
          <w:p w14:paraId="580620A4" w14:textId="6F12925D" w:rsidR="00161191" w:rsidRPr="00B7046C" w:rsidRDefault="00161191" w:rsidP="00161191">
            <w:pPr>
              <w:spacing w:before="40" w:after="40" w:line="259" w:lineRule="auto"/>
              <w:rPr>
                <w:sz w:val="22"/>
                <w:szCs w:val="22"/>
              </w:rPr>
            </w:pPr>
            <w:r w:rsidRPr="00B7046C">
              <w:rPr>
                <w:sz w:val="22"/>
                <w:szCs w:val="22"/>
              </w:rPr>
              <w:t xml:space="preserve">Comments: </w:t>
            </w:r>
            <w:r w:rsidRPr="00494AE9">
              <w:rPr>
                <w:sz w:val="22"/>
                <w:szCs w:val="22"/>
              </w:rPr>
              <w:t xml:space="preserve">The breakdown of Treaty engagements </w:t>
            </w:r>
            <w:r>
              <w:rPr>
                <w:sz w:val="22"/>
                <w:szCs w:val="22"/>
              </w:rPr>
              <w:t xml:space="preserve">in the third </w:t>
            </w:r>
            <w:r w:rsidRPr="00494AE9">
              <w:rPr>
                <w:sz w:val="22"/>
                <w:szCs w:val="22"/>
              </w:rPr>
              <w:t xml:space="preserve">quarter is as follows:  </w:t>
            </w:r>
            <w:r>
              <w:rPr>
                <w:sz w:val="22"/>
                <w:szCs w:val="22"/>
              </w:rPr>
              <w:t xml:space="preserve">January - </w:t>
            </w:r>
            <w:r w:rsidRPr="00494AE9">
              <w:rPr>
                <w:sz w:val="22"/>
                <w:szCs w:val="22"/>
              </w:rPr>
              <w:t xml:space="preserve">5 with iwi/Māori and </w:t>
            </w:r>
            <w:r>
              <w:rPr>
                <w:sz w:val="22"/>
                <w:szCs w:val="22"/>
              </w:rPr>
              <w:t xml:space="preserve">5 with survivors; February - 7 with iwi </w:t>
            </w:r>
            <w:r w:rsidRPr="00494AE9">
              <w:rPr>
                <w:sz w:val="22"/>
                <w:szCs w:val="22"/>
              </w:rPr>
              <w:t xml:space="preserve">and </w:t>
            </w:r>
            <w:r>
              <w:rPr>
                <w:sz w:val="22"/>
                <w:szCs w:val="22"/>
              </w:rPr>
              <w:t>22</w:t>
            </w:r>
            <w:r w:rsidRPr="00494AE9">
              <w:rPr>
                <w:sz w:val="22"/>
                <w:szCs w:val="22"/>
              </w:rPr>
              <w:t xml:space="preserve"> with survivors</w:t>
            </w:r>
            <w:r>
              <w:rPr>
                <w:sz w:val="22"/>
                <w:szCs w:val="22"/>
              </w:rPr>
              <w:t xml:space="preserve">; March - 25 with iwi and 71 with </w:t>
            </w:r>
            <w:r w:rsidRPr="00494AE9">
              <w:rPr>
                <w:sz w:val="22"/>
                <w:szCs w:val="22"/>
              </w:rPr>
              <w:t>survivors</w:t>
            </w:r>
            <w:r>
              <w:rPr>
                <w:sz w:val="22"/>
                <w:szCs w:val="22"/>
              </w:rPr>
              <w:t>.</w:t>
            </w:r>
          </w:p>
        </w:tc>
      </w:tr>
    </w:tbl>
    <w:p w14:paraId="69051878" w14:textId="77777777" w:rsidR="00BE67AB" w:rsidRDefault="00BE67AB" w:rsidP="00BE67AB">
      <w:pPr>
        <w:keepLines w:val="0"/>
        <w:rPr>
          <w:rFonts w:cs="Arial"/>
          <w:b/>
          <w:bCs/>
          <w:iCs/>
          <w:color w:val="1F546B"/>
          <w:sz w:val="36"/>
          <w:szCs w:val="28"/>
        </w:rPr>
      </w:pPr>
      <w:bookmarkStart w:id="7" w:name="_Toc47682412"/>
      <w:bookmarkStart w:id="8" w:name="_Toc54193236"/>
      <w:r>
        <w:rPr>
          <w:rFonts w:cs="Arial"/>
          <w:b/>
          <w:bCs/>
          <w:iCs/>
          <w:color w:val="1F546B"/>
          <w:sz w:val="36"/>
          <w:szCs w:val="28"/>
        </w:rPr>
        <w:br w:type="page"/>
      </w:r>
    </w:p>
    <w:p w14:paraId="0388B4ED" w14:textId="77777777" w:rsidR="00BE67AB" w:rsidRDefault="00BE67AB" w:rsidP="00BE67AB">
      <w:pPr>
        <w:pStyle w:val="Heading2"/>
      </w:pPr>
      <w:r>
        <w:lastRenderedPageBreak/>
        <w:t>Organisational Health and Capability</w:t>
      </w:r>
      <w:bookmarkEnd w:id="7"/>
      <w:bookmarkEnd w:id="8"/>
    </w:p>
    <w:p w14:paraId="2E9188D8" w14:textId="77777777" w:rsidR="00BE67AB" w:rsidRPr="00476FCA" w:rsidRDefault="00BE67AB" w:rsidP="00BE67AB">
      <w:r>
        <w:t xml:space="preserve">While the Department is the substantive employer of Royal Commission staff, the Royal Commission is independent.  </w:t>
      </w:r>
      <w:r w:rsidRPr="00294EA8">
        <w:t>These measures are designed to provide reassurance to the Minister that the Royal Commission is functioning well as an entity.</w:t>
      </w:r>
      <w:bookmarkStart w:id="9" w:name="_Hlk46816323"/>
    </w:p>
    <w:p w14:paraId="203B8868" w14:textId="77777777" w:rsidR="00BE67AB" w:rsidRDefault="00BE67AB" w:rsidP="00BE67AB">
      <w:pPr>
        <w:pStyle w:val="Heading4"/>
      </w:pPr>
      <w:bookmarkStart w:id="10" w:name="_Hlk54944784"/>
      <w:r>
        <w:t xml:space="preserve">Human resources </w:t>
      </w:r>
    </w:p>
    <w:p w14:paraId="26ECD1A1" w14:textId="77777777" w:rsidR="00BE67AB" w:rsidRPr="004C7CAE" w:rsidRDefault="00BE67AB" w:rsidP="00BE67AB">
      <w:r>
        <w:t xml:space="preserve">We will monitor FTEs recruited against our annual resource plan. </w:t>
      </w:r>
      <w:r w:rsidRPr="004C7CAE">
        <w:rPr>
          <w:iCs/>
        </w:rPr>
        <w:t>The R</w:t>
      </w:r>
      <w:r>
        <w:rPr>
          <w:iCs/>
        </w:rPr>
        <w:t>oyal Commission’s</w:t>
      </w:r>
      <w:r w:rsidRPr="004C7CAE">
        <w:rPr>
          <w:iCs/>
        </w:rPr>
        <w:t xml:space="preserve"> resource plan is based on each business unit having completed a comprehensive people planning and financial modelling process</w:t>
      </w:r>
      <w:r>
        <w:rPr>
          <w:iCs/>
        </w:rPr>
        <w:t>.</w:t>
      </w:r>
      <w:r w:rsidRPr="004C7CAE">
        <w:rPr>
          <w:i/>
          <w:iCs/>
        </w:rPr>
        <w:t xml:space="preserve"> </w:t>
      </w:r>
      <w:r w:rsidRPr="004C7CAE">
        <w:t xml:space="preserve">The resource plan </w:t>
      </w:r>
      <w:r>
        <w:t xml:space="preserve">for 2020/21 </w:t>
      </w:r>
      <w:r w:rsidRPr="004C7CAE">
        <w:t xml:space="preserve">shows </w:t>
      </w:r>
      <w:r>
        <w:t xml:space="preserve">the overall </w:t>
      </w:r>
      <w:r w:rsidRPr="004C7CAE">
        <w:t>FTE numbers and the resource mix that the Royal Commission is aiming</w:t>
      </w:r>
      <w:r>
        <w:t xml:space="preserve"> to have in place by 30 June 2021.</w:t>
      </w:r>
    </w:p>
    <w:tbl>
      <w:tblPr>
        <w:tblStyle w:val="TableGrid"/>
        <w:tblW w:w="8787" w:type="dxa"/>
        <w:tblLook w:val="04A0" w:firstRow="1" w:lastRow="0" w:firstColumn="1" w:lastColumn="0" w:noHBand="0" w:noVBand="1"/>
      </w:tblPr>
      <w:tblGrid>
        <w:gridCol w:w="2686"/>
        <w:gridCol w:w="1275"/>
        <w:gridCol w:w="1686"/>
        <w:gridCol w:w="1716"/>
        <w:gridCol w:w="1424"/>
      </w:tblGrid>
      <w:tr w:rsidR="00161191" w:rsidRPr="00D45D71" w14:paraId="2B443A6B" w14:textId="77777777" w:rsidTr="00161191">
        <w:tc>
          <w:tcPr>
            <w:tcW w:w="2686" w:type="dxa"/>
            <w:tcBorders>
              <w:top w:val="single" w:sz="6" w:space="0" w:color="auto"/>
              <w:left w:val="single" w:sz="6" w:space="0" w:color="auto"/>
            </w:tcBorders>
            <w:shd w:val="clear" w:color="auto" w:fill="92CC63" w:themeFill="accent4" w:themeFillTint="99"/>
          </w:tcPr>
          <w:p w14:paraId="6632CAC7" w14:textId="77777777" w:rsidR="00161191" w:rsidRPr="00061335" w:rsidRDefault="00161191" w:rsidP="00C2531D">
            <w:pPr>
              <w:keepNext/>
              <w:spacing w:before="40" w:after="40" w:line="259" w:lineRule="auto"/>
              <w:rPr>
                <w:bCs/>
                <w:sz w:val="22"/>
                <w:szCs w:val="22"/>
              </w:rPr>
            </w:pPr>
            <w:r w:rsidRPr="00061335">
              <w:rPr>
                <w:b/>
                <w:bCs/>
                <w:sz w:val="22"/>
                <w:szCs w:val="22"/>
              </w:rPr>
              <w:t xml:space="preserve">How we will monitor our performance </w:t>
            </w:r>
            <w:r w:rsidRPr="00061335">
              <w:rPr>
                <w:b/>
                <w:bCs/>
                <w:sz w:val="22"/>
                <w:szCs w:val="22"/>
              </w:rPr>
              <w:tab/>
            </w:r>
          </w:p>
        </w:tc>
        <w:tc>
          <w:tcPr>
            <w:tcW w:w="1275" w:type="dxa"/>
            <w:tcBorders>
              <w:top w:val="single" w:sz="6" w:space="0" w:color="auto"/>
            </w:tcBorders>
            <w:shd w:val="clear" w:color="auto" w:fill="92CC63" w:themeFill="accent4" w:themeFillTint="99"/>
          </w:tcPr>
          <w:p w14:paraId="459A2476" w14:textId="77777777" w:rsidR="00161191" w:rsidRDefault="00161191" w:rsidP="00C2531D">
            <w:pPr>
              <w:keepNext/>
              <w:spacing w:before="40" w:after="40" w:line="259" w:lineRule="auto"/>
              <w:rPr>
                <w:b/>
                <w:bCs/>
                <w:sz w:val="22"/>
                <w:szCs w:val="22"/>
              </w:rPr>
            </w:pPr>
            <w:r w:rsidRPr="00061335">
              <w:rPr>
                <w:b/>
                <w:bCs/>
                <w:sz w:val="22"/>
                <w:szCs w:val="22"/>
              </w:rPr>
              <w:t>Target 20/21</w:t>
            </w:r>
            <w:r>
              <w:rPr>
                <w:b/>
                <w:bCs/>
                <w:sz w:val="22"/>
                <w:szCs w:val="22"/>
              </w:rPr>
              <w:br/>
            </w:r>
          </w:p>
          <w:p w14:paraId="4575997C" w14:textId="77777777" w:rsidR="00161191" w:rsidRPr="00061335" w:rsidRDefault="00161191" w:rsidP="00C2531D">
            <w:pPr>
              <w:keepNext/>
              <w:spacing w:before="40" w:after="40" w:line="259" w:lineRule="auto"/>
              <w:rPr>
                <w:bCs/>
                <w:sz w:val="22"/>
                <w:szCs w:val="22"/>
              </w:rPr>
            </w:pPr>
          </w:p>
        </w:tc>
        <w:tc>
          <w:tcPr>
            <w:tcW w:w="1686" w:type="dxa"/>
            <w:tcBorders>
              <w:top w:val="single" w:sz="6" w:space="0" w:color="auto"/>
            </w:tcBorders>
            <w:shd w:val="clear" w:color="auto" w:fill="92CC63" w:themeFill="accent4" w:themeFillTint="99"/>
          </w:tcPr>
          <w:p w14:paraId="6E353037" w14:textId="3DFA76F7" w:rsidR="00161191" w:rsidRDefault="00161191" w:rsidP="00E30A76">
            <w:pPr>
              <w:keepNext/>
              <w:spacing w:before="40" w:after="40" w:line="259" w:lineRule="auto"/>
              <w:jc w:val="center"/>
              <w:rPr>
                <w:b/>
                <w:bCs/>
                <w:sz w:val="22"/>
                <w:szCs w:val="22"/>
              </w:rPr>
            </w:pPr>
            <w:r>
              <w:rPr>
                <w:b/>
                <w:bCs/>
                <w:sz w:val="22"/>
                <w:szCs w:val="22"/>
              </w:rPr>
              <w:t>FTE’s (actual) as at 31 March 2021</w:t>
            </w:r>
          </w:p>
        </w:tc>
        <w:tc>
          <w:tcPr>
            <w:tcW w:w="1716" w:type="dxa"/>
            <w:tcBorders>
              <w:top w:val="single" w:sz="6" w:space="0" w:color="auto"/>
            </w:tcBorders>
            <w:shd w:val="clear" w:color="auto" w:fill="92CC63" w:themeFill="accent4" w:themeFillTint="99"/>
          </w:tcPr>
          <w:p w14:paraId="4B8E02FD" w14:textId="7D1DE0E0" w:rsidR="00161191" w:rsidRDefault="00161191" w:rsidP="00E30A76">
            <w:pPr>
              <w:keepNext/>
              <w:spacing w:before="40" w:after="40" w:line="259" w:lineRule="auto"/>
              <w:jc w:val="center"/>
              <w:rPr>
                <w:b/>
                <w:bCs/>
                <w:sz w:val="22"/>
                <w:szCs w:val="22"/>
              </w:rPr>
            </w:pPr>
            <w:r>
              <w:rPr>
                <w:b/>
                <w:bCs/>
                <w:sz w:val="22"/>
                <w:szCs w:val="22"/>
              </w:rPr>
              <w:t>FTE’s (actual) as at 31 Dec 2020</w:t>
            </w:r>
          </w:p>
        </w:tc>
        <w:tc>
          <w:tcPr>
            <w:tcW w:w="1424" w:type="dxa"/>
            <w:tcBorders>
              <w:top w:val="single" w:sz="6" w:space="0" w:color="auto"/>
              <w:right w:val="single" w:sz="6" w:space="0" w:color="auto"/>
            </w:tcBorders>
            <w:shd w:val="clear" w:color="auto" w:fill="92CC63" w:themeFill="accent4" w:themeFillTint="99"/>
          </w:tcPr>
          <w:p w14:paraId="22156EB1" w14:textId="4EB37496" w:rsidR="00161191" w:rsidRPr="00061335" w:rsidRDefault="00161191" w:rsidP="00E30A76">
            <w:pPr>
              <w:keepNext/>
              <w:spacing w:before="40" w:after="40" w:line="259" w:lineRule="auto"/>
              <w:jc w:val="center"/>
              <w:rPr>
                <w:bCs/>
                <w:sz w:val="22"/>
                <w:szCs w:val="22"/>
              </w:rPr>
            </w:pPr>
            <w:r>
              <w:rPr>
                <w:b/>
                <w:bCs/>
                <w:sz w:val="22"/>
                <w:szCs w:val="22"/>
              </w:rPr>
              <w:t>FTE’s (actual) as at 30 Sept 2020</w:t>
            </w:r>
          </w:p>
        </w:tc>
      </w:tr>
      <w:tr w:rsidR="00161191" w:rsidRPr="00D45D71" w14:paraId="15D3DAFE" w14:textId="77777777" w:rsidTr="00161191">
        <w:tc>
          <w:tcPr>
            <w:tcW w:w="2686" w:type="dxa"/>
            <w:tcBorders>
              <w:left w:val="single" w:sz="6" w:space="0" w:color="auto"/>
            </w:tcBorders>
          </w:tcPr>
          <w:p w14:paraId="7381E499" w14:textId="77777777" w:rsidR="00161191" w:rsidRPr="001B71EA" w:rsidRDefault="00161191" w:rsidP="00C2531D">
            <w:pPr>
              <w:keepNext/>
              <w:spacing w:before="40" w:after="40" w:line="259" w:lineRule="auto"/>
              <w:rPr>
                <w:bCs/>
                <w:sz w:val="22"/>
                <w:szCs w:val="22"/>
              </w:rPr>
            </w:pPr>
            <w:r>
              <w:rPr>
                <w:bCs/>
                <w:sz w:val="22"/>
                <w:szCs w:val="22"/>
              </w:rPr>
              <w:t xml:space="preserve">2020/21 Resource Plan  </w:t>
            </w:r>
          </w:p>
        </w:tc>
        <w:tc>
          <w:tcPr>
            <w:tcW w:w="1275" w:type="dxa"/>
          </w:tcPr>
          <w:p w14:paraId="592BB798" w14:textId="77777777" w:rsidR="00161191" w:rsidRPr="00061335" w:rsidRDefault="00161191" w:rsidP="00C2531D">
            <w:pPr>
              <w:keepNext/>
              <w:spacing w:before="40" w:after="40" w:line="259" w:lineRule="auto"/>
              <w:rPr>
                <w:bCs/>
                <w:sz w:val="22"/>
                <w:szCs w:val="22"/>
              </w:rPr>
            </w:pPr>
            <w:r>
              <w:rPr>
                <w:bCs/>
                <w:sz w:val="22"/>
                <w:szCs w:val="22"/>
              </w:rPr>
              <w:t>244*</w:t>
            </w:r>
          </w:p>
        </w:tc>
        <w:tc>
          <w:tcPr>
            <w:tcW w:w="1686" w:type="dxa"/>
          </w:tcPr>
          <w:p w14:paraId="332CAA1A" w14:textId="1E50D30E" w:rsidR="00161191" w:rsidRDefault="00161191" w:rsidP="00C2531D">
            <w:pPr>
              <w:keepNext/>
              <w:spacing w:before="40" w:after="40" w:line="259" w:lineRule="auto"/>
              <w:jc w:val="center"/>
            </w:pPr>
            <w:r w:rsidRPr="00593DDC">
              <w:t>186.5</w:t>
            </w:r>
          </w:p>
        </w:tc>
        <w:tc>
          <w:tcPr>
            <w:tcW w:w="1716" w:type="dxa"/>
          </w:tcPr>
          <w:p w14:paraId="7D2F1F5A" w14:textId="0987A0B3" w:rsidR="00161191" w:rsidRDefault="00161191" w:rsidP="00C2531D">
            <w:pPr>
              <w:keepNext/>
              <w:spacing w:before="40" w:after="40" w:line="259" w:lineRule="auto"/>
              <w:jc w:val="center"/>
              <w:rPr>
                <w:bCs/>
              </w:rPr>
            </w:pPr>
            <w:r>
              <w:t>177.3</w:t>
            </w:r>
          </w:p>
        </w:tc>
        <w:tc>
          <w:tcPr>
            <w:tcW w:w="1424" w:type="dxa"/>
            <w:tcBorders>
              <w:right w:val="single" w:sz="6" w:space="0" w:color="auto"/>
            </w:tcBorders>
          </w:tcPr>
          <w:p w14:paraId="13D2B76F" w14:textId="328A338A" w:rsidR="00161191" w:rsidRPr="002D3AFF" w:rsidRDefault="00161191" w:rsidP="00C2531D">
            <w:pPr>
              <w:keepNext/>
              <w:spacing w:before="40" w:after="40" w:line="259" w:lineRule="auto"/>
              <w:jc w:val="center"/>
              <w:rPr>
                <w:bCs/>
                <w:sz w:val="22"/>
                <w:szCs w:val="22"/>
              </w:rPr>
            </w:pPr>
            <w:r>
              <w:rPr>
                <w:bCs/>
              </w:rPr>
              <w:t>141.3</w:t>
            </w:r>
          </w:p>
        </w:tc>
      </w:tr>
      <w:tr w:rsidR="00161191" w:rsidRPr="00D45D71" w14:paraId="63235C42" w14:textId="77777777" w:rsidTr="00161191">
        <w:tc>
          <w:tcPr>
            <w:tcW w:w="8787" w:type="dxa"/>
            <w:gridSpan w:val="5"/>
            <w:tcBorders>
              <w:left w:val="single" w:sz="6" w:space="0" w:color="auto"/>
              <w:right w:val="single" w:sz="6" w:space="0" w:color="auto"/>
            </w:tcBorders>
          </w:tcPr>
          <w:p w14:paraId="644FC41C" w14:textId="6564B2C4" w:rsidR="00161191" w:rsidRDefault="00161191" w:rsidP="00161191">
            <w:pPr>
              <w:keepNext/>
              <w:spacing w:before="40" w:after="40" w:line="259" w:lineRule="auto"/>
              <w:rPr>
                <w:bCs/>
              </w:rPr>
            </w:pPr>
            <w:r w:rsidRPr="00A5435C">
              <w:rPr>
                <w:sz w:val="22"/>
                <w:szCs w:val="22"/>
              </w:rPr>
              <w:t>Comments: We are currently not on track to achieve the overall resource plan target by June 2021, due to some recruitment being paused. We had 16.5 FTE start in this quarter, with 7 FTE leaving. Recruitment will continue to be subject to budget decisions.</w:t>
            </w:r>
          </w:p>
        </w:tc>
      </w:tr>
    </w:tbl>
    <w:p w14:paraId="7CBAC3F4" w14:textId="562D87CF" w:rsidR="00BE67AB" w:rsidRDefault="00BE67AB" w:rsidP="00BE67AB">
      <w:pPr>
        <w:pStyle w:val="Heading4"/>
      </w:pPr>
      <w:bookmarkStart w:id="11" w:name="_Hlk46816182"/>
      <w:bookmarkEnd w:id="10"/>
      <w:r w:rsidRPr="0029224C">
        <w:t>Records</w:t>
      </w:r>
      <w:r>
        <w:t xml:space="preserve">  </w:t>
      </w:r>
      <w:bookmarkEnd w:id="9"/>
      <w:bookmarkEnd w:id="11"/>
    </w:p>
    <w:p w14:paraId="23FC617A" w14:textId="77777777" w:rsidR="00BE67AB" w:rsidRDefault="00BE67AB" w:rsidP="00BE67AB">
      <w:r>
        <w:t>As a</w:t>
      </w:r>
      <w:r w:rsidRPr="001C58C1">
        <w:t xml:space="preserve"> public office under the Public R</w:t>
      </w:r>
      <w:r>
        <w:t>ecords Act 2005, t</w:t>
      </w:r>
      <w:r w:rsidRPr="001C58C1">
        <w:t>he Ro</w:t>
      </w:r>
      <w:r>
        <w:t>yal</w:t>
      </w:r>
      <w:r w:rsidRPr="001C58C1">
        <w:t xml:space="preserve"> Commission </w:t>
      </w:r>
      <w:r>
        <w:t xml:space="preserve">must take reasonable steps to ensure its records are kept and transferred in an efficient and timely manner from the Royal Commission to the Department </w:t>
      </w:r>
      <w:proofErr w:type="gramStart"/>
      <w:r>
        <w:t>at the conclusion of</w:t>
      </w:r>
      <w:proofErr w:type="gramEnd"/>
      <w:r>
        <w:t xml:space="preserve"> the Inquiry. </w:t>
      </w:r>
    </w:p>
    <w:p w14:paraId="24344649" w14:textId="77777777" w:rsidR="00BE67AB" w:rsidRDefault="00BE67AB" w:rsidP="00BE67AB">
      <w:r>
        <w:t>This includes providing suitable documentation to accompany these records at transfer to ensure that the Department can comply with its obligations under the Official Information Act 1982 and the Public Records Act 2005 once the Royal Commission is closed.</w:t>
      </w:r>
    </w:p>
    <w:tbl>
      <w:tblPr>
        <w:tblStyle w:val="DIATable"/>
        <w:tblW w:w="8808"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114"/>
        <w:gridCol w:w="1418"/>
        <w:gridCol w:w="1276"/>
      </w:tblGrid>
      <w:tr w:rsidR="00BE67AB" w:rsidRPr="00C4201F" w14:paraId="7A682FA9" w14:textId="77777777" w:rsidTr="00A172F7">
        <w:trPr>
          <w:cnfStyle w:val="100000000000" w:firstRow="1" w:lastRow="0" w:firstColumn="0" w:lastColumn="0" w:oddVBand="0" w:evenVBand="0" w:oddHBand="0" w:evenHBand="0" w:firstRowFirstColumn="0" w:firstRowLastColumn="0" w:lastRowFirstColumn="0" w:lastRowLastColumn="0"/>
        </w:trPr>
        <w:tc>
          <w:tcPr>
            <w:tcW w:w="6114" w:type="dxa"/>
            <w:tcBorders>
              <w:top w:val="single" w:sz="6" w:space="0" w:color="auto"/>
              <w:left w:val="single" w:sz="6" w:space="0" w:color="auto"/>
              <w:bottom w:val="single" w:sz="6" w:space="0" w:color="auto"/>
            </w:tcBorders>
            <w:shd w:val="clear" w:color="auto" w:fill="92D050"/>
          </w:tcPr>
          <w:p w14:paraId="04792482" w14:textId="77777777" w:rsidR="00BE67AB" w:rsidRPr="00C4201F" w:rsidRDefault="00BE67AB" w:rsidP="00C2531D">
            <w:pPr>
              <w:spacing w:before="40" w:after="40" w:line="259" w:lineRule="auto"/>
              <w:rPr>
                <w:bCs/>
                <w:color w:val="auto"/>
                <w:szCs w:val="22"/>
              </w:rPr>
            </w:pPr>
            <w:r w:rsidRPr="00C4201F">
              <w:rPr>
                <w:bCs/>
                <w:color w:val="auto"/>
                <w:szCs w:val="22"/>
              </w:rPr>
              <w:t xml:space="preserve">How we will monitor our performance </w:t>
            </w:r>
          </w:p>
        </w:tc>
        <w:tc>
          <w:tcPr>
            <w:tcW w:w="1418" w:type="dxa"/>
            <w:tcBorders>
              <w:top w:val="single" w:sz="6" w:space="0" w:color="auto"/>
              <w:bottom w:val="single" w:sz="6" w:space="0" w:color="auto"/>
            </w:tcBorders>
            <w:shd w:val="clear" w:color="auto" w:fill="92D050"/>
          </w:tcPr>
          <w:p w14:paraId="367A355E" w14:textId="77777777" w:rsidR="00BE67AB" w:rsidRPr="00C4201F" w:rsidRDefault="00BE67AB" w:rsidP="00C2531D">
            <w:pPr>
              <w:spacing w:before="40" w:after="40" w:line="259" w:lineRule="auto"/>
              <w:rPr>
                <w:bCs/>
                <w:color w:val="auto"/>
                <w:szCs w:val="22"/>
              </w:rPr>
            </w:pPr>
            <w:r w:rsidRPr="00C4201F">
              <w:rPr>
                <w:bCs/>
                <w:color w:val="auto"/>
                <w:szCs w:val="22"/>
              </w:rPr>
              <w:t>Target 20/21</w:t>
            </w:r>
          </w:p>
        </w:tc>
        <w:tc>
          <w:tcPr>
            <w:tcW w:w="1276" w:type="dxa"/>
            <w:tcBorders>
              <w:top w:val="single" w:sz="6" w:space="0" w:color="auto"/>
              <w:bottom w:val="single" w:sz="6" w:space="0" w:color="auto"/>
              <w:right w:val="single" w:sz="6" w:space="0" w:color="auto"/>
            </w:tcBorders>
            <w:shd w:val="clear" w:color="auto" w:fill="92D050"/>
          </w:tcPr>
          <w:p w14:paraId="095E1C16" w14:textId="278C5C62" w:rsidR="00BE67AB" w:rsidRPr="00C4201F" w:rsidRDefault="00BE67AB" w:rsidP="00A5435C">
            <w:pPr>
              <w:spacing w:before="40" w:after="40" w:line="259" w:lineRule="auto"/>
              <w:jc w:val="center"/>
              <w:rPr>
                <w:bCs/>
                <w:color w:val="auto"/>
                <w:szCs w:val="22"/>
              </w:rPr>
            </w:pPr>
            <w:r w:rsidRPr="00C4201F">
              <w:rPr>
                <w:bCs/>
                <w:color w:val="auto"/>
                <w:szCs w:val="22"/>
              </w:rPr>
              <w:t>Actual</w:t>
            </w:r>
          </w:p>
        </w:tc>
      </w:tr>
      <w:tr w:rsidR="00BE67AB" w14:paraId="103F9645" w14:textId="77777777" w:rsidTr="00AE3A8D">
        <w:tc>
          <w:tcPr>
            <w:tcW w:w="6114" w:type="dxa"/>
          </w:tcPr>
          <w:p w14:paraId="09F96507" w14:textId="77777777" w:rsidR="00BE67AB" w:rsidRPr="00061335" w:rsidRDefault="00BE67AB" w:rsidP="00C2531D">
            <w:pPr>
              <w:shd w:val="clear" w:color="auto" w:fill="FFFFFF" w:themeFill="background1"/>
              <w:spacing w:before="40" w:after="40"/>
              <w:contextualSpacing/>
              <w:rPr>
                <w:szCs w:val="22"/>
              </w:rPr>
            </w:pPr>
            <w:r w:rsidRPr="00061335">
              <w:rPr>
                <w:szCs w:val="22"/>
              </w:rPr>
              <w:t xml:space="preserve">Royal Commission will comply with any records audit processes                         </w:t>
            </w:r>
          </w:p>
          <w:p w14:paraId="3FA5701F" w14:textId="77777777" w:rsidR="00BE67AB" w:rsidRDefault="00BE67AB" w:rsidP="00C2531D">
            <w:pPr>
              <w:spacing w:before="40" w:after="40"/>
            </w:pPr>
            <w:r w:rsidRPr="00061335">
              <w:rPr>
                <w:szCs w:val="22"/>
              </w:rPr>
              <w:t xml:space="preserve">requested by the Department for all records held by the Royal Commission     </w:t>
            </w:r>
          </w:p>
        </w:tc>
        <w:tc>
          <w:tcPr>
            <w:tcW w:w="1418" w:type="dxa"/>
          </w:tcPr>
          <w:p w14:paraId="48CB200A" w14:textId="77777777" w:rsidR="00BE67AB" w:rsidRDefault="00BE67AB" w:rsidP="00C2531D">
            <w:pPr>
              <w:spacing w:before="40" w:after="40"/>
            </w:pPr>
            <w:r>
              <w:t>100%</w:t>
            </w:r>
          </w:p>
        </w:tc>
        <w:tc>
          <w:tcPr>
            <w:tcW w:w="1276" w:type="dxa"/>
            <w:tcBorders>
              <w:bottom w:val="single" w:sz="6" w:space="0" w:color="auto"/>
            </w:tcBorders>
          </w:tcPr>
          <w:p w14:paraId="3399041D" w14:textId="77777777" w:rsidR="00BE67AB" w:rsidRDefault="00BE67AB" w:rsidP="00A5435C">
            <w:pPr>
              <w:spacing w:before="40" w:after="40"/>
              <w:jc w:val="center"/>
            </w:pPr>
            <w:r>
              <w:t>N/A</w:t>
            </w:r>
          </w:p>
        </w:tc>
      </w:tr>
      <w:tr w:rsidR="00E9549B" w14:paraId="3D6F2008" w14:textId="77777777" w:rsidTr="009B0218">
        <w:tc>
          <w:tcPr>
            <w:tcW w:w="8808" w:type="dxa"/>
            <w:gridSpan w:val="3"/>
            <w:tcBorders>
              <w:bottom w:val="single" w:sz="6" w:space="0" w:color="auto"/>
              <w:right w:val="single" w:sz="6" w:space="0" w:color="auto"/>
            </w:tcBorders>
          </w:tcPr>
          <w:p w14:paraId="7A201FC1" w14:textId="6FF0A0F9" w:rsidR="00E9549B" w:rsidRDefault="00E9549B" w:rsidP="00C2531D">
            <w:pPr>
              <w:spacing w:before="40" w:after="40"/>
            </w:pPr>
            <w:r>
              <w:t>Comments: The</w:t>
            </w:r>
            <w:r w:rsidR="00162800">
              <w:t>re were no requests for records audit processes in the third quarter.</w:t>
            </w:r>
          </w:p>
        </w:tc>
      </w:tr>
    </w:tbl>
    <w:p w14:paraId="6B2CA28D" w14:textId="77777777" w:rsidR="00BE67AB" w:rsidRDefault="00BE67AB" w:rsidP="00BE67AB">
      <w:pPr>
        <w:pStyle w:val="Heading4"/>
      </w:pPr>
      <w:r>
        <w:t xml:space="preserve">Royal Commission policies and procedures </w:t>
      </w:r>
    </w:p>
    <w:p w14:paraId="2A64FEA6" w14:textId="67C3F325" w:rsidR="00BE67AB" w:rsidRPr="005122CD" w:rsidRDefault="00BE67AB" w:rsidP="00BE67AB">
      <w:pPr>
        <w:pStyle w:val="NormalWeb"/>
        <w:rPr>
          <w:rFonts w:ascii="Calibri" w:eastAsia="Times New Roman" w:hAnsi="Calibri" w:cs="Calibri"/>
          <w:lang w:eastAsia="en-NZ"/>
        </w:rPr>
      </w:pPr>
      <w:r w:rsidRPr="00386FB6">
        <w:rPr>
          <w:rFonts w:ascii="Calibri" w:hAnsi="Calibri" w:cs="Calibri"/>
        </w:rPr>
        <w:t xml:space="preserve">Under its Terms of Reference, the Royal Commission is required to implement clear policies and methods of work. </w:t>
      </w:r>
      <w:r w:rsidRPr="00386FB6">
        <w:rPr>
          <w:rFonts w:ascii="Calibri" w:eastAsia="Times New Roman" w:hAnsi="Calibri" w:cs="Calibri"/>
          <w:lang w:eastAsia="en-NZ"/>
        </w:rPr>
        <w:t xml:space="preserve">While public service and departmental standards and policies apply by default, the Royal Commission </w:t>
      </w:r>
      <w:proofErr w:type="gramStart"/>
      <w:r w:rsidRPr="00386FB6">
        <w:rPr>
          <w:rFonts w:ascii="Calibri" w:eastAsia="Times New Roman" w:hAnsi="Calibri" w:cs="Calibri"/>
          <w:lang w:eastAsia="en-NZ"/>
        </w:rPr>
        <w:t>has the</w:t>
      </w:r>
      <w:r>
        <w:rPr>
          <w:rFonts w:ascii="Calibri" w:eastAsia="Times New Roman" w:hAnsi="Calibri" w:cs="Calibri"/>
          <w:lang w:eastAsia="en-NZ"/>
        </w:rPr>
        <w:t xml:space="preserve"> </w:t>
      </w:r>
      <w:r w:rsidRPr="00386FB6">
        <w:rPr>
          <w:rFonts w:ascii="Calibri" w:eastAsia="Times New Roman" w:hAnsi="Calibri" w:cs="Calibri"/>
          <w:lang w:eastAsia="en-NZ"/>
        </w:rPr>
        <w:t>ability to</w:t>
      </w:r>
      <w:proofErr w:type="gramEnd"/>
      <w:r w:rsidRPr="00386FB6">
        <w:rPr>
          <w:rFonts w:ascii="Calibri" w:eastAsia="Times New Roman" w:hAnsi="Calibri" w:cs="Calibri"/>
          <w:lang w:eastAsia="en-NZ"/>
        </w:rPr>
        <w:t xml:space="preserve"> develop bespoke policies and procedures to fit their unique circumstances.</w:t>
      </w:r>
      <w:r>
        <w:rPr>
          <w:rFonts w:ascii="Calibri" w:eastAsia="Times New Roman" w:hAnsi="Calibri" w:cs="Calibri"/>
          <w:lang w:eastAsia="en-NZ"/>
        </w:rPr>
        <w:t xml:space="preserve"> </w:t>
      </w:r>
    </w:p>
    <w:tbl>
      <w:tblPr>
        <w:tblStyle w:val="TableGrid"/>
        <w:tblW w:w="9073" w:type="dxa"/>
        <w:tblLayout w:type="fixed"/>
        <w:tblLook w:val="04A0" w:firstRow="1" w:lastRow="0" w:firstColumn="1" w:lastColumn="0" w:noHBand="0" w:noVBand="1"/>
      </w:tblPr>
      <w:tblGrid>
        <w:gridCol w:w="4528"/>
        <w:gridCol w:w="1415"/>
        <w:gridCol w:w="992"/>
        <w:gridCol w:w="992"/>
        <w:gridCol w:w="1135"/>
        <w:gridCol w:w="11"/>
      </w:tblGrid>
      <w:tr w:rsidR="007E5535" w:rsidRPr="00D45D71" w14:paraId="698E8469" w14:textId="77777777" w:rsidTr="007E5535">
        <w:trPr>
          <w:gridAfter w:val="1"/>
          <w:wAfter w:w="11" w:type="dxa"/>
        </w:trPr>
        <w:tc>
          <w:tcPr>
            <w:tcW w:w="4528" w:type="dxa"/>
            <w:tcBorders>
              <w:top w:val="single" w:sz="6" w:space="0" w:color="auto"/>
              <w:left w:val="single" w:sz="6" w:space="0" w:color="auto"/>
            </w:tcBorders>
            <w:shd w:val="clear" w:color="auto" w:fill="92CC63" w:themeFill="accent4" w:themeFillTint="99"/>
          </w:tcPr>
          <w:p w14:paraId="7F89F0DB" w14:textId="77777777" w:rsidR="007E5535" w:rsidRPr="00A5435C" w:rsidRDefault="007E5535" w:rsidP="00C2531D">
            <w:pPr>
              <w:keepNext/>
              <w:spacing w:before="40" w:after="40" w:line="259" w:lineRule="auto"/>
              <w:rPr>
                <w:bCs/>
                <w:sz w:val="22"/>
                <w:szCs w:val="22"/>
              </w:rPr>
            </w:pPr>
            <w:r w:rsidRPr="00A5435C">
              <w:rPr>
                <w:b/>
                <w:bCs/>
                <w:sz w:val="22"/>
                <w:szCs w:val="22"/>
              </w:rPr>
              <w:lastRenderedPageBreak/>
              <w:t xml:space="preserve">How we will monitor our performance </w:t>
            </w:r>
            <w:r w:rsidRPr="00A5435C">
              <w:rPr>
                <w:b/>
                <w:bCs/>
                <w:sz w:val="22"/>
                <w:szCs w:val="22"/>
              </w:rPr>
              <w:tab/>
            </w:r>
          </w:p>
        </w:tc>
        <w:tc>
          <w:tcPr>
            <w:tcW w:w="1415" w:type="dxa"/>
            <w:tcBorders>
              <w:top w:val="single" w:sz="6" w:space="0" w:color="auto"/>
            </w:tcBorders>
            <w:shd w:val="clear" w:color="auto" w:fill="92CC63" w:themeFill="accent4" w:themeFillTint="99"/>
          </w:tcPr>
          <w:p w14:paraId="69E9F77E" w14:textId="77777777" w:rsidR="007E5535" w:rsidRPr="00A5435C" w:rsidRDefault="007E5535" w:rsidP="00C2531D">
            <w:pPr>
              <w:keepNext/>
              <w:spacing w:before="40" w:after="40" w:line="259" w:lineRule="auto"/>
              <w:rPr>
                <w:bCs/>
                <w:sz w:val="22"/>
                <w:szCs w:val="22"/>
              </w:rPr>
            </w:pPr>
            <w:r w:rsidRPr="00A5435C">
              <w:rPr>
                <w:b/>
                <w:bCs/>
                <w:sz w:val="22"/>
                <w:szCs w:val="22"/>
              </w:rPr>
              <w:t>Target 20/21</w:t>
            </w:r>
          </w:p>
        </w:tc>
        <w:tc>
          <w:tcPr>
            <w:tcW w:w="992" w:type="dxa"/>
            <w:tcBorders>
              <w:top w:val="single" w:sz="6" w:space="0" w:color="auto"/>
            </w:tcBorders>
            <w:shd w:val="clear" w:color="auto" w:fill="92CC63" w:themeFill="accent4" w:themeFillTint="99"/>
          </w:tcPr>
          <w:p w14:paraId="6B18B4B3" w14:textId="5106241E" w:rsidR="007E5535" w:rsidRPr="00A5435C" w:rsidRDefault="007E5535" w:rsidP="00E30A76">
            <w:pPr>
              <w:keepNext/>
              <w:spacing w:before="40" w:after="40" w:line="259" w:lineRule="auto"/>
              <w:jc w:val="center"/>
              <w:rPr>
                <w:b/>
                <w:bCs/>
                <w:sz w:val="22"/>
                <w:szCs w:val="22"/>
              </w:rPr>
            </w:pPr>
            <w:r w:rsidRPr="00A5435C">
              <w:rPr>
                <w:b/>
                <w:bCs/>
                <w:sz w:val="22"/>
                <w:szCs w:val="22"/>
              </w:rPr>
              <w:t>Jan-Mar 2021</w:t>
            </w:r>
          </w:p>
        </w:tc>
        <w:tc>
          <w:tcPr>
            <w:tcW w:w="992" w:type="dxa"/>
            <w:tcBorders>
              <w:top w:val="single" w:sz="6" w:space="0" w:color="auto"/>
            </w:tcBorders>
            <w:shd w:val="clear" w:color="auto" w:fill="92CC63" w:themeFill="accent4" w:themeFillTint="99"/>
          </w:tcPr>
          <w:p w14:paraId="4FC89961" w14:textId="06035F4D" w:rsidR="007E5535" w:rsidRPr="00A5435C" w:rsidRDefault="007E5535" w:rsidP="00E30A76">
            <w:pPr>
              <w:keepNext/>
              <w:spacing w:before="40" w:after="40" w:line="259" w:lineRule="auto"/>
              <w:jc w:val="center"/>
              <w:rPr>
                <w:bCs/>
                <w:sz w:val="22"/>
                <w:szCs w:val="22"/>
              </w:rPr>
            </w:pPr>
            <w:r w:rsidRPr="00A5435C">
              <w:rPr>
                <w:b/>
                <w:bCs/>
                <w:sz w:val="22"/>
                <w:szCs w:val="22"/>
              </w:rPr>
              <w:t>Oct-Dec 2020</w:t>
            </w:r>
          </w:p>
        </w:tc>
        <w:tc>
          <w:tcPr>
            <w:tcW w:w="1135" w:type="dxa"/>
            <w:tcBorders>
              <w:top w:val="single" w:sz="6" w:space="0" w:color="auto"/>
              <w:bottom w:val="single" w:sz="4" w:space="0" w:color="auto"/>
              <w:right w:val="single" w:sz="6" w:space="0" w:color="auto"/>
            </w:tcBorders>
            <w:shd w:val="clear" w:color="auto" w:fill="92CC63" w:themeFill="accent4" w:themeFillTint="99"/>
          </w:tcPr>
          <w:p w14:paraId="5DB0FAB3" w14:textId="238644A8" w:rsidR="007E5535" w:rsidRPr="00A5435C" w:rsidRDefault="007E5535" w:rsidP="00E30A76">
            <w:pPr>
              <w:keepNext/>
              <w:spacing w:before="40" w:after="40" w:line="259" w:lineRule="auto"/>
              <w:jc w:val="center"/>
              <w:rPr>
                <w:bCs/>
                <w:sz w:val="22"/>
                <w:szCs w:val="22"/>
              </w:rPr>
            </w:pPr>
            <w:r w:rsidRPr="00A5435C">
              <w:rPr>
                <w:b/>
                <w:bCs/>
                <w:sz w:val="22"/>
                <w:szCs w:val="22"/>
              </w:rPr>
              <w:t>July-Sept 2020</w:t>
            </w:r>
          </w:p>
        </w:tc>
      </w:tr>
      <w:tr w:rsidR="007E5535" w:rsidRPr="00D45D71" w14:paraId="41E5C79B" w14:textId="77777777" w:rsidTr="007E5535">
        <w:trPr>
          <w:gridAfter w:val="1"/>
          <w:wAfter w:w="11" w:type="dxa"/>
        </w:trPr>
        <w:tc>
          <w:tcPr>
            <w:tcW w:w="4528" w:type="dxa"/>
            <w:tcBorders>
              <w:left w:val="single" w:sz="6" w:space="0" w:color="auto"/>
            </w:tcBorders>
          </w:tcPr>
          <w:p w14:paraId="1B7A92C1" w14:textId="77777777" w:rsidR="007E5535" w:rsidRPr="00A5435C" w:rsidRDefault="007E5535" w:rsidP="00C2531D">
            <w:pPr>
              <w:keepNext/>
              <w:spacing w:before="40" w:after="40" w:line="259" w:lineRule="auto"/>
              <w:rPr>
                <w:bCs/>
                <w:sz w:val="22"/>
                <w:szCs w:val="22"/>
              </w:rPr>
            </w:pPr>
            <w:r w:rsidRPr="00A5435C">
              <w:rPr>
                <w:rFonts w:eastAsia="Times New Roman" w:cs="Calibri"/>
                <w:sz w:val="22"/>
                <w:szCs w:val="22"/>
                <w:lang w:eastAsia="en-NZ"/>
              </w:rPr>
              <w:t>Number of instances of departure from public service and departmental policies</w:t>
            </w:r>
          </w:p>
        </w:tc>
        <w:tc>
          <w:tcPr>
            <w:tcW w:w="1415" w:type="dxa"/>
          </w:tcPr>
          <w:p w14:paraId="485CAB16" w14:textId="77777777" w:rsidR="007E5535" w:rsidRPr="00A5435C" w:rsidRDefault="007E5535" w:rsidP="00C2531D">
            <w:pPr>
              <w:keepNext/>
              <w:spacing w:before="40" w:after="40" w:line="259" w:lineRule="auto"/>
              <w:rPr>
                <w:bCs/>
                <w:sz w:val="22"/>
                <w:szCs w:val="22"/>
              </w:rPr>
            </w:pPr>
            <w:r w:rsidRPr="00A5435C">
              <w:rPr>
                <w:bCs/>
                <w:sz w:val="22"/>
                <w:szCs w:val="22"/>
              </w:rPr>
              <w:t>Not applicable</w:t>
            </w:r>
          </w:p>
        </w:tc>
        <w:tc>
          <w:tcPr>
            <w:tcW w:w="992" w:type="dxa"/>
          </w:tcPr>
          <w:p w14:paraId="004E2E03" w14:textId="72D42501" w:rsidR="007E5535" w:rsidRPr="00A5435C" w:rsidRDefault="007E5535" w:rsidP="00C2531D">
            <w:pPr>
              <w:keepNext/>
              <w:spacing w:before="40" w:after="40" w:line="259" w:lineRule="auto"/>
              <w:jc w:val="center"/>
              <w:rPr>
                <w:bCs/>
                <w:sz w:val="22"/>
                <w:szCs w:val="22"/>
              </w:rPr>
            </w:pPr>
            <w:r w:rsidRPr="00A5435C">
              <w:rPr>
                <w:bCs/>
                <w:sz w:val="22"/>
                <w:szCs w:val="22"/>
              </w:rPr>
              <w:t>2</w:t>
            </w:r>
          </w:p>
        </w:tc>
        <w:tc>
          <w:tcPr>
            <w:tcW w:w="992" w:type="dxa"/>
          </w:tcPr>
          <w:p w14:paraId="261C54F1" w14:textId="2DD93189" w:rsidR="007E5535" w:rsidRPr="00A5435C" w:rsidRDefault="007E5535" w:rsidP="00C2531D">
            <w:pPr>
              <w:keepNext/>
              <w:spacing w:before="40" w:after="40" w:line="259" w:lineRule="auto"/>
              <w:jc w:val="center"/>
              <w:rPr>
                <w:bCs/>
                <w:sz w:val="22"/>
                <w:szCs w:val="22"/>
              </w:rPr>
            </w:pPr>
            <w:r w:rsidRPr="00A5435C">
              <w:rPr>
                <w:bCs/>
                <w:sz w:val="22"/>
                <w:szCs w:val="22"/>
              </w:rPr>
              <w:t>1</w:t>
            </w:r>
          </w:p>
        </w:tc>
        <w:tc>
          <w:tcPr>
            <w:tcW w:w="1135" w:type="dxa"/>
            <w:tcBorders>
              <w:right w:val="single" w:sz="6" w:space="0" w:color="auto"/>
            </w:tcBorders>
          </w:tcPr>
          <w:p w14:paraId="27F3753F" w14:textId="4FCCAE64" w:rsidR="007E5535" w:rsidRPr="00A5435C" w:rsidRDefault="007E5535" w:rsidP="00C2531D">
            <w:pPr>
              <w:keepNext/>
              <w:spacing w:before="40" w:after="40" w:line="259" w:lineRule="auto"/>
              <w:jc w:val="center"/>
              <w:rPr>
                <w:bCs/>
                <w:sz w:val="22"/>
                <w:szCs w:val="22"/>
              </w:rPr>
            </w:pPr>
            <w:r w:rsidRPr="00A5435C">
              <w:rPr>
                <w:bCs/>
                <w:sz w:val="22"/>
                <w:szCs w:val="22"/>
              </w:rPr>
              <w:t>1</w:t>
            </w:r>
          </w:p>
        </w:tc>
      </w:tr>
      <w:tr w:rsidR="007E5535" w:rsidRPr="00D45D71" w14:paraId="5DF5A90F" w14:textId="77777777" w:rsidTr="007E5535">
        <w:trPr>
          <w:trHeight w:val="3448"/>
        </w:trPr>
        <w:tc>
          <w:tcPr>
            <w:tcW w:w="9073" w:type="dxa"/>
            <w:gridSpan w:val="6"/>
            <w:tcBorders>
              <w:left w:val="single" w:sz="6" w:space="0" w:color="auto"/>
              <w:right w:val="single" w:sz="6" w:space="0" w:color="auto"/>
            </w:tcBorders>
          </w:tcPr>
          <w:p w14:paraId="438A033A" w14:textId="77777777" w:rsidR="007E5535" w:rsidRPr="00A5435C" w:rsidRDefault="007E5535" w:rsidP="007E5535">
            <w:pPr>
              <w:keepNext/>
              <w:spacing w:before="40" w:after="40" w:line="240" w:lineRule="auto"/>
              <w:rPr>
                <w:color w:val="FFFFFF"/>
                <w:sz w:val="22"/>
                <w:szCs w:val="22"/>
                <w:lang w:eastAsia="en-NZ"/>
              </w:rPr>
            </w:pPr>
            <w:r w:rsidRPr="00A5435C">
              <w:rPr>
                <w:sz w:val="22"/>
                <w:szCs w:val="22"/>
              </w:rPr>
              <w:t xml:space="preserve">Comments: There were two activities in the third quarter that were a departure from procurement policies.  The first was the re-engagement of a contract resource to fill a vacancy at short notice in a key role.  This was a direct source engagement due to the timeframe and sensitivity of the role and the individual was determined to be the right fit.  </w:t>
            </w:r>
          </w:p>
          <w:p w14:paraId="271EA6E7" w14:textId="06CB1321" w:rsidR="007E5535" w:rsidRPr="00A5435C" w:rsidRDefault="007E5535" w:rsidP="007E5535">
            <w:pPr>
              <w:keepNext/>
              <w:spacing w:before="40" w:after="40"/>
              <w:rPr>
                <w:bCs/>
                <w:sz w:val="22"/>
                <w:szCs w:val="22"/>
              </w:rPr>
            </w:pPr>
            <w:r w:rsidRPr="00A5435C">
              <w:rPr>
                <w:sz w:val="22"/>
                <w:szCs w:val="22"/>
              </w:rPr>
              <w:t>The second was an extension to a vendor contract that hadn’t been through a competitive tender process and had exceeded permissible thresholds for a direct source arrangement.  This vendor pro</w:t>
            </w:r>
            <w:r w:rsidR="0057734D">
              <w:rPr>
                <w:sz w:val="22"/>
                <w:szCs w:val="22"/>
              </w:rPr>
              <w:t>vides key wellbeing support to s</w:t>
            </w:r>
            <w:r w:rsidRPr="00A5435C">
              <w:rPr>
                <w:sz w:val="22"/>
                <w:szCs w:val="22"/>
              </w:rPr>
              <w:t xml:space="preserve">urvivors that the Commission engages, and not having this support would require the Commission to halt all private </w:t>
            </w:r>
            <w:r w:rsidR="0057734D">
              <w:rPr>
                <w:sz w:val="22"/>
                <w:szCs w:val="22"/>
              </w:rPr>
              <w:t>sessions and engagement with s</w:t>
            </w:r>
            <w:r w:rsidRPr="00A5435C">
              <w:rPr>
                <w:sz w:val="22"/>
                <w:szCs w:val="22"/>
              </w:rPr>
              <w:t>urvivors.  W</w:t>
            </w:r>
            <w:r w:rsidR="0057734D">
              <w:rPr>
                <w:sz w:val="22"/>
                <w:szCs w:val="22"/>
              </w:rPr>
              <w:t>hile this was a departure from D</w:t>
            </w:r>
            <w:r w:rsidRPr="00A5435C">
              <w:rPr>
                <w:sz w:val="22"/>
                <w:szCs w:val="22"/>
              </w:rPr>
              <w:t>epartment policies</w:t>
            </w:r>
            <w:r w:rsidR="0057734D">
              <w:rPr>
                <w:sz w:val="22"/>
                <w:szCs w:val="22"/>
              </w:rPr>
              <w:t>,</w:t>
            </w:r>
            <w:r w:rsidRPr="00A5435C">
              <w:rPr>
                <w:sz w:val="22"/>
                <w:szCs w:val="22"/>
              </w:rPr>
              <w:t xml:space="preserve"> the Commission was undertaking a full market engagement exercise for a vendor for these services for the remaining duration of the Commission and the Department was supportive of extending the existing arrangements on that basis.</w:t>
            </w:r>
          </w:p>
        </w:tc>
      </w:tr>
    </w:tbl>
    <w:p w14:paraId="39993241" w14:textId="791B6E9D" w:rsidR="00BE67AB" w:rsidRDefault="00BE67AB" w:rsidP="00BE67AB">
      <w:pPr>
        <w:pStyle w:val="Heading4"/>
      </w:pPr>
      <w:r>
        <w:t xml:space="preserve">An organisation fostering a culture of respect and inclusion </w:t>
      </w:r>
    </w:p>
    <w:p w14:paraId="4529C859" w14:textId="75CB2A29" w:rsidR="00BE67AB" w:rsidRDefault="00BE67AB" w:rsidP="00BE67AB">
      <w:r w:rsidRPr="000A3C7F">
        <w:t>We aim to be an organisation that fosters a culture of respect and inclusion and reflects and understands our communities and their needs. We aim to be an organisation where everyone feels respected and included regardless of gender, ethnicity, age, sexual orientation</w:t>
      </w:r>
      <w:r>
        <w:t>, the extent of disability</w:t>
      </w:r>
      <w:r w:rsidRPr="000A3C7F">
        <w:t xml:space="preserve"> and religious beliefs.</w:t>
      </w:r>
    </w:p>
    <w:tbl>
      <w:tblPr>
        <w:tblStyle w:val="DIATable"/>
        <w:tblW w:w="906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237"/>
        <w:gridCol w:w="1541"/>
        <w:gridCol w:w="7"/>
        <w:gridCol w:w="1269"/>
        <w:gridCol w:w="7"/>
      </w:tblGrid>
      <w:tr w:rsidR="00BE67AB" w14:paraId="0E913039" w14:textId="77777777" w:rsidTr="00A172F7">
        <w:trPr>
          <w:gridAfter w:val="1"/>
          <w:cnfStyle w:val="100000000000" w:firstRow="1" w:lastRow="0" w:firstColumn="0" w:lastColumn="0" w:oddVBand="0" w:evenVBand="0" w:oddHBand="0" w:evenHBand="0" w:firstRowFirstColumn="0" w:firstRowLastColumn="0" w:lastRowFirstColumn="0" w:lastRowLastColumn="0"/>
          <w:wAfter w:w="7" w:type="dxa"/>
        </w:trPr>
        <w:tc>
          <w:tcPr>
            <w:tcW w:w="6237" w:type="dxa"/>
            <w:tcBorders>
              <w:top w:val="single" w:sz="6" w:space="0" w:color="auto"/>
              <w:left w:val="single" w:sz="6" w:space="0" w:color="auto"/>
              <w:bottom w:val="none" w:sz="0" w:space="0" w:color="auto"/>
              <w:right w:val="none" w:sz="0" w:space="0" w:color="auto"/>
              <w:tl2br w:val="none" w:sz="0" w:space="0" w:color="auto"/>
              <w:tr2bl w:val="none" w:sz="0" w:space="0" w:color="auto"/>
            </w:tcBorders>
            <w:shd w:val="clear" w:color="auto" w:fill="92D050"/>
          </w:tcPr>
          <w:p w14:paraId="6EF7C4E9" w14:textId="77777777" w:rsidR="00BE67AB" w:rsidRPr="00C4201F" w:rsidRDefault="00BE67AB" w:rsidP="00C2531D">
            <w:pPr>
              <w:spacing w:before="40" w:after="40" w:line="259" w:lineRule="auto"/>
              <w:rPr>
                <w:bCs/>
                <w:color w:val="auto"/>
                <w:szCs w:val="22"/>
              </w:rPr>
            </w:pPr>
            <w:r w:rsidRPr="00C4201F">
              <w:rPr>
                <w:bCs/>
                <w:color w:val="auto"/>
                <w:szCs w:val="22"/>
              </w:rPr>
              <w:t xml:space="preserve">How we will monitor our performance </w:t>
            </w:r>
          </w:p>
        </w:tc>
        <w:tc>
          <w:tcPr>
            <w:tcW w:w="1541" w:type="dxa"/>
            <w:tcBorders>
              <w:top w:val="single" w:sz="6" w:space="0" w:color="auto"/>
              <w:left w:val="none" w:sz="0" w:space="0" w:color="auto"/>
              <w:bottom w:val="none" w:sz="0" w:space="0" w:color="auto"/>
              <w:right w:val="none" w:sz="0" w:space="0" w:color="auto"/>
              <w:tl2br w:val="none" w:sz="0" w:space="0" w:color="auto"/>
              <w:tr2bl w:val="none" w:sz="0" w:space="0" w:color="auto"/>
            </w:tcBorders>
            <w:shd w:val="clear" w:color="auto" w:fill="92D050"/>
          </w:tcPr>
          <w:p w14:paraId="324A22E5" w14:textId="77777777" w:rsidR="00BE67AB" w:rsidRPr="00C4201F" w:rsidRDefault="00BE67AB" w:rsidP="00C2531D">
            <w:pPr>
              <w:spacing w:before="40" w:after="40" w:line="259" w:lineRule="auto"/>
              <w:rPr>
                <w:bCs/>
                <w:color w:val="auto"/>
                <w:szCs w:val="22"/>
              </w:rPr>
            </w:pPr>
            <w:r w:rsidRPr="00C4201F">
              <w:rPr>
                <w:bCs/>
                <w:color w:val="auto"/>
                <w:szCs w:val="22"/>
              </w:rPr>
              <w:t>Target 20/21</w:t>
            </w:r>
          </w:p>
        </w:tc>
        <w:tc>
          <w:tcPr>
            <w:tcW w:w="1276" w:type="dxa"/>
            <w:gridSpan w:val="2"/>
            <w:tcBorders>
              <w:top w:val="single" w:sz="6" w:space="0" w:color="auto"/>
              <w:left w:val="none" w:sz="0" w:space="0" w:color="auto"/>
              <w:bottom w:val="none" w:sz="0" w:space="0" w:color="auto"/>
              <w:right w:val="single" w:sz="6" w:space="0" w:color="auto"/>
              <w:tl2br w:val="none" w:sz="0" w:space="0" w:color="auto"/>
              <w:tr2bl w:val="none" w:sz="0" w:space="0" w:color="auto"/>
            </w:tcBorders>
            <w:shd w:val="clear" w:color="auto" w:fill="92D050"/>
          </w:tcPr>
          <w:p w14:paraId="61297598" w14:textId="77777777" w:rsidR="00BE67AB" w:rsidRPr="00C4201F" w:rsidRDefault="00BE67AB" w:rsidP="00C2531D">
            <w:pPr>
              <w:spacing w:before="40" w:after="40" w:line="259" w:lineRule="auto"/>
              <w:rPr>
                <w:bCs/>
                <w:color w:val="auto"/>
                <w:szCs w:val="22"/>
              </w:rPr>
            </w:pPr>
            <w:r w:rsidRPr="00C4201F">
              <w:rPr>
                <w:bCs/>
                <w:color w:val="auto"/>
                <w:szCs w:val="22"/>
              </w:rPr>
              <w:t xml:space="preserve">Actual </w:t>
            </w:r>
          </w:p>
        </w:tc>
      </w:tr>
      <w:tr w:rsidR="00BE67AB" w14:paraId="33F9B9FE" w14:textId="77777777" w:rsidTr="00A172F7">
        <w:trPr>
          <w:gridAfter w:val="1"/>
          <w:wAfter w:w="7" w:type="dxa"/>
        </w:trPr>
        <w:tc>
          <w:tcPr>
            <w:tcW w:w="6237" w:type="dxa"/>
            <w:tcBorders>
              <w:left w:val="single" w:sz="6" w:space="0" w:color="auto"/>
            </w:tcBorders>
          </w:tcPr>
          <w:p w14:paraId="72F3B2AD" w14:textId="77777777" w:rsidR="00BE67AB" w:rsidRPr="00061335" w:rsidRDefault="00BE67AB" w:rsidP="00C2531D">
            <w:pPr>
              <w:shd w:val="clear" w:color="auto" w:fill="FFFFFF" w:themeFill="background1"/>
              <w:spacing w:before="40" w:after="40"/>
              <w:contextualSpacing/>
              <w:rPr>
                <w:szCs w:val="22"/>
              </w:rPr>
            </w:pPr>
            <w:r w:rsidRPr="00061335">
              <w:rPr>
                <w:szCs w:val="22"/>
              </w:rPr>
              <w:t>Staff report satisfaction with Royal Commission flexible</w:t>
            </w:r>
            <w:r>
              <w:rPr>
                <w:szCs w:val="22"/>
              </w:rPr>
              <w:t xml:space="preserve"> working                                  </w:t>
            </w:r>
          </w:p>
          <w:p w14:paraId="0A1A8AFD" w14:textId="77777777" w:rsidR="00BE67AB" w:rsidRDefault="00BE67AB" w:rsidP="00C2531D">
            <w:pPr>
              <w:spacing w:before="40" w:after="40"/>
            </w:pPr>
            <w:r w:rsidRPr="00061335">
              <w:rPr>
                <w:szCs w:val="22"/>
              </w:rPr>
              <w:t xml:space="preserve">processes and guidelines, survey bi-annually                                   </w:t>
            </w:r>
            <w:r>
              <w:rPr>
                <w:szCs w:val="22"/>
              </w:rPr>
              <w:t xml:space="preserve">       </w:t>
            </w:r>
          </w:p>
        </w:tc>
        <w:tc>
          <w:tcPr>
            <w:tcW w:w="1541" w:type="dxa"/>
          </w:tcPr>
          <w:p w14:paraId="3752D45E" w14:textId="77777777" w:rsidR="00BE67AB" w:rsidRDefault="00BE67AB" w:rsidP="00C2531D">
            <w:pPr>
              <w:spacing w:before="40" w:after="40"/>
            </w:pPr>
            <w:r>
              <w:t>90%</w:t>
            </w:r>
          </w:p>
        </w:tc>
        <w:tc>
          <w:tcPr>
            <w:tcW w:w="1276" w:type="dxa"/>
            <w:gridSpan w:val="2"/>
            <w:tcBorders>
              <w:bottom w:val="single" w:sz="6" w:space="0" w:color="auto"/>
              <w:right w:val="single" w:sz="6" w:space="0" w:color="auto"/>
            </w:tcBorders>
          </w:tcPr>
          <w:p w14:paraId="7FA9E66C" w14:textId="77777777" w:rsidR="00BE67AB" w:rsidRDefault="00BE67AB" w:rsidP="00C2531D">
            <w:pPr>
              <w:spacing w:before="40" w:after="40"/>
            </w:pPr>
            <w:r>
              <w:t>N/A</w:t>
            </w:r>
          </w:p>
        </w:tc>
      </w:tr>
      <w:tr w:rsidR="00BE67AB" w14:paraId="2FED6F5A" w14:textId="77777777" w:rsidTr="00A172F7">
        <w:tc>
          <w:tcPr>
            <w:tcW w:w="7785" w:type="dxa"/>
            <w:gridSpan w:val="3"/>
            <w:tcBorders>
              <w:left w:val="single" w:sz="6" w:space="0" w:color="auto"/>
              <w:bottom w:val="single" w:sz="6" w:space="0" w:color="auto"/>
              <w:right w:val="single" w:sz="6" w:space="0" w:color="auto"/>
            </w:tcBorders>
          </w:tcPr>
          <w:p w14:paraId="0E610963" w14:textId="4469C993" w:rsidR="00BE67AB" w:rsidRDefault="002B52CC" w:rsidP="007564FB">
            <w:pPr>
              <w:spacing w:before="40" w:after="40"/>
            </w:pPr>
            <w:r>
              <w:t xml:space="preserve">Comments: </w:t>
            </w:r>
            <w:r w:rsidR="00241B25">
              <w:t xml:space="preserve">No activity this quarter. </w:t>
            </w:r>
            <w:r w:rsidR="00A5435C">
              <w:t xml:space="preserve">The second </w:t>
            </w:r>
            <w:r w:rsidR="007564FB">
              <w:t xml:space="preserve">flexible working survey of staff will be conducted in the next quarter.  </w:t>
            </w:r>
          </w:p>
        </w:tc>
        <w:tc>
          <w:tcPr>
            <w:tcW w:w="1276" w:type="dxa"/>
            <w:gridSpan w:val="2"/>
            <w:tcBorders>
              <w:top w:val="single" w:sz="6" w:space="0" w:color="auto"/>
              <w:left w:val="single" w:sz="6" w:space="0" w:color="auto"/>
              <w:bottom w:val="nil"/>
              <w:right w:val="nil"/>
            </w:tcBorders>
          </w:tcPr>
          <w:p w14:paraId="3BB1D2B6" w14:textId="77777777" w:rsidR="00BE67AB" w:rsidRDefault="00BE67AB" w:rsidP="00AE3A8D"/>
        </w:tc>
      </w:tr>
    </w:tbl>
    <w:p w14:paraId="42D5A45D" w14:textId="77777777" w:rsidR="00BE67AB" w:rsidRDefault="00BE67AB" w:rsidP="00BE67AB"/>
    <w:p w14:paraId="190F675E" w14:textId="77777777" w:rsidR="00BE67AB" w:rsidRDefault="00BE67AB" w:rsidP="00BE67AB">
      <w:pPr>
        <w:pStyle w:val="Heading2"/>
      </w:pPr>
      <w:bookmarkStart w:id="12" w:name="_Toc47682413"/>
    </w:p>
    <w:p w14:paraId="7EFD43FB" w14:textId="77777777" w:rsidR="00BE67AB" w:rsidRDefault="00BE67AB" w:rsidP="00BE67AB">
      <w:pPr>
        <w:keepLines w:val="0"/>
        <w:rPr>
          <w:rFonts w:cs="Arial"/>
          <w:b/>
          <w:bCs/>
          <w:iCs/>
          <w:color w:val="1F546B"/>
          <w:sz w:val="36"/>
          <w:szCs w:val="28"/>
        </w:rPr>
      </w:pPr>
      <w:r>
        <w:rPr>
          <w:rFonts w:cs="Arial"/>
          <w:b/>
          <w:bCs/>
          <w:iCs/>
          <w:color w:val="1F546B"/>
          <w:sz w:val="36"/>
          <w:szCs w:val="28"/>
        </w:rPr>
        <w:br w:type="page"/>
      </w:r>
    </w:p>
    <w:p w14:paraId="432D39EF" w14:textId="77777777" w:rsidR="000930AF" w:rsidRPr="00392D0F" w:rsidRDefault="000930AF" w:rsidP="000930AF">
      <w:pPr>
        <w:pStyle w:val="Heading1"/>
      </w:pPr>
      <w:bookmarkStart w:id="13" w:name="_Toc44662316"/>
      <w:bookmarkStart w:id="14" w:name="_Toc54193237"/>
      <w:bookmarkStart w:id="15" w:name="_Hlk48122613"/>
      <w:bookmarkEnd w:id="12"/>
      <w:r w:rsidRPr="00392D0F">
        <w:lastRenderedPageBreak/>
        <w:t xml:space="preserve">Financial statements </w:t>
      </w:r>
    </w:p>
    <w:p w14:paraId="39144F54" w14:textId="77777777" w:rsidR="000930AF" w:rsidRPr="00522E85" w:rsidRDefault="000930AF" w:rsidP="000930AF">
      <w:pPr>
        <w:keepNext/>
        <w:spacing w:before="360" w:after="120"/>
        <w:contextualSpacing/>
        <w:outlineLvl w:val="3"/>
        <w:rPr>
          <w:b/>
          <w:bCs/>
          <w:i/>
          <w:color w:val="1F546B" w:themeColor="text2"/>
          <w:szCs w:val="28"/>
        </w:rPr>
      </w:pPr>
      <w:r w:rsidRPr="00522E85">
        <w:rPr>
          <w:b/>
          <w:bCs/>
          <w:i/>
          <w:color w:val="1F546B" w:themeColor="text2"/>
          <w:szCs w:val="28"/>
        </w:rPr>
        <w:t>Financial reporting requirements</w:t>
      </w:r>
      <w:r>
        <w:rPr>
          <w:b/>
          <w:bCs/>
          <w:i/>
          <w:color w:val="1F546B" w:themeColor="text2"/>
          <w:szCs w:val="28"/>
        </w:rPr>
        <w:br/>
      </w:r>
    </w:p>
    <w:p w14:paraId="5B342A9F" w14:textId="77777777" w:rsidR="000930AF" w:rsidRPr="00410501" w:rsidRDefault="000930AF" w:rsidP="000930AF">
      <w:pPr>
        <w:keepNext/>
        <w:spacing w:before="360" w:after="120"/>
        <w:contextualSpacing/>
        <w:outlineLvl w:val="3"/>
        <w:rPr>
          <w:bCs/>
          <w:szCs w:val="28"/>
        </w:rPr>
      </w:pPr>
      <w:r w:rsidRPr="00410501">
        <w:rPr>
          <w:bCs/>
          <w:szCs w:val="28"/>
        </w:rPr>
        <w:t xml:space="preserve">The Royal Commission will submit a financial report to the Department quarterly, until the Royal Commission ends.  </w:t>
      </w:r>
    </w:p>
    <w:p w14:paraId="7B53FF2F" w14:textId="77777777" w:rsidR="000930AF" w:rsidRPr="00522E85" w:rsidRDefault="000930AF" w:rsidP="000930AF">
      <w:pPr>
        <w:keepNext/>
        <w:spacing w:before="360" w:after="120"/>
        <w:contextualSpacing/>
        <w:outlineLvl w:val="3"/>
        <w:rPr>
          <w:bCs/>
          <w:color w:val="1F546B" w:themeColor="text2"/>
          <w:szCs w:val="28"/>
        </w:rPr>
      </w:pPr>
    </w:p>
    <w:p w14:paraId="60719DB7" w14:textId="77777777" w:rsidR="000930AF" w:rsidRDefault="000930AF" w:rsidP="000930AF">
      <w:pPr>
        <w:spacing w:after="120"/>
      </w:pPr>
      <w:r>
        <w:t xml:space="preserve">The quarterly financial reports will be made publicly available by publication on the Royal Commission’s website and will be published no later than two calendar months after the end date of the report.  </w:t>
      </w:r>
      <w:r w:rsidRPr="00B930B5">
        <w:t>In addition to website publication, the Department will report on the Royal Commission’s expenditure in its Annual Report.</w:t>
      </w:r>
    </w:p>
    <w:p w14:paraId="01BC6833" w14:textId="77777777" w:rsidR="000930AF" w:rsidRDefault="000930AF" w:rsidP="000930AF">
      <w:pPr>
        <w:pStyle w:val="Heading2"/>
      </w:pPr>
      <w:r w:rsidRPr="00BE67AB">
        <w:t xml:space="preserve">Financial Summary </w:t>
      </w:r>
      <w:r>
        <w:t>for</w:t>
      </w:r>
      <w:r w:rsidRPr="00BE67AB">
        <w:t xml:space="preserve"> </w:t>
      </w:r>
      <w:r>
        <w:t>March</w:t>
      </w:r>
      <w:r w:rsidRPr="00BE67AB">
        <w:t xml:space="preserve"> 202</w:t>
      </w:r>
      <w:r>
        <w:t>1</w:t>
      </w:r>
    </w:p>
    <w:tbl>
      <w:tblPr>
        <w:tblW w:w="9348" w:type="dxa"/>
        <w:tblLook w:val="04A0" w:firstRow="1" w:lastRow="0" w:firstColumn="1" w:lastColumn="0" w:noHBand="0" w:noVBand="1"/>
      </w:tblPr>
      <w:tblGrid>
        <w:gridCol w:w="2268"/>
        <w:gridCol w:w="1134"/>
        <w:gridCol w:w="1436"/>
        <w:gridCol w:w="1399"/>
        <w:gridCol w:w="1560"/>
        <w:gridCol w:w="1245"/>
        <w:gridCol w:w="306"/>
      </w:tblGrid>
      <w:tr w:rsidR="000930AF" w:rsidRPr="00263BA3" w14:paraId="04BDB1F7" w14:textId="77777777" w:rsidTr="00CE6C5C">
        <w:trPr>
          <w:gridAfter w:val="1"/>
          <w:wAfter w:w="306" w:type="dxa"/>
          <w:trHeight w:val="590"/>
        </w:trPr>
        <w:tc>
          <w:tcPr>
            <w:tcW w:w="9042" w:type="dxa"/>
            <w:gridSpan w:val="6"/>
            <w:tcBorders>
              <w:top w:val="nil"/>
              <w:left w:val="nil"/>
              <w:bottom w:val="single" w:sz="8" w:space="0" w:color="auto"/>
              <w:right w:val="nil"/>
            </w:tcBorders>
            <w:shd w:val="clear" w:color="000000" w:fill="FFFFFF"/>
            <w:vAlign w:val="center"/>
            <w:hideMark/>
          </w:tcPr>
          <w:p w14:paraId="33F62387" w14:textId="38972D6A" w:rsidR="000930AF" w:rsidRPr="00263BA3" w:rsidRDefault="000930AF" w:rsidP="000930AF">
            <w:pPr>
              <w:keepLines w:val="0"/>
              <w:spacing w:before="0" w:after="0"/>
              <w:rPr>
                <w:rFonts w:eastAsia="Times New Roman" w:cs="Calibri"/>
                <w:b/>
                <w:bCs/>
                <w:color w:val="000000"/>
                <w:sz w:val="22"/>
                <w:szCs w:val="22"/>
                <w:lang w:eastAsia="en-NZ"/>
              </w:rPr>
            </w:pPr>
            <w:r w:rsidRPr="00263BA3">
              <w:rPr>
                <w:rFonts w:eastAsia="Times New Roman" w:cs="Calibri"/>
                <w:b/>
                <w:bCs/>
                <w:color w:val="000000"/>
                <w:sz w:val="22"/>
                <w:szCs w:val="22"/>
                <w:lang w:eastAsia="en-NZ"/>
              </w:rPr>
              <w:t xml:space="preserve">Q3 YTD Financials </w:t>
            </w:r>
            <w:r w:rsidR="00A5435C">
              <w:rPr>
                <w:rFonts w:eastAsia="Times New Roman" w:cs="Calibri"/>
                <w:b/>
                <w:bCs/>
                <w:color w:val="000000"/>
                <w:sz w:val="22"/>
                <w:szCs w:val="22"/>
                <w:lang w:eastAsia="en-NZ"/>
              </w:rPr>
              <w:t xml:space="preserve">as at 31 </w:t>
            </w:r>
            <w:r w:rsidRPr="00263BA3">
              <w:rPr>
                <w:rFonts w:eastAsia="Times New Roman" w:cs="Calibri"/>
                <w:b/>
                <w:bCs/>
                <w:color w:val="000000"/>
                <w:sz w:val="22"/>
                <w:szCs w:val="22"/>
                <w:lang w:eastAsia="en-NZ"/>
              </w:rPr>
              <w:t>March 2021 ($k)</w:t>
            </w:r>
          </w:p>
        </w:tc>
      </w:tr>
      <w:tr w:rsidR="000930AF" w:rsidRPr="00263BA3" w14:paraId="2663EB94" w14:textId="77777777" w:rsidTr="0057734D">
        <w:trPr>
          <w:trHeight w:val="798"/>
        </w:trPr>
        <w:tc>
          <w:tcPr>
            <w:tcW w:w="2268" w:type="dxa"/>
            <w:tcBorders>
              <w:top w:val="single" w:sz="4" w:space="0" w:color="auto"/>
              <w:left w:val="single" w:sz="4" w:space="0" w:color="auto"/>
              <w:bottom w:val="single" w:sz="4" w:space="0" w:color="auto"/>
              <w:right w:val="single" w:sz="8" w:space="0" w:color="auto"/>
            </w:tcBorders>
            <w:shd w:val="clear" w:color="000000" w:fill="99CC00"/>
            <w:hideMark/>
          </w:tcPr>
          <w:p w14:paraId="7C60F285" w14:textId="77777777" w:rsidR="000930AF" w:rsidRPr="00945ECB" w:rsidRDefault="000930AF" w:rsidP="000930AF">
            <w:pPr>
              <w:keepLines w:val="0"/>
              <w:spacing w:before="0" w:after="0"/>
              <w:rPr>
                <w:rFonts w:eastAsia="Times New Roman" w:cs="Calibri"/>
                <w:b/>
                <w:bCs/>
                <w:color w:val="000000"/>
                <w:sz w:val="22"/>
                <w:szCs w:val="22"/>
                <w:lang w:eastAsia="en-NZ"/>
              </w:rPr>
            </w:pPr>
            <w:r w:rsidRPr="00945ECB">
              <w:rPr>
                <w:rFonts w:eastAsia="Times New Roman" w:cs="Calibri"/>
                <w:b/>
                <w:bCs/>
                <w:color w:val="000000"/>
                <w:sz w:val="22"/>
                <w:szCs w:val="22"/>
                <w:lang w:eastAsia="en-NZ"/>
              </w:rPr>
              <w:t>Appropriation</w:t>
            </w:r>
          </w:p>
        </w:tc>
        <w:tc>
          <w:tcPr>
            <w:tcW w:w="1134" w:type="dxa"/>
            <w:tcBorders>
              <w:top w:val="single" w:sz="4" w:space="0" w:color="auto"/>
              <w:left w:val="nil"/>
              <w:bottom w:val="single" w:sz="4" w:space="0" w:color="auto"/>
              <w:right w:val="single" w:sz="4" w:space="0" w:color="auto"/>
            </w:tcBorders>
            <w:shd w:val="clear" w:color="000000" w:fill="99CC00"/>
            <w:hideMark/>
          </w:tcPr>
          <w:p w14:paraId="2E44D573" w14:textId="77777777" w:rsidR="000930AF" w:rsidRPr="00945ECB" w:rsidRDefault="000930AF" w:rsidP="000930AF">
            <w:pPr>
              <w:keepLines w:val="0"/>
              <w:spacing w:before="0" w:after="0"/>
              <w:jc w:val="center"/>
              <w:rPr>
                <w:rFonts w:eastAsia="Times New Roman" w:cs="Calibri"/>
                <w:b/>
                <w:bCs/>
                <w:color w:val="000000"/>
                <w:sz w:val="22"/>
                <w:szCs w:val="22"/>
                <w:lang w:eastAsia="en-NZ"/>
              </w:rPr>
            </w:pPr>
            <w:r w:rsidRPr="00945ECB">
              <w:rPr>
                <w:rFonts w:eastAsia="Times New Roman" w:cs="Calibri"/>
                <w:b/>
                <w:bCs/>
                <w:color w:val="000000"/>
                <w:sz w:val="22"/>
                <w:szCs w:val="22"/>
                <w:lang w:eastAsia="en-NZ"/>
              </w:rPr>
              <w:t>YTD Actual</w:t>
            </w:r>
          </w:p>
        </w:tc>
        <w:tc>
          <w:tcPr>
            <w:tcW w:w="1436" w:type="dxa"/>
            <w:tcBorders>
              <w:top w:val="single" w:sz="4" w:space="0" w:color="auto"/>
              <w:left w:val="nil"/>
              <w:bottom w:val="single" w:sz="4" w:space="0" w:color="auto"/>
              <w:right w:val="single" w:sz="4" w:space="0" w:color="auto"/>
            </w:tcBorders>
            <w:shd w:val="clear" w:color="000000" w:fill="99CC00"/>
            <w:hideMark/>
          </w:tcPr>
          <w:p w14:paraId="21BD5D71" w14:textId="7281C0D7" w:rsidR="000930AF" w:rsidRPr="00945ECB" w:rsidRDefault="000930AF" w:rsidP="000930AF">
            <w:pPr>
              <w:keepLines w:val="0"/>
              <w:spacing w:before="0" w:after="0"/>
              <w:jc w:val="center"/>
              <w:rPr>
                <w:rFonts w:eastAsia="Times New Roman" w:cs="Calibri"/>
                <w:b/>
                <w:bCs/>
                <w:color w:val="000000"/>
                <w:sz w:val="22"/>
                <w:szCs w:val="22"/>
                <w:lang w:eastAsia="en-NZ"/>
              </w:rPr>
            </w:pPr>
            <w:r w:rsidRPr="00945ECB">
              <w:rPr>
                <w:rFonts w:eastAsia="Times New Roman" w:cs="Calibri"/>
                <w:b/>
                <w:bCs/>
                <w:color w:val="000000"/>
                <w:sz w:val="22"/>
                <w:szCs w:val="22"/>
                <w:lang w:eastAsia="en-NZ"/>
              </w:rPr>
              <w:t>YTD Budget</w:t>
            </w:r>
            <w:r w:rsidR="00945ECB">
              <w:rPr>
                <w:rFonts w:eastAsia="Times New Roman" w:cs="Calibri"/>
                <w:b/>
                <w:bCs/>
                <w:color w:val="000000"/>
                <w:sz w:val="22"/>
                <w:szCs w:val="22"/>
                <w:lang w:eastAsia="en-NZ"/>
              </w:rPr>
              <w:t xml:space="preserve"> </w:t>
            </w:r>
            <w:r w:rsidR="00945ECB" w:rsidRPr="00945ECB">
              <w:rPr>
                <w:rFonts w:eastAsia="Times New Roman" w:cs="Calibri"/>
                <w:b/>
                <w:bCs/>
                <w:color w:val="000000"/>
                <w:sz w:val="22"/>
                <w:szCs w:val="22"/>
                <w:vertAlign w:val="superscript"/>
                <w:lang w:eastAsia="en-NZ"/>
              </w:rPr>
              <w:t>(A)</w:t>
            </w:r>
          </w:p>
        </w:tc>
        <w:tc>
          <w:tcPr>
            <w:tcW w:w="1399" w:type="dxa"/>
            <w:tcBorders>
              <w:top w:val="single" w:sz="4" w:space="0" w:color="auto"/>
              <w:left w:val="nil"/>
              <w:bottom w:val="single" w:sz="4" w:space="0" w:color="auto"/>
              <w:right w:val="single" w:sz="8" w:space="0" w:color="auto"/>
            </w:tcBorders>
            <w:shd w:val="clear" w:color="000000" w:fill="99CC00"/>
            <w:hideMark/>
          </w:tcPr>
          <w:p w14:paraId="78B68885" w14:textId="21EE4A90" w:rsidR="000930AF" w:rsidRPr="00945ECB" w:rsidRDefault="000930AF" w:rsidP="000930AF">
            <w:pPr>
              <w:keepLines w:val="0"/>
              <w:spacing w:before="0" w:after="0"/>
              <w:jc w:val="center"/>
              <w:rPr>
                <w:rFonts w:eastAsia="Times New Roman" w:cs="Calibri"/>
                <w:b/>
                <w:bCs/>
                <w:color w:val="000000"/>
                <w:sz w:val="22"/>
                <w:szCs w:val="22"/>
                <w:lang w:eastAsia="en-NZ"/>
              </w:rPr>
            </w:pPr>
            <w:r w:rsidRPr="00945ECB">
              <w:rPr>
                <w:rFonts w:eastAsia="Times New Roman" w:cs="Calibri"/>
                <w:b/>
                <w:bCs/>
                <w:color w:val="000000"/>
                <w:sz w:val="22"/>
                <w:szCs w:val="22"/>
                <w:lang w:eastAsia="en-NZ"/>
              </w:rPr>
              <w:t>YTD Variance</w:t>
            </w:r>
            <w:r w:rsidR="00945ECB">
              <w:rPr>
                <w:rFonts w:eastAsia="Times New Roman" w:cs="Calibri"/>
                <w:b/>
                <w:bCs/>
                <w:color w:val="000000"/>
                <w:sz w:val="22"/>
                <w:szCs w:val="22"/>
                <w:lang w:eastAsia="en-NZ"/>
              </w:rPr>
              <w:t xml:space="preserve"> </w:t>
            </w:r>
            <w:r w:rsidR="00945ECB" w:rsidRPr="00945ECB">
              <w:rPr>
                <w:rFonts w:eastAsia="Times New Roman" w:cs="Calibri"/>
                <w:b/>
                <w:bCs/>
                <w:color w:val="000000"/>
                <w:sz w:val="22"/>
                <w:szCs w:val="22"/>
                <w:vertAlign w:val="superscript"/>
                <w:lang w:eastAsia="en-NZ"/>
              </w:rPr>
              <w:t>(B)</w:t>
            </w:r>
          </w:p>
        </w:tc>
        <w:tc>
          <w:tcPr>
            <w:tcW w:w="1560" w:type="dxa"/>
            <w:tcBorders>
              <w:top w:val="single" w:sz="4" w:space="0" w:color="auto"/>
              <w:left w:val="nil"/>
              <w:bottom w:val="single" w:sz="4" w:space="0" w:color="auto"/>
              <w:right w:val="single" w:sz="4" w:space="0" w:color="auto"/>
            </w:tcBorders>
            <w:shd w:val="clear" w:color="000000" w:fill="99CC00"/>
            <w:hideMark/>
          </w:tcPr>
          <w:p w14:paraId="0DA059AB" w14:textId="4DAF4B35" w:rsidR="000930AF" w:rsidRPr="00945ECB" w:rsidRDefault="000930AF" w:rsidP="000930AF">
            <w:pPr>
              <w:keepLines w:val="0"/>
              <w:spacing w:before="0" w:after="0"/>
              <w:jc w:val="center"/>
              <w:rPr>
                <w:rFonts w:eastAsia="Times New Roman" w:cs="Calibri"/>
                <w:b/>
                <w:bCs/>
                <w:color w:val="000000"/>
                <w:sz w:val="22"/>
                <w:szCs w:val="22"/>
                <w:lang w:eastAsia="en-NZ"/>
              </w:rPr>
            </w:pPr>
            <w:r w:rsidRPr="00945ECB">
              <w:rPr>
                <w:rFonts w:eastAsia="Times New Roman" w:cs="Calibri"/>
                <w:b/>
                <w:bCs/>
                <w:color w:val="000000"/>
                <w:sz w:val="22"/>
                <w:szCs w:val="22"/>
                <w:lang w:eastAsia="en-NZ"/>
              </w:rPr>
              <w:t>Remaining 2021 Funding</w:t>
            </w:r>
            <w:r w:rsidR="00945ECB">
              <w:rPr>
                <w:rFonts w:eastAsia="Times New Roman" w:cs="Calibri"/>
                <w:b/>
                <w:bCs/>
                <w:color w:val="000000"/>
                <w:sz w:val="22"/>
                <w:szCs w:val="22"/>
                <w:lang w:eastAsia="en-NZ"/>
              </w:rPr>
              <w:t xml:space="preserve"> </w:t>
            </w:r>
            <w:r w:rsidR="00945ECB" w:rsidRPr="00945ECB">
              <w:rPr>
                <w:rFonts w:eastAsia="Times New Roman" w:cs="Calibri"/>
                <w:b/>
                <w:bCs/>
                <w:color w:val="000000"/>
                <w:sz w:val="22"/>
                <w:szCs w:val="22"/>
                <w:vertAlign w:val="superscript"/>
                <w:lang w:eastAsia="en-NZ"/>
              </w:rPr>
              <w:t>(B)</w:t>
            </w:r>
          </w:p>
        </w:tc>
        <w:tc>
          <w:tcPr>
            <w:tcW w:w="1551" w:type="dxa"/>
            <w:gridSpan w:val="2"/>
            <w:tcBorders>
              <w:top w:val="single" w:sz="4" w:space="0" w:color="auto"/>
              <w:left w:val="nil"/>
              <w:bottom w:val="single" w:sz="4" w:space="0" w:color="auto"/>
              <w:right w:val="single" w:sz="4" w:space="0" w:color="auto"/>
            </w:tcBorders>
            <w:shd w:val="clear" w:color="000000" w:fill="99CC00"/>
            <w:hideMark/>
          </w:tcPr>
          <w:p w14:paraId="5B9CB8A1" w14:textId="77777777" w:rsidR="000930AF" w:rsidRPr="00945ECB" w:rsidRDefault="000930AF" w:rsidP="000930AF">
            <w:pPr>
              <w:keepLines w:val="0"/>
              <w:spacing w:before="0" w:after="0"/>
              <w:jc w:val="center"/>
              <w:rPr>
                <w:rFonts w:eastAsia="Times New Roman" w:cs="Calibri"/>
                <w:b/>
                <w:bCs/>
                <w:color w:val="000000"/>
                <w:sz w:val="22"/>
                <w:szCs w:val="22"/>
                <w:lang w:eastAsia="en-NZ"/>
              </w:rPr>
            </w:pPr>
            <w:r w:rsidRPr="00945ECB">
              <w:rPr>
                <w:rFonts w:eastAsia="Times New Roman" w:cs="Calibri"/>
                <w:b/>
                <w:bCs/>
                <w:color w:val="000000"/>
                <w:sz w:val="22"/>
                <w:szCs w:val="22"/>
                <w:lang w:eastAsia="en-NZ"/>
              </w:rPr>
              <w:t>Remaining MYA Funding Out Years</w:t>
            </w:r>
          </w:p>
        </w:tc>
      </w:tr>
      <w:tr w:rsidR="000930AF" w:rsidRPr="00263BA3" w14:paraId="3BAAFD62" w14:textId="77777777" w:rsidTr="0057734D">
        <w:trPr>
          <w:trHeight w:val="270"/>
        </w:trPr>
        <w:tc>
          <w:tcPr>
            <w:tcW w:w="2268" w:type="dxa"/>
            <w:tcBorders>
              <w:top w:val="single" w:sz="4" w:space="0" w:color="auto"/>
              <w:left w:val="single" w:sz="4" w:space="0" w:color="auto"/>
              <w:bottom w:val="single" w:sz="4" w:space="0" w:color="auto"/>
              <w:right w:val="single" w:sz="8" w:space="0" w:color="auto"/>
            </w:tcBorders>
            <w:shd w:val="clear" w:color="000000" w:fill="DAEECB"/>
            <w:hideMark/>
          </w:tcPr>
          <w:p w14:paraId="6251669A" w14:textId="77777777" w:rsidR="000930AF" w:rsidRPr="00945ECB" w:rsidRDefault="000930AF" w:rsidP="000930AF">
            <w:pPr>
              <w:keepLines w:val="0"/>
              <w:spacing w:before="0" w:after="0"/>
              <w:rPr>
                <w:rFonts w:eastAsia="Times New Roman" w:cs="Calibri"/>
                <w:color w:val="000000"/>
                <w:sz w:val="22"/>
                <w:szCs w:val="22"/>
                <w:lang w:eastAsia="en-NZ"/>
              </w:rPr>
            </w:pPr>
            <w:r w:rsidRPr="00945ECB">
              <w:rPr>
                <w:rFonts w:eastAsia="Times New Roman" w:cs="Calibri"/>
                <w:color w:val="000000"/>
                <w:sz w:val="22"/>
                <w:szCs w:val="22"/>
                <w:lang w:eastAsia="en-NZ"/>
              </w:rPr>
              <w:t>Departmental MYA</w:t>
            </w:r>
          </w:p>
        </w:tc>
        <w:tc>
          <w:tcPr>
            <w:tcW w:w="1134" w:type="dxa"/>
            <w:tcBorders>
              <w:top w:val="single" w:sz="4" w:space="0" w:color="auto"/>
              <w:left w:val="nil"/>
              <w:bottom w:val="single" w:sz="4" w:space="0" w:color="auto"/>
              <w:right w:val="single" w:sz="4" w:space="0" w:color="auto"/>
            </w:tcBorders>
            <w:shd w:val="clear" w:color="000000" w:fill="DAEECB"/>
            <w:hideMark/>
          </w:tcPr>
          <w:p w14:paraId="67DA19FA" w14:textId="77777777" w:rsidR="000930AF" w:rsidRPr="00945ECB" w:rsidRDefault="000930AF" w:rsidP="000930AF">
            <w:pPr>
              <w:keepLines w:val="0"/>
              <w:spacing w:before="0" w:after="0"/>
              <w:jc w:val="center"/>
              <w:rPr>
                <w:rFonts w:eastAsia="Times New Roman" w:cs="Calibri"/>
                <w:color w:val="000000"/>
                <w:sz w:val="22"/>
                <w:szCs w:val="22"/>
                <w:lang w:eastAsia="en-NZ"/>
              </w:rPr>
            </w:pPr>
            <w:r w:rsidRPr="00945ECB">
              <w:rPr>
                <w:rFonts w:eastAsia="Times New Roman" w:cs="Calibri"/>
                <w:color w:val="000000"/>
                <w:sz w:val="22"/>
                <w:szCs w:val="22"/>
                <w:lang w:eastAsia="en-NZ"/>
              </w:rPr>
              <w:t>27,689</w:t>
            </w:r>
          </w:p>
        </w:tc>
        <w:tc>
          <w:tcPr>
            <w:tcW w:w="1436" w:type="dxa"/>
            <w:tcBorders>
              <w:top w:val="single" w:sz="4" w:space="0" w:color="auto"/>
              <w:left w:val="nil"/>
              <w:bottom w:val="single" w:sz="4" w:space="0" w:color="auto"/>
              <w:right w:val="single" w:sz="4" w:space="0" w:color="auto"/>
            </w:tcBorders>
            <w:shd w:val="clear" w:color="000000" w:fill="DAEECB"/>
            <w:hideMark/>
          </w:tcPr>
          <w:p w14:paraId="35238B93" w14:textId="77777777" w:rsidR="000930AF" w:rsidRPr="00945ECB" w:rsidRDefault="000930AF" w:rsidP="000930AF">
            <w:pPr>
              <w:keepLines w:val="0"/>
              <w:spacing w:before="0" w:after="0"/>
              <w:jc w:val="center"/>
              <w:rPr>
                <w:rFonts w:eastAsia="Times New Roman" w:cs="Calibri"/>
                <w:color w:val="000000"/>
                <w:sz w:val="22"/>
                <w:szCs w:val="22"/>
                <w:lang w:eastAsia="en-NZ"/>
              </w:rPr>
            </w:pPr>
            <w:r w:rsidRPr="00945ECB">
              <w:rPr>
                <w:rFonts w:eastAsia="Times New Roman" w:cs="Calibri"/>
                <w:color w:val="000000"/>
                <w:sz w:val="22"/>
                <w:szCs w:val="22"/>
                <w:lang w:eastAsia="en-NZ"/>
              </w:rPr>
              <w:t>28,724</w:t>
            </w:r>
          </w:p>
        </w:tc>
        <w:tc>
          <w:tcPr>
            <w:tcW w:w="1399" w:type="dxa"/>
            <w:tcBorders>
              <w:top w:val="single" w:sz="4" w:space="0" w:color="auto"/>
              <w:left w:val="nil"/>
              <w:bottom w:val="single" w:sz="4" w:space="0" w:color="auto"/>
              <w:right w:val="single" w:sz="8" w:space="0" w:color="auto"/>
            </w:tcBorders>
            <w:shd w:val="clear" w:color="000000" w:fill="DAEECB"/>
            <w:hideMark/>
          </w:tcPr>
          <w:p w14:paraId="2FAE54A1" w14:textId="77777777" w:rsidR="000930AF" w:rsidRPr="00945ECB" w:rsidRDefault="000930AF" w:rsidP="000930AF">
            <w:pPr>
              <w:keepLines w:val="0"/>
              <w:spacing w:before="0" w:after="0"/>
              <w:jc w:val="center"/>
              <w:rPr>
                <w:rFonts w:eastAsia="Times New Roman" w:cs="Calibri"/>
                <w:color w:val="000000"/>
                <w:sz w:val="22"/>
                <w:szCs w:val="22"/>
                <w:lang w:eastAsia="en-NZ"/>
              </w:rPr>
            </w:pPr>
            <w:r w:rsidRPr="00945ECB">
              <w:rPr>
                <w:rFonts w:eastAsia="Times New Roman" w:cs="Calibri"/>
                <w:color w:val="000000"/>
                <w:sz w:val="22"/>
                <w:szCs w:val="22"/>
                <w:lang w:eastAsia="en-NZ"/>
              </w:rPr>
              <w:t>1,035</w:t>
            </w:r>
          </w:p>
        </w:tc>
        <w:tc>
          <w:tcPr>
            <w:tcW w:w="1560" w:type="dxa"/>
            <w:tcBorders>
              <w:top w:val="single" w:sz="4" w:space="0" w:color="auto"/>
              <w:left w:val="nil"/>
              <w:bottom w:val="single" w:sz="4" w:space="0" w:color="auto"/>
              <w:right w:val="single" w:sz="4" w:space="0" w:color="auto"/>
            </w:tcBorders>
            <w:shd w:val="clear" w:color="000000" w:fill="DAEECB"/>
            <w:hideMark/>
          </w:tcPr>
          <w:p w14:paraId="4DF1703E" w14:textId="77777777" w:rsidR="000930AF" w:rsidRPr="00945ECB" w:rsidRDefault="000930AF" w:rsidP="000930AF">
            <w:pPr>
              <w:keepLines w:val="0"/>
              <w:spacing w:before="0" w:after="0"/>
              <w:jc w:val="center"/>
              <w:rPr>
                <w:rFonts w:eastAsia="Times New Roman" w:cs="Calibri"/>
                <w:color w:val="000000"/>
                <w:sz w:val="22"/>
                <w:szCs w:val="22"/>
                <w:lang w:eastAsia="en-NZ"/>
              </w:rPr>
            </w:pPr>
            <w:r w:rsidRPr="00945ECB">
              <w:rPr>
                <w:rFonts w:eastAsia="Times New Roman" w:cs="Calibri"/>
                <w:color w:val="000000"/>
                <w:sz w:val="22"/>
                <w:szCs w:val="22"/>
                <w:lang w:eastAsia="en-NZ"/>
              </w:rPr>
              <w:t>2,620</w:t>
            </w:r>
          </w:p>
        </w:tc>
        <w:tc>
          <w:tcPr>
            <w:tcW w:w="1551" w:type="dxa"/>
            <w:gridSpan w:val="2"/>
            <w:tcBorders>
              <w:top w:val="single" w:sz="4" w:space="0" w:color="auto"/>
              <w:left w:val="nil"/>
              <w:bottom w:val="single" w:sz="4" w:space="0" w:color="auto"/>
              <w:right w:val="single" w:sz="4" w:space="0" w:color="auto"/>
            </w:tcBorders>
            <w:shd w:val="clear" w:color="000000" w:fill="DAEECB"/>
            <w:hideMark/>
          </w:tcPr>
          <w:p w14:paraId="426BC680" w14:textId="77777777" w:rsidR="000930AF" w:rsidRPr="00945ECB" w:rsidRDefault="000930AF" w:rsidP="000930AF">
            <w:pPr>
              <w:keepLines w:val="0"/>
              <w:spacing w:before="0" w:after="0"/>
              <w:jc w:val="center"/>
              <w:rPr>
                <w:rFonts w:eastAsia="Times New Roman" w:cs="Calibri"/>
                <w:color w:val="000000"/>
                <w:sz w:val="22"/>
                <w:szCs w:val="22"/>
                <w:lang w:eastAsia="en-NZ"/>
              </w:rPr>
            </w:pPr>
            <w:r w:rsidRPr="00945ECB">
              <w:rPr>
                <w:rFonts w:eastAsia="Times New Roman" w:cs="Calibri"/>
                <w:color w:val="000000"/>
                <w:sz w:val="22"/>
                <w:szCs w:val="22"/>
                <w:lang w:eastAsia="en-NZ"/>
              </w:rPr>
              <w:t>0</w:t>
            </w:r>
          </w:p>
        </w:tc>
      </w:tr>
      <w:tr w:rsidR="000930AF" w:rsidRPr="00263BA3" w14:paraId="2B3CBA51" w14:textId="77777777" w:rsidTr="0057734D">
        <w:trPr>
          <w:trHeight w:val="270"/>
        </w:trPr>
        <w:tc>
          <w:tcPr>
            <w:tcW w:w="2268" w:type="dxa"/>
            <w:tcBorders>
              <w:top w:val="single" w:sz="4" w:space="0" w:color="auto"/>
              <w:left w:val="single" w:sz="4" w:space="0" w:color="auto"/>
              <w:bottom w:val="single" w:sz="4" w:space="0" w:color="auto"/>
              <w:right w:val="single" w:sz="8" w:space="0" w:color="auto"/>
            </w:tcBorders>
            <w:shd w:val="clear" w:color="auto" w:fill="auto"/>
            <w:hideMark/>
          </w:tcPr>
          <w:p w14:paraId="29C76D1F" w14:textId="77777777" w:rsidR="000930AF" w:rsidRPr="00945ECB" w:rsidRDefault="000930AF" w:rsidP="000930AF">
            <w:pPr>
              <w:keepLines w:val="0"/>
              <w:spacing w:before="0" w:after="0"/>
              <w:rPr>
                <w:rFonts w:eastAsia="Times New Roman" w:cs="Calibri"/>
                <w:color w:val="000000"/>
                <w:sz w:val="22"/>
                <w:szCs w:val="22"/>
                <w:lang w:eastAsia="en-NZ"/>
              </w:rPr>
            </w:pPr>
            <w:r w:rsidRPr="00945ECB">
              <w:rPr>
                <w:rFonts w:eastAsia="Times New Roman" w:cs="Calibri"/>
                <w:color w:val="000000"/>
                <w:sz w:val="22"/>
                <w:szCs w:val="22"/>
                <w:lang w:eastAsia="en-NZ"/>
              </w:rPr>
              <w:t>Commissioner fees</w:t>
            </w:r>
          </w:p>
        </w:tc>
        <w:tc>
          <w:tcPr>
            <w:tcW w:w="1134" w:type="dxa"/>
            <w:tcBorders>
              <w:top w:val="single" w:sz="4" w:space="0" w:color="auto"/>
              <w:left w:val="nil"/>
              <w:bottom w:val="single" w:sz="4" w:space="0" w:color="auto"/>
              <w:right w:val="single" w:sz="4" w:space="0" w:color="auto"/>
            </w:tcBorders>
            <w:shd w:val="clear" w:color="auto" w:fill="auto"/>
            <w:hideMark/>
          </w:tcPr>
          <w:p w14:paraId="62B213E7" w14:textId="77777777" w:rsidR="000930AF" w:rsidRPr="00945ECB" w:rsidRDefault="000930AF" w:rsidP="000930AF">
            <w:pPr>
              <w:keepLines w:val="0"/>
              <w:spacing w:before="0" w:after="0"/>
              <w:jc w:val="center"/>
              <w:rPr>
                <w:rFonts w:eastAsia="Times New Roman" w:cs="Calibri"/>
                <w:color w:val="000000"/>
                <w:sz w:val="22"/>
                <w:szCs w:val="22"/>
                <w:lang w:eastAsia="en-NZ"/>
              </w:rPr>
            </w:pPr>
            <w:r w:rsidRPr="00945ECB">
              <w:rPr>
                <w:rFonts w:eastAsia="Times New Roman" w:cs="Calibri"/>
                <w:color w:val="000000"/>
                <w:sz w:val="22"/>
                <w:szCs w:val="22"/>
                <w:lang w:eastAsia="en-NZ"/>
              </w:rPr>
              <w:t>948</w:t>
            </w:r>
          </w:p>
        </w:tc>
        <w:tc>
          <w:tcPr>
            <w:tcW w:w="1436" w:type="dxa"/>
            <w:tcBorders>
              <w:top w:val="single" w:sz="4" w:space="0" w:color="auto"/>
              <w:left w:val="nil"/>
              <w:bottom w:val="single" w:sz="4" w:space="0" w:color="auto"/>
              <w:right w:val="single" w:sz="4" w:space="0" w:color="auto"/>
            </w:tcBorders>
            <w:shd w:val="clear" w:color="auto" w:fill="auto"/>
            <w:hideMark/>
          </w:tcPr>
          <w:p w14:paraId="64B2765C" w14:textId="77777777" w:rsidR="000930AF" w:rsidRPr="00945ECB" w:rsidRDefault="000930AF" w:rsidP="000930AF">
            <w:pPr>
              <w:keepLines w:val="0"/>
              <w:spacing w:before="0" w:after="0"/>
              <w:jc w:val="center"/>
              <w:rPr>
                <w:rFonts w:eastAsia="Times New Roman" w:cs="Calibri"/>
                <w:color w:val="000000"/>
                <w:sz w:val="22"/>
                <w:szCs w:val="22"/>
                <w:lang w:eastAsia="en-NZ"/>
              </w:rPr>
            </w:pPr>
            <w:r w:rsidRPr="00945ECB">
              <w:rPr>
                <w:rFonts w:eastAsia="Times New Roman" w:cs="Calibri"/>
                <w:color w:val="000000"/>
                <w:sz w:val="22"/>
                <w:szCs w:val="22"/>
                <w:lang w:eastAsia="en-NZ"/>
              </w:rPr>
              <w:t>1,061</w:t>
            </w:r>
          </w:p>
        </w:tc>
        <w:tc>
          <w:tcPr>
            <w:tcW w:w="1399" w:type="dxa"/>
            <w:tcBorders>
              <w:top w:val="single" w:sz="4" w:space="0" w:color="auto"/>
              <w:left w:val="nil"/>
              <w:bottom w:val="single" w:sz="4" w:space="0" w:color="auto"/>
              <w:right w:val="single" w:sz="8" w:space="0" w:color="auto"/>
            </w:tcBorders>
            <w:shd w:val="clear" w:color="auto" w:fill="auto"/>
            <w:hideMark/>
          </w:tcPr>
          <w:p w14:paraId="2D73816A" w14:textId="77777777" w:rsidR="000930AF" w:rsidRPr="00945ECB" w:rsidRDefault="000930AF" w:rsidP="000930AF">
            <w:pPr>
              <w:keepLines w:val="0"/>
              <w:spacing w:before="0" w:after="0"/>
              <w:jc w:val="center"/>
              <w:rPr>
                <w:rFonts w:eastAsia="Times New Roman" w:cs="Calibri"/>
                <w:color w:val="000000"/>
                <w:sz w:val="22"/>
                <w:szCs w:val="22"/>
                <w:lang w:eastAsia="en-NZ"/>
              </w:rPr>
            </w:pPr>
            <w:r w:rsidRPr="00945ECB">
              <w:rPr>
                <w:rFonts w:eastAsia="Times New Roman" w:cs="Calibri"/>
                <w:color w:val="000000"/>
                <w:sz w:val="22"/>
                <w:szCs w:val="22"/>
                <w:lang w:eastAsia="en-NZ"/>
              </w:rPr>
              <w:t>113</w:t>
            </w:r>
          </w:p>
        </w:tc>
        <w:tc>
          <w:tcPr>
            <w:tcW w:w="1560" w:type="dxa"/>
            <w:tcBorders>
              <w:top w:val="single" w:sz="4" w:space="0" w:color="auto"/>
              <w:left w:val="nil"/>
              <w:bottom w:val="single" w:sz="4" w:space="0" w:color="auto"/>
              <w:right w:val="single" w:sz="4" w:space="0" w:color="auto"/>
            </w:tcBorders>
            <w:shd w:val="clear" w:color="auto" w:fill="auto"/>
            <w:hideMark/>
          </w:tcPr>
          <w:p w14:paraId="433878C1" w14:textId="77777777" w:rsidR="000930AF" w:rsidRPr="00945ECB" w:rsidRDefault="000930AF" w:rsidP="000930AF">
            <w:pPr>
              <w:keepLines w:val="0"/>
              <w:spacing w:before="0" w:after="0"/>
              <w:jc w:val="center"/>
              <w:rPr>
                <w:rFonts w:eastAsia="Times New Roman" w:cs="Calibri"/>
                <w:color w:val="000000"/>
                <w:sz w:val="22"/>
                <w:szCs w:val="22"/>
                <w:lang w:eastAsia="en-NZ"/>
              </w:rPr>
            </w:pPr>
            <w:r w:rsidRPr="00945ECB">
              <w:rPr>
                <w:rFonts w:eastAsia="Times New Roman" w:cs="Calibri"/>
                <w:color w:val="000000"/>
                <w:sz w:val="22"/>
                <w:szCs w:val="22"/>
                <w:lang w:eastAsia="en-NZ"/>
              </w:rPr>
              <w:t>1,159</w:t>
            </w:r>
          </w:p>
        </w:tc>
        <w:tc>
          <w:tcPr>
            <w:tcW w:w="1551" w:type="dxa"/>
            <w:gridSpan w:val="2"/>
            <w:tcBorders>
              <w:top w:val="single" w:sz="4" w:space="0" w:color="auto"/>
              <w:left w:val="nil"/>
              <w:bottom w:val="single" w:sz="4" w:space="0" w:color="auto"/>
              <w:right w:val="single" w:sz="4" w:space="0" w:color="auto"/>
            </w:tcBorders>
            <w:shd w:val="clear" w:color="auto" w:fill="auto"/>
            <w:hideMark/>
          </w:tcPr>
          <w:p w14:paraId="687D5542" w14:textId="77777777" w:rsidR="000930AF" w:rsidRPr="00945ECB" w:rsidRDefault="000930AF" w:rsidP="000930AF">
            <w:pPr>
              <w:keepLines w:val="0"/>
              <w:spacing w:before="0" w:after="0"/>
              <w:jc w:val="center"/>
              <w:rPr>
                <w:rFonts w:eastAsia="Times New Roman" w:cs="Calibri"/>
                <w:color w:val="000000"/>
                <w:sz w:val="22"/>
                <w:szCs w:val="22"/>
                <w:lang w:eastAsia="en-NZ"/>
              </w:rPr>
            </w:pPr>
            <w:r w:rsidRPr="00945ECB">
              <w:rPr>
                <w:rFonts w:eastAsia="Times New Roman" w:cs="Calibri"/>
                <w:color w:val="000000"/>
                <w:sz w:val="22"/>
                <w:szCs w:val="22"/>
                <w:lang w:eastAsia="en-NZ"/>
              </w:rPr>
              <w:t>2,189</w:t>
            </w:r>
          </w:p>
        </w:tc>
      </w:tr>
      <w:tr w:rsidR="000930AF" w:rsidRPr="00263BA3" w14:paraId="74716E1C" w14:textId="77777777" w:rsidTr="0057734D">
        <w:trPr>
          <w:trHeight w:val="270"/>
        </w:trPr>
        <w:tc>
          <w:tcPr>
            <w:tcW w:w="2268" w:type="dxa"/>
            <w:tcBorders>
              <w:top w:val="single" w:sz="4" w:space="0" w:color="auto"/>
              <w:left w:val="single" w:sz="4" w:space="0" w:color="auto"/>
              <w:bottom w:val="single" w:sz="4" w:space="0" w:color="auto"/>
              <w:right w:val="single" w:sz="8" w:space="0" w:color="auto"/>
            </w:tcBorders>
            <w:shd w:val="clear" w:color="000000" w:fill="DAEECB"/>
            <w:hideMark/>
          </w:tcPr>
          <w:p w14:paraId="53C47A22" w14:textId="77777777" w:rsidR="000930AF" w:rsidRPr="00945ECB" w:rsidRDefault="000930AF" w:rsidP="000930AF">
            <w:pPr>
              <w:keepLines w:val="0"/>
              <w:spacing w:before="0" w:after="0"/>
              <w:rPr>
                <w:rFonts w:eastAsia="Times New Roman" w:cs="Calibri"/>
                <w:color w:val="000000"/>
                <w:sz w:val="22"/>
                <w:szCs w:val="22"/>
                <w:lang w:eastAsia="en-NZ"/>
              </w:rPr>
            </w:pPr>
            <w:r w:rsidRPr="00945ECB">
              <w:rPr>
                <w:rFonts w:eastAsia="Times New Roman" w:cs="Calibri"/>
                <w:color w:val="000000"/>
                <w:sz w:val="22"/>
                <w:szCs w:val="22"/>
                <w:lang w:eastAsia="en-NZ"/>
              </w:rPr>
              <w:t>Legal Assistance</w:t>
            </w:r>
          </w:p>
        </w:tc>
        <w:tc>
          <w:tcPr>
            <w:tcW w:w="1134" w:type="dxa"/>
            <w:tcBorders>
              <w:top w:val="single" w:sz="4" w:space="0" w:color="auto"/>
              <w:left w:val="nil"/>
              <w:bottom w:val="single" w:sz="4" w:space="0" w:color="auto"/>
              <w:right w:val="single" w:sz="4" w:space="0" w:color="auto"/>
            </w:tcBorders>
            <w:shd w:val="clear" w:color="000000" w:fill="DAEECB"/>
            <w:hideMark/>
          </w:tcPr>
          <w:p w14:paraId="338E59D9" w14:textId="77777777" w:rsidR="000930AF" w:rsidRPr="00945ECB" w:rsidRDefault="000930AF" w:rsidP="000930AF">
            <w:pPr>
              <w:keepLines w:val="0"/>
              <w:spacing w:before="0" w:after="0"/>
              <w:jc w:val="center"/>
              <w:rPr>
                <w:rFonts w:eastAsia="Times New Roman" w:cs="Calibri"/>
                <w:color w:val="000000"/>
                <w:sz w:val="22"/>
                <w:szCs w:val="22"/>
                <w:lang w:eastAsia="en-NZ"/>
              </w:rPr>
            </w:pPr>
            <w:r w:rsidRPr="00945ECB">
              <w:rPr>
                <w:rFonts w:eastAsia="Times New Roman" w:cs="Calibri"/>
                <w:color w:val="000000"/>
                <w:sz w:val="22"/>
                <w:szCs w:val="22"/>
                <w:lang w:eastAsia="en-NZ"/>
              </w:rPr>
              <w:t>460</w:t>
            </w:r>
          </w:p>
        </w:tc>
        <w:tc>
          <w:tcPr>
            <w:tcW w:w="1436" w:type="dxa"/>
            <w:tcBorders>
              <w:top w:val="single" w:sz="4" w:space="0" w:color="auto"/>
              <w:left w:val="nil"/>
              <w:bottom w:val="single" w:sz="4" w:space="0" w:color="auto"/>
              <w:right w:val="single" w:sz="4" w:space="0" w:color="auto"/>
            </w:tcBorders>
            <w:shd w:val="clear" w:color="000000" w:fill="DAEECB"/>
            <w:hideMark/>
          </w:tcPr>
          <w:p w14:paraId="77199818" w14:textId="77777777" w:rsidR="000930AF" w:rsidRPr="00945ECB" w:rsidRDefault="000930AF" w:rsidP="000930AF">
            <w:pPr>
              <w:keepLines w:val="0"/>
              <w:spacing w:before="0" w:after="0"/>
              <w:jc w:val="center"/>
              <w:rPr>
                <w:rFonts w:eastAsia="Times New Roman" w:cs="Calibri"/>
                <w:color w:val="000000"/>
                <w:sz w:val="22"/>
                <w:szCs w:val="22"/>
                <w:lang w:eastAsia="en-NZ"/>
              </w:rPr>
            </w:pPr>
            <w:r w:rsidRPr="00945ECB">
              <w:rPr>
                <w:rFonts w:eastAsia="Times New Roman" w:cs="Calibri"/>
                <w:color w:val="000000"/>
                <w:sz w:val="22"/>
                <w:szCs w:val="22"/>
                <w:lang w:eastAsia="en-NZ"/>
              </w:rPr>
              <w:t>2,497</w:t>
            </w:r>
          </w:p>
        </w:tc>
        <w:tc>
          <w:tcPr>
            <w:tcW w:w="1399" w:type="dxa"/>
            <w:tcBorders>
              <w:top w:val="single" w:sz="4" w:space="0" w:color="auto"/>
              <w:left w:val="nil"/>
              <w:bottom w:val="single" w:sz="4" w:space="0" w:color="auto"/>
              <w:right w:val="single" w:sz="8" w:space="0" w:color="auto"/>
            </w:tcBorders>
            <w:shd w:val="clear" w:color="000000" w:fill="DAEECB"/>
            <w:hideMark/>
          </w:tcPr>
          <w:p w14:paraId="2BECCEC0" w14:textId="77777777" w:rsidR="000930AF" w:rsidRPr="00945ECB" w:rsidRDefault="000930AF" w:rsidP="000930AF">
            <w:pPr>
              <w:keepLines w:val="0"/>
              <w:spacing w:before="0" w:after="0"/>
              <w:jc w:val="center"/>
              <w:rPr>
                <w:rFonts w:eastAsia="Times New Roman" w:cs="Calibri"/>
                <w:color w:val="000000"/>
                <w:sz w:val="22"/>
                <w:szCs w:val="22"/>
                <w:lang w:eastAsia="en-NZ"/>
              </w:rPr>
            </w:pPr>
            <w:r w:rsidRPr="00945ECB">
              <w:rPr>
                <w:rFonts w:eastAsia="Times New Roman" w:cs="Calibri"/>
                <w:color w:val="000000"/>
                <w:sz w:val="22"/>
                <w:szCs w:val="22"/>
                <w:lang w:eastAsia="en-NZ"/>
              </w:rPr>
              <w:t>2,038</w:t>
            </w:r>
          </w:p>
        </w:tc>
        <w:tc>
          <w:tcPr>
            <w:tcW w:w="1560" w:type="dxa"/>
            <w:tcBorders>
              <w:top w:val="single" w:sz="4" w:space="0" w:color="auto"/>
              <w:left w:val="nil"/>
              <w:bottom w:val="single" w:sz="4" w:space="0" w:color="auto"/>
              <w:right w:val="single" w:sz="4" w:space="0" w:color="auto"/>
            </w:tcBorders>
            <w:shd w:val="clear" w:color="000000" w:fill="DAEECB"/>
            <w:hideMark/>
          </w:tcPr>
          <w:p w14:paraId="36C4634F" w14:textId="77777777" w:rsidR="000930AF" w:rsidRPr="00945ECB" w:rsidRDefault="000930AF" w:rsidP="000930AF">
            <w:pPr>
              <w:keepLines w:val="0"/>
              <w:spacing w:before="0" w:after="0"/>
              <w:jc w:val="center"/>
              <w:rPr>
                <w:rFonts w:eastAsia="Times New Roman" w:cs="Calibri"/>
                <w:color w:val="000000"/>
                <w:sz w:val="22"/>
                <w:szCs w:val="22"/>
                <w:lang w:eastAsia="en-NZ"/>
              </w:rPr>
            </w:pPr>
            <w:r w:rsidRPr="00945ECB">
              <w:rPr>
                <w:rFonts w:eastAsia="Times New Roman" w:cs="Calibri"/>
                <w:color w:val="000000"/>
                <w:sz w:val="22"/>
                <w:szCs w:val="22"/>
                <w:lang w:eastAsia="en-NZ"/>
              </w:rPr>
              <w:t>8,209</w:t>
            </w:r>
          </w:p>
        </w:tc>
        <w:tc>
          <w:tcPr>
            <w:tcW w:w="1551" w:type="dxa"/>
            <w:gridSpan w:val="2"/>
            <w:tcBorders>
              <w:top w:val="single" w:sz="4" w:space="0" w:color="auto"/>
              <w:left w:val="nil"/>
              <w:bottom w:val="single" w:sz="4" w:space="0" w:color="auto"/>
              <w:right w:val="single" w:sz="4" w:space="0" w:color="auto"/>
            </w:tcBorders>
            <w:shd w:val="clear" w:color="000000" w:fill="DAEECB"/>
            <w:hideMark/>
          </w:tcPr>
          <w:p w14:paraId="27229316" w14:textId="77777777" w:rsidR="000930AF" w:rsidRPr="00945ECB" w:rsidRDefault="000930AF" w:rsidP="000930AF">
            <w:pPr>
              <w:keepLines w:val="0"/>
              <w:spacing w:before="0" w:after="0"/>
              <w:jc w:val="center"/>
              <w:rPr>
                <w:rFonts w:eastAsia="Times New Roman" w:cs="Calibri"/>
                <w:color w:val="000000"/>
                <w:sz w:val="22"/>
                <w:szCs w:val="22"/>
                <w:lang w:eastAsia="en-NZ"/>
              </w:rPr>
            </w:pPr>
            <w:r w:rsidRPr="00945ECB">
              <w:rPr>
                <w:rFonts w:eastAsia="Times New Roman" w:cs="Calibri"/>
                <w:color w:val="000000"/>
                <w:sz w:val="22"/>
                <w:szCs w:val="22"/>
                <w:lang w:eastAsia="en-NZ"/>
              </w:rPr>
              <w:t>0</w:t>
            </w:r>
          </w:p>
        </w:tc>
      </w:tr>
      <w:tr w:rsidR="000930AF" w:rsidRPr="00263BA3" w14:paraId="421B8368" w14:textId="77777777" w:rsidTr="0057734D">
        <w:trPr>
          <w:trHeight w:val="270"/>
        </w:trPr>
        <w:tc>
          <w:tcPr>
            <w:tcW w:w="2268" w:type="dxa"/>
            <w:tcBorders>
              <w:top w:val="single" w:sz="4" w:space="0" w:color="auto"/>
              <w:left w:val="single" w:sz="4" w:space="0" w:color="auto"/>
              <w:bottom w:val="single" w:sz="4" w:space="0" w:color="auto"/>
              <w:right w:val="single" w:sz="8" w:space="0" w:color="auto"/>
            </w:tcBorders>
            <w:shd w:val="clear" w:color="auto" w:fill="auto"/>
            <w:hideMark/>
          </w:tcPr>
          <w:p w14:paraId="3E9A0E13" w14:textId="77777777" w:rsidR="000930AF" w:rsidRPr="00945ECB" w:rsidRDefault="000930AF" w:rsidP="000930AF">
            <w:pPr>
              <w:keepLines w:val="0"/>
              <w:spacing w:before="0" w:after="0"/>
              <w:rPr>
                <w:rFonts w:eastAsia="Times New Roman" w:cs="Calibri"/>
                <w:color w:val="000000"/>
                <w:sz w:val="22"/>
                <w:szCs w:val="22"/>
                <w:lang w:eastAsia="en-NZ"/>
              </w:rPr>
            </w:pPr>
            <w:r w:rsidRPr="00945ECB">
              <w:rPr>
                <w:rFonts w:eastAsia="Times New Roman" w:cs="Calibri"/>
                <w:color w:val="000000"/>
                <w:sz w:val="22"/>
                <w:szCs w:val="22"/>
                <w:lang w:eastAsia="en-NZ"/>
              </w:rPr>
              <w:t>Counselling Assistance</w:t>
            </w:r>
          </w:p>
        </w:tc>
        <w:tc>
          <w:tcPr>
            <w:tcW w:w="1134" w:type="dxa"/>
            <w:tcBorders>
              <w:top w:val="single" w:sz="4" w:space="0" w:color="auto"/>
              <w:left w:val="nil"/>
              <w:bottom w:val="single" w:sz="4" w:space="0" w:color="auto"/>
              <w:right w:val="single" w:sz="4" w:space="0" w:color="auto"/>
            </w:tcBorders>
            <w:shd w:val="clear" w:color="auto" w:fill="auto"/>
            <w:hideMark/>
          </w:tcPr>
          <w:p w14:paraId="371AC9F1" w14:textId="77777777" w:rsidR="000930AF" w:rsidRPr="00945ECB" w:rsidRDefault="000930AF" w:rsidP="000930AF">
            <w:pPr>
              <w:keepLines w:val="0"/>
              <w:spacing w:before="0" w:after="0"/>
              <w:jc w:val="center"/>
              <w:rPr>
                <w:rFonts w:eastAsia="Times New Roman" w:cs="Calibri"/>
                <w:color w:val="000000"/>
                <w:sz w:val="22"/>
                <w:szCs w:val="22"/>
                <w:lang w:eastAsia="en-NZ"/>
              </w:rPr>
            </w:pPr>
            <w:r w:rsidRPr="00945ECB">
              <w:rPr>
                <w:rFonts w:eastAsia="Times New Roman" w:cs="Calibri"/>
                <w:color w:val="000000"/>
                <w:sz w:val="22"/>
                <w:szCs w:val="22"/>
                <w:lang w:eastAsia="en-NZ"/>
              </w:rPr>
              <w:t>881</w:t>
            </w:r>
          </w:p>
        </w:tc>
        <w:tc>
          <w:tcPr>
            <w:tcW w:w="1436" w:type="dxa"/>
            <w:tcBorders>
              <w:top w:val="single" w:sz="4" w:space="0" w:color="auto"/>
              <w:left w:val="nil"/>
              <w:bottom w:val="single" w:sz="4" w:space="0" w:color="auto"/>
              <w:right w:val="single" w:sz="4" w:space="0" w:color="auto"/>
            </w:tcBorders>
            <w:shd w:val="clear" w:color="auto" w:fill="auto"/>
            <w:hideMark/>
          </w:tcPr>
          <w:p w14:paraId="19C1F0A1" w14:textId="77777777" w:rsidR="000930AF" w:rsidRPr="00945ECB" w:rsidRDefault="000930AF" w:rsidP="000930AF">
            <w:pPr>
              <w:keepLines w:val="0"/>
              <w:spacing w:before="0" w:after="0"/>
              <w:jc w:val="center"/>
              <w:rPr>
                <w:rFonts w:eastAsia="Times New Roman" w:cs="Calibri"/>
                <w:color w:val="000000"/>
                <w:sz w:val="22"/>
                <w:szCs w:val="22"/>
                <w:lang w:eastAsia="en-NZ"/>
              </w:rPr>
            </w:pPr>
            <w:r w:rsidRPr="00945ECB">
              <w:rPr>
                <w:rFonts w:eastAsia="Times New Roman" w:cs="Calibri"/>
                <w:color w:val="000000"/>
                <w:sz w:val="22"/>
                <w:szCs w:val="22"/>
                <w:lang w:eastAsia="en-NZ"/>
              </w:rPr>
              <w:t>522</w:t>
            </w:r>
          </w:p>
        </w:tc>
        <w:tc>
          <w:tcPr>
            <w:tcW w:w="1399" w:type="dxa"/>
            <w:tcBorders>
              <w:top w:val="single" w:sz="4" w:space="0" w:color="auto"/>
              <w:left w:val="nil"/>
              <w:bottom w:val="single" w:sz="4" w:space="0" w:color="auto"/>
              <w:right w:val="single" w:sz="8" w:space="0" w:color="auto"/>
            </w:tcBorders>
            <w:shd w:val="clear" w:color="auto" w:fill="auto"/>
            <w:hideMark/>
          </w:tcPr>
          <w:p w14:paraId="40390E4E" w14:textId="77777777" w:rsidR="000930AF" w:rsidRPr="00945ECB" w:rsidRDefault="000930AF" w:rsidP="000930AF">
            <w:pPr>
              <w:keepLines w:val="0"/>
              <w:spacing w:before="0" w:after="0"/>
              <w:jc w:val="center"/>
              <w:rPr>
                <w:rFonts w:eastAsia="Times New Roman" w:cs="Calibri"/>
                <w:color w:val="FF0000"/>
                <w:sz w:val="22"/>
                <w:szCs w:val="22"/>
                <w:lang w:eastAsia="en-NZ"/>
              </w:rPr>
            </w:pPr>
            <w:r w:rsidRPr="00945ECB">
              <w:rPr>
                <w:rFonts w:eastAsia="Times New Roman" w:cs="Calibri"/>
                <w:color w:val="FF0000"/>
                <w:sz w:val="22"/>
                <w:szCs w:val="22"/>
                <w:lang w:eastAsia="en-NZ"/>
              </w:rPr>
              <w:t>(359)</w:t>
            </w:r>
          </w:p>
        </w:tc>
        <w:tc>
          <w:tcPr>
            <w:tcW w:w="1560" w:type="dxa"/>
            <w:tcBorders>
              <w:top w:val="single" w:sz="4" w:space="0" w:color="auto"/>
              <w:left w:val="nil"/>
              <w:bottom w:val="single" w:sz="4" w:space="0" w:color="auto"/>
              <w:right w:val="single" w:sz="4" w:space="0" w:color="auto"/>
            </w:tcBorders>
            <w:shd w:val="clear" w:color="auto" w:fill="auto"/>
            <w:hideMark/>
          </w:tcPr>
          <w:p w14:paraId="67E69A8E" w14:textId="77777777" w:rsidR="000930AF" w:rsidRPr="00945ECB" w:rsidRDefault="000930AF" w:rsidP="000930AF">
            <w:pPr>
              <w:keepLines w:val="0"/>
              <w:spacing w:before="0" w:after="0"/>
              <w:jc w:val="center"/>
              <w:rPr>
                <w:rFonts w:eastAsia="Times New Roman" w:cs="Calibri"/>
                <w:color w:val="FF0000"/>
                <w:sz w:val="22"/>
                <w:szCs w:val="22"/>
                <w:lang w:eastAsia="en-NZ"/>
              </w:rPr>
            </w:pPr>
            <w:r w:rsidRPr="00945ECB">
              <w:rPr>
                <w:rFonts w:eastAsia="Times New Roman" w:cs="Calibri"/>
                <w:color w:val="FF0000"/>
                <w:sz w:val="22"/>
                <w:szCs w:val="22"/>
                <w:lang w:eastAsia="en-NZ"/>
              </w:rPr>
              <w:t>(359)</w:t>
            </w:r>
          </w:p>
        </w:tc>
        <w:tc>
          <w:tcPr>
            <w:tcW w:w="1551" w:type="dxa"/>
            <w:gridSpan w:val="2"/>
            <w:tcBorders>
              <w:top w:val="single" w:sz="4" w:space="0" w:color="auto"/>
              <w:left w:val="nil"/>
              <w:bottom w:val="single" w:sz="4" w:space="0" w:color="auto"/>
              <w:right w:val="single" w:sz="4" w:space="0" w:color="auto"/>
            </w:tcBorders>
            <w:shd w:val="clear" w:color="auto" w:fill="auto"/>
            <w:hideMark/>
          </w:tcPr>
          <w:p w14:paraId="14C419B9" w14:textId="77777777" w:rsidR="000930AF" w:rsidRPr="00945ECB" w:rsidRDefault="000930AF" w:rsidP="000930AF">
            <w:pPr>
              <w:keepLines w:val="0"/>
              <w:spacing w:before="0" w:after="0"/>
              <w:jc w:val="center"/>
              <w:rPr>
                <w:rFonts w:eastAsia="Times New Roman" w:cs="Calibri"/>
                <w:color w:val="000000"/>
                <w:sz w:val="22"/>
                <w:szCs w:val="22"/>
                <w:lang w:eastAsia="en-NZ"/>
              </w:rPr>
            </w:pPr>
            <w:r w:rsidRPr="00945ECB">
              <w:rPr>
                <w:rFonts w:eastAsia="Times New Roman" w:cs="Calibri"/>
                <w:color w:val="000000"/>
                <w:sz w:val="22"/>
                <w:szCs w:val="22"/>
                <w:lang w:eastAsia="en-NZ"/>
              </w:rPr>
              <w:t>8,610</w:t>
            </w:r>
          </w:p>
        </w:tc>
      </w:tr>
      <w:tr w:rsidR="000930AF" w:rsidRPr="00263BA3" w14:paraId="61D72734" w14:textId="77777777" w:rsidTr="0057734D">
        <w:trPr>
          <w:trHeight w:val="270"/>
        </w:trPr>
        <w:tc>
          <w:tcPr>
            <w:tcW w:w="2268" w:type="dxa"/>
            <w:tcBorders>
              <w:top w:val="single" w:sz="4" w:space="0" w:color="auto"/>
              <w:left w:val="single" w:sz="4" w:space="0" w:color="auto"/>
              <w:bottom w:val="single" w:sz="4" w:space="0" w:color="auto"/>
              <w:right w:val="single" w:sz="8" w:space="0" w:color="auto"/>
            </w:tcBorders>
            <w:shd w:val="clear" w:color="000000" w:fill="DAEECB"/>
            <w:hideMark/>
          </w:tcPr>
          <w:p w14:paraId="348D0546" w14:textId="7D691727" w:rsidR="000930AF" w:rsidRPr="00945ECB" w:rsidRDefault="00945ECB" w:rsidP="000930AF">
            <w:pPr>
              <w:keepLines w:val="0"/>
              <w:spacing w:before="0" w:after="0"/>
              <w:rPr>
                <w:rFonts w:eastAsia="Times New Roman" w:cs="Calibri"/>
                <w:color w:val="000000"/>
                <w:sz w:val="22"/>
                <w:szCs w:val="22"/>
                <w:lang w:eastAsia="en-NZ"/>
              </w:rPr>
            </w:pPr>
            <w:r>
              <w:rPr>
                <w:rFonts w:eastAsia="Times New Roman" w:cs="Calibri"/>
                <w:color w:val="000000"/>
                <w:sz w:val="22"/>
                <w:szCs w:val="22"/>
                <w:lang w:eastAsia="en-NZ"/>
              </w:rPr>
              <w:t xml:space="preserve">Capital </w:t>
            </w:r>
            <w:r>
              <w:rPr>
                <w:rFonts w:eastAsia="Times New Roman" w:cs="Calibri"/>
                <w:color w:val="000000"/>
                <w:sz w:val="22"/>
                <w:szCs w:val="22"/>
                <w:vertAlign w:val="superscript"/>
                <w:lang w:eastAsia="en-NZ"/>
              </w:rPr>
              <w:t>(C</w:t>
            </w:r>
            <w:r w:rsidRPr="00945ECB">
              <w:rPr>
                <w:rFonts w:eastAsia="Times New Roman" w:cs="Calibri"/>
                <w:color w:val="000000"/>
                <w:sz w:val="22"/>
                <w:szCs w:val="22"/>
                <w:vertAlign w:val="superscript"/>
                <w:lang w:eastAsia="en-NZ"/>
              </w:rPr>
              <w:t>)</w:t>
            </w:r>
          </w:p>
        </w:tc>
        <w:tc>
          <w:tcPr>
            <w:tcW w:w="1134" w:type="dxa"/>
            <w:tcBorders>
              <w:top w:val="single" w:sz="4" w:space="0" w:color="auto"/>
              <w:left w:val="nil"/>
              <w:bottom w:val="single" w:sz="4" w:space="0" w:color="auto"/>
              <w:right w:val="single" w:sz="4" w:space="0" w:color="auto"/>
            </w:tcBorders>
            <w:shd w:val="clear" w:color="000000" w:fill="DAEECB"/>
            <w:hideMark/>
          </w:tcPr>
          <w:p w14:paraId="211015C3" w14:textId="77777777" w:rsidR="000930AF" w:rsidRPr="00945ECB" w:rsidRDefault="000930AF" w:rsidP="000930AF">
            <w:pPr>
              <w:keepLines w:val="0"/>
              <w:spacing w:before="0" w:after="0"/>
              <w:jc w:val="center"/>
              <w:rPr>
                <w:rFonts w:eastAsia="Times New Roman" w:cs="Calibri"/>
                <w:color w:val="000000"/>
                <w:sz w:val="22"/>
                <w:szCs w:val="22"/>
                <w:lang w:eastAsia="en-NZ"/>
              </w:rPr>
            </w:pPr>
            <w:r w:rsidRPr="00945ECB">
              <w:rPr>
                <w:rFonts w:eastAsia="Times New Roman" w:cs="Calibri"/>
                <w:color w:val="000000"/>
                <w:sz w:val="22"/>
                <w:szCs w:val="22"/>
                <w:lang w:eastAsia="en-NZ"/>
              </w:rPr>
              <w:t>1,286</w:t>
            </w:r>
          </w:p>
        </w:tc>
        <w:tc>
          <w:tcPr>
            <w:tcW w:w="1436" w:type="dxa"/>
            <w:tcBorders>
              <w:top w:val="single" w:sz="4" w:space="0" w:color="auto"/>
              <w:left w:val="nil"/>
              <w:bottom w:val="single" w:sz="4" w:space="0" w:color="auto"/>
              <w:right w:val="single" w:sz="4" w:space="0" w:color="auto"/>
            </w:tcBorders>
            <w:shd w:val="clear" w:color="000000" w:fill="DAEECB"/>
            <w:hideMark/>
          </w:tcPr>
          <w:p w14:paraId="011FB0B0" w14:textId="77777777" w:rsidR="000930AF" w:rsidRPr="00945ECB" w:rsidRDefault="000930AF" w:rsidP="000930AF">
            <w:pPr>
              <w:keepLines w:val="0"/>
              <w:spacing w:before="0" w:after="0"/>
              <w:jc w:val="center"/>
              <w:rPr>
                <w:rFonts w:eastAsia="Times New Roman" w:cs="Calibri"/>
                <w:color w:val="000000"/>
                <w:sz w:val="22"/>
                <w:szCs w:val="22"/>
                <w:lang w:eastAsia="en-NZ"/>
              </w:rPr>
            </w:pPr>
            <w:r w:rsidRPr="00945ECB">
              <w:rPr>
                <w:rFonts w:eastAsia="Times New Roman" w:cs="Calibri"/>
                <w:color w:val="000000"/>
                <w:sz w:val="22"/>
                <w:szCs w:val="22"/>
                <w:lang w:eastAsia="en-NZ"/>
              </w:rPr>
              <w:t>1,154</w:t>
            </w:r>
          </w:p>
        </w:tc>
        <w:tc>
          <w:tcPr>
            <w:tcW w:w="1399" w:type="dxa"/>
            <w:tcBorders>
              <w:top w:val="single" w:sz="4" w:space="0" w:color="auto"/>
              <w:left w:val="nil"/>
              <w:bottom w:val="single" w:sz="4" w:space="0" w:color="auto"/>
              <w:right w:val="single" w:sz="8" w:space="0" w:color="auto"/>
            </w:tcBorders>
            <w:shd w:val="clear" w:color="000000" w:fill="D8E4BC"/>
            <w:hideMark/>
          </w:tcPr>
          <w:p w14:paraId="37C9F10E" w14:textId="77777777" w:rsidR="000930AF" w:rsidRPr="00945ECB" w:rsidRDefault="000930AF" w:rsidP="000930AF">
            <w:pPr>
              <w:keepLines w:val="0"/>
              <w:spacing w:before="0" w:after="0"/>
              <w:jc w:val="center"/>
              <w:rPr>
                <w:rFonts w:eastAsia="Times New Roman" w:cs="Calibri"/>
                <w:color w:val="FF0000"/>
                <w:sz w:val="22"/>
                <w:szCs w:val="22"/>
                <w:lang w:eastAsia="en-NZ"/>
              </w:rPr>
            </w:pPr>
            <w:r w:rsidRPr="00945ECB">
              <w:rPr>
                <w:rFonts w:eastAsia="Times New Roman" w:cs="Calibri"/>
                <w:color w:val="FF0000"/>
                <w:sz w:val="22"/>
                <w:szCs w:val="22"/>
                <w:lang w:eastAsia="en-NZ"/>
              </w:rPr>
              <w:t>(132)</w:t>
            </w:r>
          </w:p>
        </w:tc>
        <w:tc>
          <w:tcPr>
            <w:tcW w:w="1560" w:type="dxa"/>
            <w:tcBorders>
              <w:top w:val="single" w:sz="4" w:space="0" w:color="auto"/>
              <w:left w:val="nil"/>
              <w:bottom w:val="single" w:sz="4" w:space="0" w:color="auto"/>
              <w:right w:val="single" w:sz="4" w:space="0" w:color="auto"/>
            </w:tcBorders>
            <w:shd w:val="clear" w:color="000000" w:fill="DAEECB"/>
            <w:hideMark/>
          </w:tcPr>
          <w:p w14:paraId="59318ADD" w14:textId="77777777" w:rsidR="000930AF" w:rsidRPr="00945ECB" w:rsidRDefault="000930AF" w:rsidP="000930AF">
            <w:pPr>
              <w:keepLines w:val="0"/>
              <w:spacing w:before="0" w:after="0"/>
              <w:jc w:val="center"/>
              <w:rPr>
                <w:rFonts w:eastAsia="Times New Roman" w:cs="Calibri"/>
                <w:color w:val="000000"/>
                <w:sz w:val="22"/>
                <w:szCs w:val="22"/>
                <w:lang w:eastAsia="en-NZ"/>
              </w:rPr>
            </w:pPr>
            <w:r w:rsidRPr="00945ECB">
              <w:rPr>
                <w:rFonts w:eastAsia="Times New Roman" w:cs="Calibri"/>
                <w:color w:val="000000"/>
                <w:sz w:val="22"/>
                <w:szCs w:val="22"/>
                <w:lang w:eastAsia="en-NZ"/>
              </w:rPr>
              <w:t>0</w:t>
            </w:r>
          </w:p>
        </w:tc>
        <w:tc>
          <w:tcPr>
            <w:tcW w:w="1551" w:type="dxa"/>
            <w:gridSpan w:val="2"/>
            <w:tcBorders>
              <w:top w:val="single" w:sz="4" w:space="0" w:color="auto"/>
              <w:left w:val="nil"/>
              <w:bottom w:val="single" w:sz="4" w:space="0" w:color="auto"/>
              <w:right w:val="single" w:sz="4" w:space="0" w:color="auto"/>
            </w:tcBorders>
            <w:shd w:val="clear" w:color="000000" w:fill="DAEECB"/>
            <w:hideMark/>
          </w:tcPr>
          <w:p w14:paraId="5CA9315A" w14:textId="77777777" w:rsidR="000930AF" w:rsidRPr="00945ECB" w:rsidRDefault="000930AF" w:rsidP="000930AF">
            <w:pPr>
              <w:keepLines w:val="0"/>
              <w:spacing w:before="0" w:after="0"/>
              <w:jc w:val="center"/>
              <w:rPr>
                <w:rFonts w:eastAsia="Times New Roman" w:cs="Calibri"/>
                <w:color w:val="000000"/>
                <w:sz w:val="22"/>
                <w:szCs w:val="22"/>
                <w:lang w:eastAsia="en-NZ"/>
              </w:rPr>
            </w:pPr>
            <w:r w:rsidRPr="00945ECB">
              <w:rPr>
                <w:rFonts w:eastAsia="Times New Roman" w:cs="Calibri"/>
                <w:color w:val="000000"/>
                <w:sz w:val="22"/>
                <w:szCs w:val="22"/>
                <w:lang w:eastAsia="en-NZ"/>
              </w:rPr>
              <w:t>0</w:t>
            </w:r>
          </w:p>
        </w:tc>
      </w:tr>
      <w:tr w:rsidR="000930AF" w:rsidRPr="00263BA3" w14:paraId="580D77E0" w14:textId="77777777" w:rsidTr="0057734D">
        <w:trPr>
          <w:trHeight w:val="270"/>
        </w:trPr>
        <w:tc>
          <w:tcPr>
            <w:tcW w:w="2268" w:type="dxa"/>
            <w:tcBorders>
              <w:top w:val="single" w:sz="4" w:space="0" w:color="auto"/>
              <w:left w:val="single" w:sz="4" w:space="0" w:color="auto"/>
              <w:bottom w:val="single" w:sz="4" w:space="0" w:color="auto"/>
              <w:right w:val="single" w:sz="8" w:space="0" w:color="auto"/>
            </w:tcBorders>
            <w:shd w:val="clear" w:color="000000" w:fill="99CC00"/>
            <w:hideMark/>
          </w:tcPr>
          <w:p w14:paraId="1607EA1B" w14:textId="77777777" w:rsidR="000930AF" w:rsidRPr="00945ECB" w:rsidRDefault="000930AF" w:rsidP="000930AF">
            <w:pPr>
              <w:keepLines w:val="0"/>
              <w:spacing w:before="0" w:after="0"/>
              <w:rPr>
                <w:rFonts w:eastAsia="Times New Roman" w:cs="Calibri"/>
                <w:b/>
                <w:bCs/>
                <w:color w:val="000000"/>
                <w:sz w:val="22"/>
                <w:szCs w:val="22"/>
                <w:lang w:eastAsia="en-NZ"/>
              </w:rPr>
            </w:pPr>
            <w:r w:rsidRPr="00945ECB">
              <w:rPr>
                <w:rFonts w:eastAsia="Times New Roman" w:cs="Calibri"/>
                <w:b/>
                <w:bCs/>
                <w:color w:val="000000"/>
                <w:sz w:val="22"/>
                <w:szCs w:val="22"/>
                <w:lang w:eastAsia="en-NZ"/>
              </w:rPr>
              <w:t>Total</w:t>
            </w:r>
          </w:p>
        </w:tc>
        <w:tc>
          <w:tcPr>
            <w:tcW w:w="1134" w:type="dxa"/>
            <w:tcBorders>
              <w:top w:val="single" w:sz="4" w:space="0" w:color="auto"/>
              <w:left w:val="nil"/>
              <w:bottom w:val="single" w:sz="4" w:space="0" w:color="auto"/>
              <w:right w:val="single" w:sz="4" w:space="0" w:color="auto"/>
            </w:tcBorders>
            <w:shd w:val="clear" w:color="000000" w:fill="99CC00"/>
            <w:hideMark/>
          </w:tcPr>
          <w:p w14:paraId="48ACDD15" w14:textId="77777777" w:rsidR="000930AF" w:rsidRPr="00945ECB" w:rsidRDefault="000930AF" w:rsidP="000930AF">
            <w:pPr>
              <w:keepLines w:val="0"/>
              <w:spacing w:before="0" w:after="0"/>
              <w:jc w:val="center"/>
              <w:rPr>
                <w:rFonts w:eastAsia="Times New Roman" w:cs="Calibri"/>
                <w:b/>
                <w:bCs/>
                <w:color w:val="000000"/>
                <w:sz w:val="22"/>
                <w:szCs w:val="22"/>
                <w:lang w:eastAsia="en-NZ"/>
              </w:rPr>
            </w:pPr>
            <w:r w:rsidRPr="00945ECB">
              <w:rPr>
                <w:rFonts w:eastAsia="Times New Roman" w:cs="Calibri"/>
                <w:b/>
                <w:bCs/>
                <w:color w:val="000000"/>
                <w:sz w:val="22"/>
                <w:szCs w:val="22"/>
                <w:lang w:eastAsia="en-NZ"/>
              </w:rPr>
              <w:t>31,264</w:t>
            </w:r>
          </w:p>
        </w:tc>
        <w:tc>
          <w:tcPr>
            <w:tcW w:w="1436" w:type="dxa"/>
            <w:tcBorders>
              <w:top w:val="single" w:sz="4" w:space="0" w:color="auto"/>
              <w:left w:val="nil"/>
              <w:bottom w:val="single" w:sz="4" w:space="0" w:color="auto"/>
              <w:right w:val="single" w:sz="4" w:space="0" w:color="auto"/>
            </w:tcBorders>
            <w:shd w:val="clear" w:color="000000" w:fill="99CC00"/>
            <w:hideMark/>
          </w:tcPr>
          <w:p w14:paraId="2AAA4F37" w14:textId="77777777" w:rsidR="000930AF" w:rsidRPr="00945ECB" w:rsidRDefault="000930AF" w:rsidP="000930AF">
            <w:pPr>
              <w:keepLines w:val="0"/>
              <w:spacing w:before="0" w:after="0"/>
              <w:jc w:val="center"/>
              <w:rPr>
                <w:rFonts w:eastAsia="Times New Roman" w:cs="Calibri"/>
                <w:b/>
                <w:bCs/>
                <w:color w:val="000000"/>
                <w:sz w:val="22"/>
                <w:szCs w:val="22"/>
                <w:lang w:eastAsia="en-NZ"/>
              </w:rPr>
            </w:pPr>
            <w:r w:rsidRPr="00945ECB">
              <w:rPr>
                <w:rFonts w:eastAsia="Times New Roman" w:cs="Calibri"/>
                <w:b/>
                <w:bCs/>
                <w:color w:val="000000"/>
                <w:sz w:val="22"/>
                <w:szCs w:val="22"/>
                <w:lang w:eastAsia="en-NZ"/>
              </w:rPr>
              <w:t>33,959</w:t>
            </w:r>
          </w:p>
        </w:tc>
        <w:tc>
          <w:tcPr>
            <w:tcW w:w="1399" w:type="dxa"/>
            <w:tcBorders>
              <w:top w:val="single" w:sz="4" w:space="0" w:color="auto"/>
              <w:left w:val="nil"/>
              <w:bottom w:val="single" w:sz="4" w:space="0" w:color="auto"/>
              <w:right w:val="single" w:sz="8" w:space="0" w:color="auto"/>
            </w:tcBorders>
            <w:shd w:val="clear" w:color="000000" w:fill="99CC00"/>
            <w:hideMark/>
          </w:tcPr>
          <w:p w14:paraId="62ADA9A0" w14:textId="77777777" w:rsidR="000930AF" w:rsidRPr="00945ECB" w:rsidRDefault="000930AF" w:rsidP="000930AF">
            <w:pPr>
              <w:keepLines w:val="0"/>
              <w:spacing w:before="0" w:after="0"/>
              <w:jc w:val="center"/>
              <w:rPr>
                <w:rFonts w:eastAsia="Times New Roman" w:cs="Calibri"/>
                <w:b/>
                <w:bCs/>
                <w:color w:val="000000"/>
                <w:sz w:val="22"/>
                <w:szCs w:val="22"/>
                <w:lang w:eastAsia="en-NZ"/>
              </w:rPr>
            </w:pPr>
            <w:r w:rsidRPr="00945ECB">
              <w:rPr>
                <w:rFonts w:eastAsia="Times New Roman" w:cs="Calibri"/>
                <w:b/>
                <w:bCs/>
                <w:color w:val="000000"/>
                <w:sz w:val="22"/>
                <w:szCs w:val="22"/>
                <w:lang w:eastAsia="en-NZ"/>
              </w:rPr>
              <w:t>2,695</w:t>
            </w:r>
          </w:p>
        </w:tc>
        <w:tc>
          <w:tcPr>
            <w:tcW w:w="1560" w:type="dxa"/>
            <w:tcBorders>
              <w:top w:val="single" w:sz="4" w:space="0" w:color="auto"/>
              <w:left w:val="nil"/>
              <w:bottom w:val="single" w:sz="4" w:space="0" w:color="auto"/>
              <w:right w:val="single" w:sz="4" w:space="0" w:color="auto"/>
            </w:tcBorders>
            <w:shd w:val="clear" w:color="000000" w:fill="99CC00"/>
            <w:hideMark/>
          </w:tcPr>
          <w:p w14:paraId="3B514541" w14:textId="77777777" w:rsidR="000930AF" w:rsidRPr="00945ECB" w:rsidRDefault="000930AF" w:rsidP="000930AF">
            <w:pPr>
              <w:keepLines w:val="0"/>
              <w:spacing w:before="0" w:after="0"/>
              <w:jc w:val="center"/>
              <w:rPr>
                <w:rFonts w:eastAsia="Times New Roman" w:cs="Calibri"/>
                <w:b/>
                <w:bCs/>
                <w:color w:val="000000"/>
                <w:sz w:val="22"/>
                <w:szCs w:val="22"/>
                <w:lang w:eastAsia="en-NZ"/>
              </w:rPr>
            </w:pPr>
            <w:r w:rsidRPr="00945ECB">
              <w:rPr>
                <w:rFonts w:eastAsia="Times New Roman" w:cs="Calibri"/>
                <w:b/>
                <w:bCs/>
                <w:color w:val="000000"/>
                <w:sz w:val="22"/>
                <w:szCs w:val="22"/>
                <w:lang w:eastAsia="en-NZ"/>
              </w:rPr>
              <w:t>11,629</w:t>
            </w:r>
          </w:p>
        </w:tc>
        <w:tc>
          <w:tcPr>
            <w:tcW w:w="1551" w:type="dxa"/>
            <w:gridSpan w:val="2"/>
            <w:tcBorders>
              <w:top w:val="single" w:sz="4" w:space="0" w:color="auto"/>
              <w:left w:val="nil"/>
              <w:bottom w:val="single" w:sz="4" w:space="0" w:color="auto"/>
              <w:right w:val="single" w:sz="4" w:space="0" w:color="auto"/>
            </w:tcBorders>
            <w:shd w:val="clear" w:color="000000" w:fill="99CC00"/>
            <w:hideMark/>
          </w:tcPr>
          <w:p w14:paraId="37DA9832" w14:textId="77777777" w:rsidR="000930AF" w:rsidRPr="00945ECB" w:rsidRDefault="000930AF" w:rsidP="000930AF">
            <w:pPr>
              <w:keepLines w:val="0"/>
              <w:spacing w:before="0" w:after="0"/>
              <w:jc w:val="center"/>
              <w:rPr>
                <w:rFonts w:eastAsia="Times New Roman" w:cs="Calibri"/>
                <w:b/>
                <w:bCs/>
                <w:color w:val="000000"/>
                <w:sz w:val="22"/>
                <w:szCs w:val="22"/>
                <w:lang w:eastAsia="en-NZ"/>
              </w:rPr>
            </w:pPr>
            <w:r w:rsidRPr="00945ECB">
              <w:rPr>
                <w:rFonts w:eastAsia="Times New Roman" w:cs="Calibri"/>
                <w:b/>
                <w:bCs/>
                <w:color w:val="000000"/>
                <w:sz w:val="22"/>
                <w:szCs w:val="22"/>
                <w:lang w:eastAsia="en-NZ"/>
              </w:rPr>
              <w:t>10,799</w:t>
            </w:r>
          </w:p>
        </w:tc>
      </w:tr>
      <w:tr w:rsidR="000930AF" w:rsidRPr="00263BA3" w14:paraId="68B8DA0E" w14:textId="77777777" w:rsidTr="00CE6C5C">
        <w:trPr>
          <w:gridAfter w:val="1"/>
          <w:wAfter w:w="306" w:type="dxa"/>
          <w:trHeight w:val="550"/>
        </w:trPr>
        <w:tc>
          <w:tcPr>
            <w:tcW w:w="9042" w:type="dxa"/>
            <w:gridSpan w:val="6"/>
            <w:tcBorders>
              <w:top w:val="nil"/>
              <w:left w:val="nil"/>
              <w:bottom w:val="nil"/>
              <w:right w:val="nil"/>
            </w:tcBorders>
            <w:shd w:val="clear" w:color="000000" w:fill="FFFFFF"/>
            <w:vAlign w:val="bottom"/>
            <w:hideMark/>
          </w:tcPr>
          <w:p w14:paraId="3AA861B3" w14:textId="42220793" w:rsidR="000930AF" w:rsidRPr="00945ECB" w:rsidRDefault="000930AF" w:rsidP="003F2939">
            <w:pPr>
              <w:pStyle w:val="ListParagraph"/>
              <w:keepLines w:val="0"/>
              <w:numPr>
                <w:ilvl w:val="0"/>
                <w:numId w:val="23"/>
              </w:numPr>
              <w:spacing w:before="0" w:after="0"/>
              <w:ind w:left="321" w:hanging="284"/>
              <w:rPr>
                <w:rFonts w:asciiTheme="minorHAnsi" w:eastAsia="Times New Roman" w:hAnsiTheme="minorHAnsi" w:cstheme="minorHAnsi"/>
                <w:sz w:val="22"/>
                <w:szCs w:val="22"/>
                <w:lang w:eastAsia="en-NZ"/>
              </w:rPr>
            </w:pPr>
            <w:r w:rsidRPr="00945ECB">
              <w:rPr>
                <w:rFonts w:asciiTheme="minorHAnsi" w:eastAsia="Times New Roman" w:hAnsiTheme="minorHAnsi" w:cstheme="minorHAnsi"/>
                <w:sz w:val="22"/>
                <w:szCs w:val="22"/>
                <w:lang w:eastAsia="en-NZ"/>
              </w:rPr>
              <w:t>Budgets reflect the most recent changes to appropriations in the March Baseline Update</w:t>
            </w:r>
          </w:p>
        </w:tc>
      </w:tr>
      <w:tr w:rsidR="000930AF" w:rsidRPr="00263BA3" w14:paraId="4A932227" w14:textId="77777777" w:rsidTr="00CE6C5C">
        <w:trPr>
          <w:gridAfter w:val="1"/>
          <w:wAfter w:w="306" w:type="dxa"/>
          <w:trHeight w:val="1680"/>
        </w:trPr>
        <w:tc>
          <w:tcPr>
            <w:tcW w:w="9042" w:type="dxa"/>
            <w:gridSpan w:val="6"/>
            <w:tcBorders>
              <w:top w:val="nil"/>
              <w:left w:val="nil"/>
              <w:bottom w:val="nil"/>
              <w:right w:val="nil"/>
            </w:tcBorders>
            <w:shd w:val="clear" w:color="000000" w:fill="FFFFFF"/>
            <w:vAlign w:val="bottom"/>
            <w:hideMark/>
          </w:tcPr>
          <w:p w14:paraId="1692369C" w14:textId="3089EA22" w:rsidR="000930AF" w:rsidRPr="00CE6C5C" w:rsidRDefault="000930AF" w:rsidP="003F2939">
            <w:pPr>
              <w:pStyle w:val="ListParagraph"/>
              <w:keepLines w:val="0"/>
              <w:numPr>
                <w:ilvl w:val="0"/>
                <w:numId w:val="23"/>
              </w:numPr>
              <w:spacing w:before="0" w:after="0"/>
              <w:ind w:left="321" w:hanging="284"/>
              <w:rPr>
                <w:rFonts w:asciiTheme="minorHAnsi" w:eastAsia="Times New Roman" w:hAnsiTheme="minorHAnsi" w:cstheme="minorHAnsi"/>
                <w:sz w:val="22"/>
                <w:szCs w:val="22"/>
                <w:lang w:eastAsia="en-NZ"/>
              </w:rPr>
            </w:pPr>
            <w:r w:rsidRPr="00CE6C5C">
              <w:rPr>
                <w:rFonts w:asciiTheme="minorHAnsi" w:eastAsia="Times New Roman" w:hAnsiTheme="minorHAnsi" w:cstheme="minorHAnsi"/>
                <w:sz w:val="22"/>
                <w:szCs w:val="22"/>
                <w:lang w:eastAsia="en-NZ"/>
              </w:rPr>
              <w:t xml:space="preserve">YTD variance and variable levels of remaining funding reflects decisions still to be announced by Ministers </w:t>
            </w:r>
            <w:proofErr w:type="gramStart"/>
            <w:r w:rsidRPr="00CE6C5C">
              <w:rPr>
                <w:rFonts w:asciiTheme="minorHAnsi" w:eastAsia="Times New Roman" w:hAnsiTheme="minorHAnsi" w:cstheme="minorHAnsi"/>
                <w:sz w:val="22"/>
                <w:szCs w:val="22"/>
                <w:lang w:eastAsia="en-NZ"/>
              </w:rPr>
              <w:t>in regard to</w:t>
            </w:r>
            <w:proofErr w:type="gramEnd"/>
            <w:r w:rsidRPr="00CE6C5C">
              <w:rPr>
                <w:rFonts w:asciiTheme="minorHAnsi" w:eastAsia="Times New Roman" w:hAnsiTheme="minorHAnsi" w:cstheme="minorHAnsi"/>
                <w:sz w:val="22"/>
                <w:szCs w:val="22"/>
                <w:lang w:eastAsia="en-NZ"/>
              </w:rPr>
              <w:t xml:space="preserve"> funding for the final quarter of the 20/21 financial year. Appropriation breaches are not expected, either because of remaining funding within the MYA (e.g. Counselling Assistance) or because of Ministerial decisions to be announced. </w:t>
            </w:r>
            <w:r w:rsidR="00586359">
              <w:rPr>
                <w:rFonts w:asciiTheme="minorHAnsi" w:eastAsia="Times New Roman" w:hAnsiTheme="minorHAnsi" w:cstheme="minorHAnsi"/>
                <w:sz w:val="22"/>
                <w:szCs w:val="22"/>
                <w:lang w:eastAsia="en-NZ"/>
              </w:rPr>
              <w:t xml:space="preserve">Due to budget uncertainty the </w:t>
            </w:r>
            <w:r w:rsidRPr="00CE6C5C">
              <w:rPr>
                <w:rFonts w:asciiTheme="minorHAnsi" w:eastAsia="Times New Roman" w:hAnsiTheme="minorHAnsi" w:cstheme="minorHAnsi"/>
                <w:sz w:val="22"/>
                <w:szCs w:val="22"/>
                <w:lang w:eastAsia="en-NZ"/>
              </w:rPr>
              <w:t>Commission has restricted planned expenditure through internal savings plans and targets</w:t>
            </w:r>
            <w:r w:rsidR="00945ECB" w:rsidRPr="00CE6C5C">
              <w:rPr>
                <w:rFonts w:asciiTheme="minorHAnsi" w:eastAsia="Times New Roman" w:hAnsiTheme="minorHAnsi" w:cstheme="minorHAnsi"/>
                <w:sz w:val="22"/>
                <w:szCs w:val="22"/>
                <w:lang w:eastAsia="en-NZ"/>
              </w:rPr>
              <w:t>.</w:t>
            </w:r>
          </w:p>
          <w:p w14:paraId="25C47851" w14:textId="67009DCC" w:rsidR="00CE6C5C" w:rsidRPr="00CE6C5C" w:rsidRDefault="000930AF" w:rsidP="003F2939">
            <w:pPr>
              <w:pStyle w:val="ListParagraph"/>
              <w:keepLines w:val="0"/>
              <w:numPr>
                <w:ilvl w:val="0"/>
                <w:numId w:val="23"/>
              </w:numPr>
              <w:spacing w:before="0" w:after="0"/>
              <w:ind w:left="321" w:hanging="321"/>
              <w:rPr>
                <w:rFonts w:asciiTheme="minorHAnsi" w:eastAsia="Times New Roman" w:hAnsiTheme="minorHAnsi" w:cstheme="minorHAnsi"/>
                <w:sz w:val="22"/>
                <w:szCs w:val="22"/>
                <w:lang w:eastAsia="en-NZ"/>
              </w:rPr>
            </w:pPr>
            <w:r w:rsidRPr="00945ECB">
              <w:rPr>
                <w:rFonts w:asciiTheme="minorHAnsi" w:eastAsia="Times New Roman" w:hAnsiTheme="minorHAnsi" w:cstheme="minorHAnsi"/>
                <w:sz w:val="22"/>
                <w:szCs w:val="22"/>
                <w:lang w:eastAsia="en-NZ"/>
              </w:rPr>
              <w:t>Capital for the R</w:t>
            </w:r>
            <w:r w:rsidR="0057734D">
              <w:rPr>
                <w:rFonts w:asciiTheme="minorHAnsi" w:eastAsia="Times New Roman" w:hAnsiTheme="minorHAnsi" w:cstheme="minorHAnsi"/>
                <w:sz w:val="22"/>
                <w:szCs w:val="22"/>
                <w:lang w:eastAsia="en-NZ"/>
              </w:rPr>
              <w:t xml:space="preserve">oyal Commission </w:t>
            </w:r>
            <w:r w:rsidRPr="00945ECB">
              <w:rPr>
                <w:rFonts w:asciiTheme="minorHAnsi" w:eastAsia="Times New Roman" w:hAnsiTheme="minorHAnsi" w:cstheme="minorHAnsi"/>
                <w:sz w:val="22"/>
                <w:szCs w:val="22"/>
                <w:lang w:eastAsia="en-NZ"/>
              </w:rPr>
              <w:t>is managed within the Department’s broader annual capital appropriation.  Small variances are, therefore, not material</w:t>
            </w:r>
            <w:r w:rsidR="00945ECB">
              <w:rPr>
                <w:rFonts w:asciiTheme="minorHAnsi" w:eastAsia="Times New Roman" w:hAnsiTheme="minorHAnsi" w:cstheme="minorHAnsi"/>
                <w:sz w:val="22"/>
                <w:szCs w:val="22"/>
                <w:lang w:eastAsia="en-NZ"/>
              </w:rPr>
              <w:t xml:space="preserve">. </w:t>
            </w:r>
          </w:p>
          <w:p w14:paraId="1E049AA9" w14:textId="678649A7" w:rsidR="00945ECB" w:rsidRPr="003C1A99" w:rsidRDefault="00945ECB" w:rsidP="00945ECB">
            <w:pPr>
              <w:spacing w:after="120"/>
              <w:rPr>
                <w:b/>
              </w:rPr>
            </w:pPr>
            <w:r w:rsidRPr="003C1A99">
              <w:rPr>
                <w:b/>
              </w:rPr>
              <w:t>Commentary</w:t>
            </w:r>
          </w:p>
          <w:p w14:paraId="31ADFAF8" w14:textId="32FE621C" w:rsidR="00945ECB" w:rsidRDefault="00945ECB" w:rsidP="003F2939">
            <w:pPr>
              <w:pStyle w:val="ListParagraph"/>
              <w:numPr>
                <w:ilvl w:val="0"/>
                <w:numId w:val="29"/>
              </w:numPr>
              <w:spacing w:after="120"/>
              <w:ind w:left="604" w:hanging="567"/>
            </w:pPr>
            <w:r>
              <w:t>The Commission underspent to budget across all appropriations by a combined $2.695m.</w:t>
            </w:r>
            <w:r w:rsidR="00586359">
              <w:t xml:space="preserve"> The Commission has established an internal savings target of $4.000</w:t>
            </w:r>
            <w:r w:rsidR="0075440D">
              <w:t>m</w:t>
            </w:r>
            <w:r w:rsidR="00586359">
              <w:t xml:space="preserve"> for</w:t>
            </w:r>
            <w:r w:rsidR="0075440D">
              <w:t xml:space="preserve"> the 2020/21 financial year to reflect uncertainty in advance of budget decisions due to be announced in May.</w:t>
            </w:r>
          </w:p>
          <w:p w14:paraId="7A81D10F" w14:textId="1C9E83D9" w:rsidR="00945ECB" w:rsidRDefault="00945ECB" w:rsidP="003F2939">
            <w:pPr>
              <w:pStyle w:val="ListParagraph"/>
              <w:numPr>
                <w:ilvl w:val="0"/>
                <w:numId w:val="29"/>
              </w:numPr>
              <w:spacing w:after="120"/>
              <w:ind w:left="604" w:hanging="567"/>
            </w:pPr>
            <w:r>
              <w:t xml:space="preserve">An operational underspend of $1.035m (Departmental MYA) was driven by the impacts of COVID </w:t>
            </w:r>
            <w:r w:rsidR="0075440D">
              <w:t xml:space="preserve">(although limited) </w:t>
            </w:r>
            <w:r>
              <w:t xml:space="preserve">and </w:t>
            </w:r>
            <w:r w:rsidR="0075440D">
              <w:t xml:space="preserve">restrictions put on expenditure to achieve savings noted above. </w:t>
            </w:r>
          </w:p>
          <w:p w14:paraId="613E2BE7" w14:textId="704C157A" w:rsidR="00945ECB" w:rsidRDefault="00945ECB" w:rsidP="003F2939">
            <w:pPr>
              <w:pStyle w:val="ListParagraph"/>
              <w:numPr>
                <w:ilvl w:val="0"/>
                <w:numId w:val="29"/>
              </w:numPr>
              <w:spacing w:after="120"/>
              <w:ind w:left="604" w:hanging="567"/>
            </w:pPr>
            <w:r>
              <w:t>A Legal Assistance underspend of $2.038m is expected to</w:t>
            </w:r>
            <w:r w:rsidR="0075440D">
              <w:t xml:space="preserve"> reverse</w:t>
            </w:r>
            <w:r>
              <w:t>, as planned public hearings ramp up during the second half of the financial year and in out years.</w:t>
            </w:r>
          </w:p>
          <w:p w14:paraId="0245CB41" w14:textId="1F2BA2A3" w:rsidR="00945ECB" w:rsidRPr="00945ECB" w:rsidRDefault="00945ECB" w:rsidP="003F2939">
            <w:pPr>
              <w:pStyle w:val="ListParagraph"/>
              <w:numPr>
                <w:ilvl w:val="0"/>
                <w:numId w:val="29"/>
              </w:numPr>
              <w:spacing w:after="120"/>
              <w:ind w:left="604" w:hanging="567"/>
              <w:rPr>
                <w:rFonts w:asciiTheme="minorHAnsi" w:eastAsia="Times New Roman" w:hAnsiTheme="minorHAnsi" w:cstheme="minorHAnsi"/>
                <w:sz w:val="22"/>
                <w:szCs w:val="22"/>
                <w:lang w:eastAsia="en-NZ"/>
              </w:rPr>
            </w:pPr>
            <w:r>
              <w:t>Totals may not sum due to rounding.</w:t>
            </w:r>
          </w:p>
        </w:tc>
      </w:tr>
      <w:bookmarkEnd w:id="13"/>
      <w:bookmarkEnd w:id="14"/>
      <w:bookmarkEnd w:id="15"/>
    </w:tbl>
    <w:p w14:paraId="4AC2F38D" w14:textId="55E24D52" w:rsidR="000C2E09" w:rsidRPr="003F2939" w:rsidRDefault="000C2E09" w:rsidP="003F2939">
      <w:pPr>
        <w:tabs>
          <w:tab w:val="left" w:pos="3721"/>
        </w:tabs>
        <w:rPr>
          <w:rFonts w:ascii="Arial" w:hAnsi="Arial" w:cs="Arial"/>
          <w:sz w:val="22"/>
          <w:szCs w:val="22"/>
        </w:rPr>
      </w:pPr>
    </w:p>
    <w:sectPr w:rsidR="000C2E09" w:rsidRPr="003F2939" w:rsidSect="00B27F2D">
      <w:footerReference w:type="default" r:id="rId13"/>
      <w:pgSz w:w="11907" w:h="16840" w:code="9"/>
      <w:pgMar w:top="851" w:right="1275" w:bottom="851" w:left="1559" w:header="425" w:footer="6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E8758" w14:textId="77777777" w:rsidR="00410501" w:rsidRDefault="00410501">
      <w:r>
        <w:separator/>
      </w:r>
    </w:p>
    <w:p w14:paraId="607B279D" w14:textId="77777777" w:rsidR="00410501" w:rsidRDefault="00410501"/>
    <w:p w14:paraId="6FABA5DF" w14:textId="77777777" w:rsidR="00410501" w:rsidRDefault="00410501"/>
  </w:endnote>
  <w:endnote w:type="continuationSeparator" w:id="0">
    <w:p w14:paraId="5F5B47E2" w14:textId="77777777" w:rsidR="00410501" w:rsidRDefault="00410501">
      <w:r>
        <w:continuationSeparator/>
      </w:r>
    </w:p>
    <w:p w14:paraId="4BE18D35" w14:textId="77777777" w:rsidR="00410501" w:rsidRDefault="00410501"/>
    <w:p w14:paraId="26F2F782" w14:textId="77777777" w:rsidR="00410501" w:rsidRDefault="004105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Elephant">
    <w:panose1 w:val="0202090409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5C975" w14:textId="77777777" w:rsidR="00410501" w:rsidRDefault="00410501" w:rsidP="00126FDE">
    <w:pPr>
      <w:pStyle w:val="Footer"/>
      <w:tabs>
        <w:tab w:val="right" w:pos="9071"/>
      </w:tabs>
      <w:ind w:right="-1"/>
    </w:pPr>
    <w:r>
      <w:tab/>
      <w:t xml:space="preserve">Page </w:t>
    </w:r>
    <w:r>
      <w:fldChar w:fldCharType="begin"/>
    </w:r>
    <w:r>
      <w:instrText xml:space="preserve"> PAGE  \* Arabic  \* MERGEFORMAT </w:instrText>
    </w:r>
    <w:r>
      <w:fldChar w:fldCharType="separate"/>
    </w:r>
    <w:r>
      <w:rPr>
        <w:noProof/>
      </w:rPr>
      <w:t>1</w:t>
    </w:r>
    <w:r>
      <w:fldChar w:fldCharType="end"/>
    </w:r>
    <w:r>
      <w:t xml:space="preserve"> of </w:t>
    </w:r>
    <w:fldSimple w:instr=" NUMPAGES   \* MERGEFORMAT ">
      <w:r>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837F4" w14:textId="77777777" w:rsidR="00410501" w:rsidRDefault="00410501" w:rsidP="00FB1990">
      <w:pPr>
        <w:pStyle w:val="Spacer"/>
      </w:pPr>
      <w:r>
        <w:separator/>
      </w:r>
    </w:p>
    <w:p w14:paraId="78C76148" w14:textId="77777777" w:rsidR="00410501" w:rsidRDefault="00410501" w:rsidP="00FB1990">
      <w:pPr>
        <w:pStyle w:val="Spacer"/>
      </w:pPr>
    </w:p>
  </w:footnote>
  <w:footnote w:type="continuationSeparator" w:id="0">
    <w:p w14:paraId="5EACDFB8" w14:textId="77777777" w:rsidR="00410501" w:rsidRDefault="00410501">
      <w:r>
        <w:continuationSeparator/>
      </w:r>
    </w:p>
    <w:p w14:paraId="290F8364" w14:textId="77777777" w:rsidR="00410501" w:rsidRDefault="00410501"/>
    <w:p w14:paraId="53305C3C" w14:textId="77777777" w:rsidR="00410501" w:rsidRDefault="004105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1DB6AE1"/>
    <w:multiLevelType w:val="hybridMultilevel"/>
    <w:tmpl w:val="1D98D8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9" w15:restartNumberingAfterBreak="0">
    <w:nsid w:val="06B03DB9"/>
    <w:multiLevelType w:val="hybridMultilevel"/>
    <w:tmpl w:val="4A3082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08A8544D"/>
    <w:multiLevelType w:val="hybridMultilevel"/>
    <w:tmpl w:val="11BA5E0C"/>
    <w:lvl w:ilvl="0" w:tplc="4C4427CE">
      <w:start w:val="1"/>
      <w:numFmt w:val="upperLetter"/>
      <w:lvlText w:val="(%1)"/>
      <w:lvlJc w:val="left"/>
      <w:pPr>
        <w:ind w:left="720" w:hanging="360"/>
      </w:pPr>
      <w:rPr>
        <w:rFonts w:hint="default"/>
        <w:vertAlign w:val="superscrip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2"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3" w15:restartNumberingAfterBreak="0">
    <w:nsid w:val="2D1F34E1"/>
    <w:multiLevelType w:val="hybridMultilevel"/>
    <w:tmpl w:val="B78AD9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283765A"/>
    <w:multiLevelType w:val="hybridMultilevel"/>
    <w:tmpl w:val="3AF095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BD17E17"/>
    <w:multiLevelType w:val="hybridMultilevel"/>
    <w:tmpl w:val="21C83D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440E021A"/>
    <w:multiLevelType w:val="hybridMultilevel"/>
    <w:tmpl w:val="A4341188"/>
    <w:lvl w:ilvl="0" w:tplc="E3F858BE">
      <w:start w:val="1"/>
      <w:numFmt w:val="upperLetter"/>
      <w:lvlText w:val="(%1)"/>
      <w:lvlJc w:val="left"/>
      <w:pPr>
        <w:ind w:left="386" w:hanging="360"/>
      </w:pPr>
      <w:rPr>
        <w:rFonts w:hint="default"/>
        <w:b w:val="0"/>
        <w:sz w:val="18"/>
        <w:vertAlign w:val="superscript"/>
      </w:rPr>
    </w:lvl>
    <w:lvl w:ilvl="1" w:tplc="14090019" w:tentative="1">
      <w:start w:val="1"/>
      <w:numFmt w:val="lowerLetter"/>
      <w:lvlText w:val="%2."/>
      <w:lvlJc w:val="left"/>
      <w:pPr>
        <w:ind w:left="1106" w:hanging="360"/>
      </w:pPr>
    </w:lvl>
    <w:lvl w:ilvl="2" w:tplc="1409001B" w:tentative="1">
      <w:start w:val="1"/>
      <w:numFmt w:val="lowerRoman"/>
      <w:lvlText w:val="%3."/>
      <w:lvlJc w:val="right"/>
      <w:pPr>
        <w:ind w:left="1826" w:hanging="180"/>
      </w:pPr>
    </w:lvl>
    <w:lvl w:ilvl="3" w:tplc="1409000F" w:tentative="1">
      <w:start w:val="1"/>
      <w:numFmt w:val="decimal"/>
      <w:lvlText w:val="%4."/>
      <w:lvlJc w:val="left"/>
      <w:pPr>
        <w:ind w:left="2546" w:hanging="360"/>
      </w:pPr>
    </w:lvl>
    <w:lvl w:ilvl="4" w:tplc="14090019" w:tentative="1">
      <w:start w:val="1"/>
      <w:numFmt w:val="lowerLetter"/>
      <w:lvlText w:val="%5."/>
      <w:lvlJc w:val="left"/>
      <w:pPr>
        <w:ind w:left="3266" w:hanging="360"/>
      </w:pPr>
    </w:lvl>
    <w:lvl w:ilvl="5" w:tplc="1409001B" w:tentative="1">
      <w:start w:val="1"/>
      <w:numFmt w:val="lowerRoman"/>
      <w:lvlText w:val="%6."/>
      <w:lvlJc w:val="right"/>
      <w:pPr>
        <w:ind w:left="3986" w:hanging="180"/>
      </w:pPr>
    </w:lvl>
    <w:lvl w:ilvl="6" w:tplc="1409000F" w:tentative="1">
      <w:start w:val="1"/>
      <w:numFmt w:val="decimal"/>
      <w:lvlText w:val="%7."/>
      <w:lvlJc w:val="left"/>
      <w:pPr>
        <w:ind w:left="4706" w:hanging="360"/>
      </w:pPr>
    </w:lvl>
    <w:lvl w:ilvl="7" w:tplc="14090019" w:tentative="1">
      <w:start w:val="1"/>
      <w:numFmt w:val="lowerLetter"/>
      <w:lvlText w:val="%8."/>
      <w:lvlJc w:val="left"/>
      <w:pPr>
        <w:ind w:left="5426" w:hanging="360"/>
      </w:pPr>
    </w:lvl>
    <w:lvl w:ilvl="8" w:tplc="1409001B" w:tentative="1">
      <w:start w:val="1"/>
      <w:numFmt w:val="lowerRoman"/>
      <w:lvlText w:val="%9."/>
      <w:lvlJc w:val="right"/>
      <w:pPr>
        <w:ind w:left="6146" w:hanging="180"/>
      </w:pPr>
    </w:lvl>
  </w:abstractNum>
  <w:abstractNum w:abstractNumId="20" w15:restartNumberingAfterBreak="0">
    <w:nsid w:val="47827941"/>
    <w:multiLevelType w:val="hybridMultilevel"/>
    <w:tmpl w:val="8C6217D0"/>
    <w:lvl w:ilvl="0" w:tplc="F228ADA2">
      <w:start w:val="1"/>
      <w:numFmt w:val="upperLetter"/>
      <w:lvlText w:val="(%1)"/>
      <w:lvlJc w:val="left"/>
      <w:pPr>
        <w:ind w:left="720" w:hanging="360"/>
      </w:pPr>
      <w:rPr>
        <w:rFonts w:hint="default"/>
        <w:b w:val="0"/>
        <w:vertAlign w:val="superscrip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D55692A"/>
    <w:multiLevelType w:val="hybridMultilevel"/>
    <w:tmpl w:val="697420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6" w15:restartNumberingAfterBreak="0">
    <w:nsid w:val="65B81FC1"/>
    <w:multiLevelType w:val="hybridMultilevel"/>
    <w:tmpl w:val="C088C46C"/>
    <w:lvl w:ilvl="0" w:tplc="E062BBC0">
      <w:start w:val="1"/>
      <w:numFmt w:val="upperLetter"/>
      <w:lvlText w:val="(%1)"/>
      <w:lvlJc w:val="left"/>
      <w:pPr>
        <w:ind w:left="720" w:hanging="360"/>
      </w:pPr>
      <w:rPr>
        <w:rFonts w:hint="default"/>
        <w:b w:val="0"/>
        <w:vertAlign w:val="superscrip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8"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9" w15:restartNumberingAfterBreak="0">
    <w:nsid w:val="6C1A644D"/>
    <w:multiLevelType w:val="hybridMultilevel"/>
    <w:tmpl w:val="47E0C5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1" w15:restartNumberingAfterBreak="0">
    <w:nsid w:val="70F36C53"/>
    <w:multiLevelType w:val="hybridMultilevel"/>
    <w:tmpl w:val="EA58C8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23"/>
  </w:num>
  <w:num w:numId="8">
    <w:abstractNumId w:val="24"/>
  </w:num>
  <w:num w:numId="9">
    <w:abstractNumId w:val="18"/>
  </w:num>
  <w:num w:numId="10">
    <w:abstractNumId w:val="12"/>
  </w:num>
  <w:num w:numId="11">
    <w:abstractNumId w:val="25"/>
  </w:num>
  <w:num w:numId="12">
    <w:abstractNumId w:val="27"/>
  </w:num>
  <w:num w:numId="13">
    <w:abstractNumId w:val="30"/>
  </w:num>
  <w:num w:numId="14">
    <w:abstractNumId w:val="8"/>
  </w:num>
  <w:num w:numId="15">
    <w:abstractNumId w:val="15"/>
  </w:num>
  <w:num w:numId="16">
    <w:abstractNumId w:val="32"/>
  </w:num>
  <w:num w:numId="17">
    <w:abstractNumId w:val="28"/>
  </w:num>
  <w:num w:numId="18">
    <w:abstractNumId w:val="21"/>
  </w:num>
  <w:num w:numId="19">
    <w:abstractNumId w:val="16"/>
  </w:num>
  <w:num w:numId="20">
    <w:abstractNumId w:val="11"/>
  </w:num>
  <w:num w:numId="21">
    <w:abstractNumId w:val="7"/>
  </w:num>
  <w:num w:numId="22">
    <w:abstractNumId w:val="13"/>
  </w:num>
  <w:num w:numId="23">
    <w:abstractNumId w:val="10"/>
  </w:num>
  <w:num w:numId="24">
    <w:abstractNumId w:val="9"/>
  </w:num>
  <w:num w:numId="25">
    <w:abstractNumId w:val="14"/>
  </w:num>
  <w:num w:numId="26">
    <w:abstractNumId w:val="29"/>
  </w:num>
  <w:num w:numId="27">
    <w:abstractNumId w:val="6"/>
  </w:num>
  <w:num w:numId="28">
    <w:abstractNumId w:val="22"/>
  </w:num>
  <w:num w:numId="29">
    <w:abstractNumId w:val="17"/>
  </w:num>
  <w:num w:numId="30">
    <w:abstractNumId w:val="31"/>
  </w:num>
  <w:num w:numId="31">
    <w:abstractNumId w:val="20"/>
  </w:num>
  <w:num w:numId="32">
    <w:abstractNumId w:val="26"/>
  </w:num>
  <w:num w:numId="33">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79873"/>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7AB"/>
    <w:rsid w:val="00003360"/>
    <w:rsid w:val="00003FC7"/>
    <w:rsid w:val="00005919"/>
    <w:rsid w:val="00007C42"/>
    <w:rsid w:val="00015020"/>
    <w:rsid w:val="0001647B"/>
    <w:rsid w:val="00020010"/>
    <w:rsid w:val="00025E8A"/>
    <w:rsid w:val="00034673"/>
    <w:rsid w:val="00036671"/>
    <w:rsid w:val="00037226"/>
    <w:rsid w:val="0004085B"/>
    <w:rsid w:val="000409E2"/>
    <w:rsid w:val="00044EA1"/>
    <w:rsid w:val="0005322B"/>
    <w:rsid w:val="00054574"/>
    <w:rsid w:val="0005649A"/>
    <w:rsid w:val="00060802"/>
    <w:rsid w:val="00063BB2"/>
    <w:rsid w:val="00065F18"/>
    <w:rsid w:val="00067005"/>
    <w:rsid w:val="00076035"/>
    <w:rsid w:val="00076CAF"/>
    <w:rsid w:val="00077013"/>
    <w:rsid w:val="00083B37"/>
    <w:rsid w:val="00091C3A"/>
    <w:rsid w:val="000930AF"/>
    <w:rsid w:val="00094178"/>
    <w:rsid w:val="000A27F5"/>
    <w:rsid w:val="000A5733"/>
    <w:rsid w:val="000C0509"/>
    <w:rsid w:val="000C2E09"/>
    <w:rsid w:val="000D2109"/>
    <w:rsid w:val="000D44C4"/>
    <w:rsid w:val="000D61F6"/>
    <w:rsid w:val="000E3240"/>
    <w:rsid w:val="000E491E"/>
    <w:rsid w:val="000E677B"/>
    <w:rsid w:val="000F4ADF"/>
    <w:rsid w:val="000F61AF"/>
    <w:rsid w:val="0010171C"/>
    <w:rsid w:val="00102FAD"/>
    <w:rsid w:val="00104CB8"/>
    <w:rsid w:val="00112557"/>
    <w:rsid w:val="00121870"/>
    <w:rsid w:val="00126FDE"/>
    <w:rsid w:val="001308A0"/>
    <w:rsid w:val="0013703F"/>
    <w:rsid w:val="001373C5"/>
    <w:rsid w:val="00140ED2"/>
    <w:rsid w:val="00143A6C"/>
    <w:rsid w:val="00143E7C"/>
    <w:rsid w:val="0014415C"/>
    <w:rsid w:val="0014565E"/>
    <w:rsid w:val="00151CB9"/>
    <w:rsid w:val="001536C9"/>
    <w:rsid w:val="00154CAF"/>
    <w:rsid w:val="00161191"/>
    <w:rsid w:val="00162800"/>
    <w:rsid w:val="0016433D"/>
    <w:rsid w:val="00172864"/>
    <w:rsid w:val="00184C0F"/>
    <w:rsid w:val="00196AE7"/>
    <w:rsid w:val="001A5F55"/>
    <w:rsid w:val="001B139A"/>
    <w:rsid w:val="001C0031"/>
    <w:rsid w:val="001C0C30"/>
    <w:rsid w:val="001C5D4C"/>
    <w:rsid w:val="001D0111"/>
    <w:rsid w:val="001D7EAE"/>
    <w:rsid w:val="001E49F7"/>
    <w:rsid w:val="001E64FC"/>
    <w:rsid w:val="001F0724"/>
    <w:rsid w:val="001F454B"/>
    <w:rsid w:val="002007DF"/>
    <w:rsid w:val="00201492"/>
    <w:rsid w:val="00205247"/>
    <w:rsid w:val="00205FE8"/>
    <w:rsid w:val="00206BA3"/>
    <w:rsid w:val="002130EF"/>
    <w:rsid w:val="00215160"/>
    <w:rsid w:val="00216897"/>
    <w:rsid w:val="002224B4"/>
    <w:rsid w:val="00224151"/>
    <w:rsid w:val="00225C4B"/>
    <w:rsid w:val="00226D5E"/>
    <w:rsid w:val="00227FA2"/>
    <w:rsid w:val="0023133F"/>
    <w:rsid w:val="00232643"/>
    <w:rsid w:val="002361BB"/>
    <w:rsid w:val="00237A3D"/>
    <w:rsid w:val="00240E83"/>
    <w:rsid w:val="00241B25"/>
    <w:rsid w:val="002502D1"/>
    <w:rsid w:val="00260A17"/>
    <w:rsid w:val="00262E78"/>
    <w:rsid w:val="00270EEC"/>
    <w:rsid w:val="00276964"/>
    <w:rsid w:val="002777D8"/>
    <w:rsid w:val="002806A2"/>
    <w:rsid w:val="00297CC7"/>
    <w:rsid w:val="002A194F"/>
    <w:rsid w:val="002A4BD9"/>
    <w:rsid w:val="002A4FE7"/>
    <w:rsid w:val="002A7723"/>
    <w:rsid w:val="002B1CEB"/>
    <w:rsid w:val="002B3126"/>
    <w:rsid w:val="002B52CC"/>
    <w:rsid w:val="002D3125"/>
    <w:rsid w:val="002D4F42"/>
    <w:rsid w:val="0030084C"/>
    <w:rsid w:val="003039E1"/>
    <w:rsid w:val="003069A2"/>
    <w:rsid w:val="003129BA"/>
    <w:rsid w:val="003144F0"/>
    <w:rsid w:val="003148FC"/>
    <w:rsid w:val="0032132E"/>
    <w:rsid w:val="003220B2"/>
    <w:rsid w:val="00330820"/>
    <w:rsid w:val="003465C8"/>
    <w:rsid w:val="00351BEA"/>
    <w:rsid w:val="003562F8"/>
    <w:rsid w:val="0037016B"/>
    <w:rsid w:val="00370365"/>
    <w:rsid w:val="00370FC0"/>
    <w:rsid w:val="00373206"/>
    <w:rsid w:val="003737ED"/>
    <w:rsid w:val="00375B80"/>
    <w:rsid w:val="00377352"/>
    <w:rsid w:val="00382170"/>
    <w:rsid w:val="0039113D"/>
    <w:rsid w:val="003A10DA"/>
    <w:rsid w:val="003A12C8"/>
    <w:rsid w:val="003A6FFE"/>
    <w:rsid w:val="003A7695"/>
    <w:rsid w:val="003B3A23"/>
    <w:rsid w:val="003B6592"/>
    <w:rsid w:val="003C772C"/>
    <w:rsid w:val="003F2939"/>
    <w:rsid w:val="003F2B58"/>
    <w:rsid w:val="003F5886"/>
    <w:rsid w:val="003F5DCC"/>
    <w:rsid w:val="0040020C"/>
    <w:rsid w:val="00401CA0"/>
    <w:rsid w:val="0040700B"/>
    <w:rsid w:val="00407F54"/>
    <w:rsid w:val="00410501"/>
    <w:rsid w:val="00411341"/>
    <w:rsid w:val="00413966"/>
    <w:rsid w:val="00415015"/>
    <w:rsid w:val="00415337"/>
    <w:rsid w:val="00415CDB"/>
    <w:rsid w:val="00416115"/>
    <w:rsid w:val="004231DC"/>
    <w:rsid w:val="0042551E"/>
    <w:rsid w:val="00433AD8"/>
    <w:rsid w:val="004346D3"/>
    <w:rsid w:val="00436E41"/>
    <w:rsid w:val="00437A53"/>
    <w:rsid w:val="00441916"/>
    <w:rsid w:val="004552A0"/>
    <w:rsid w:val="0045721D"/>
    <w:rsid w:val="00457E34"/>
    <w:rsid w:val="00460A83"/>
    <w:rsid w:val="00460B3F"/>
    <w:rsid w:val="004643F4"/>
    <w:rsid w:val="00464752"/>
    <w:rsid w:val="00472A55"/>
    <w:rsid w:val="00476068"/>
    <w:rsid w:val="004763B3"/>
    <w:rsid w:val="00477619"/>
    <w:rsid w:val="00484A3A"/>
    <w:rsid w:val="00486E6E"/>
    <w:rsid w:val="004875DF"/>
    <w:rsid w:val="00487C1D"/>
    <w:rsid w:val="0049194C"/>
    <w:rsid w:val="00494AE9"/>
    <w:rsid w:val="00494C6F"/>
    <w:rsid w:val="004973F3"/>
    <w:rsid w:val="00497C0C"/>
    <w:rsid w:val="004A43E8"/>
    <w:rsid w:val="004A5823"/>
    <w:rsid w:val="004B041E"/>
    <w:rsid w:val="004B0AAF"/>
    <w:rsid w:val="004B214C"/>
    <w:rsid w:val="004B3924"/>
    <w:rsid w:val="004B3B7A"/>
    <w:rsid w:val="004B4046"/>
    <w:rsid w:val="004B427B"/>
    <w:rsid w:val="004C32E4"/>
    <w:rsid w:val="004C4DDD"/>
    <w:rsid w:val="004C5F40"/>
    <w:rsid w:val="004C6953"/>
    <w:rsid w:val="004C7001"/>
    <w:rsid w:val="004D1706"/>
    <w:rsid w:val="004D243F"/>
    <w:rsid w:val="004D3AEF"/>
    <w:rsid w:val="004D7473"/>
    <w:rsid w:val="004E178D"/>
    <w:rsid w:val="004F24A0"/>
    <w:rsid w:val="004F2E8A"/>
    <w:rsid w:val="004F4F3C"/>
    <w:rsid w:val="004F55E1"/>
    <w:rsid w:val="00501C4B"/>
    <w:rsid w:val="005028A7"/>
    <w:rsid w:val="0050299F"/>
    <w:rsid w:val="00504723"/>
    <w:rsid w:val="005078B7"/>
    <w:rsid w:val="00510D73"/>
    <w:rsid w:val="00512ACB"/>
    <w:rsid w:val="0052216D"/>
    <w:rsid w:val="00526115"/>
    <w:rsid w:val="005329DD"/>
    <w:rsid w:val="00533097"/>
    <w:rsid w:val="00533FAF"/>
    <w:rsid w:val="005366B6"/>
    <w:rsid w:val="00554BCD"/>
    <w:rsid w:val="00555F60"/>
    <w:rsid w:val="005605A5"/>
    <w:rsid w:val="00560B3C"/>
    <w:rsid w:val="00561A97"/>
    <w:rsid w:val="00563DAC"/>
    <w:rsid w:val="005675E0"/>
    <w:rsid w:val="00570A71"/>
    <w:rsid w:val="00570C00"/>
    <w:rsid w:val="00576AAA"/>
    <w:rsid w:val="0057734D"/>
    <w:rsid w:val="0058206B"/>
    <w:rsid w:val="00585690"/>
    <w:rsid w:val="00586359"/>
    <w:rsid w:val="00591BDC"/>
    <w:rsid w:val="00593DDC"/>
    <w:rsid w:val="00594AAA"/>
    <w:rsid w:val="00595B33"/>
    <w:rsid w:val="0059662F"/>
    <w:rsid w:val="005B7254"/>
    <w:rsid w:val="005B7B1B"/>
    <w:rsid w:val="005D2AFC"/>
    <w:rsid w:val="005D3066"/>
    <w:rsid w:val="005D7A0F"/>
    <w:rsid w:val="005E4B13"/>
    <w:rsid w:val="005E4C02"/>
    <w:rsid w:val="005E737A"/>
    <w:rsid w:val="005F01DF"/>
    <w:rsid w:val="005F5640"/>
    <w:rsid w:val="005F76CC"/>
    <w:rsid w:val="005F7FF8"/>
    <w:rsid w:val="006004C4"/>
    <w:rsid w:val="00600CA4"/>
    <w:rsid w:val="00602416"/>
    <w:rsid w:val="006025CE"/>
    <w:rsid w:val="00603635"/>
    <w:rsid w:val="006041F2"/>
    <w:rsid w:val="006059CE"/>
    <w:rsid w:val="006064F5"/>
    <w:rsid w:val="00612AB4"/>
    <w:rsid w:val="00617298"/>
    <w:rsid w:val="006221E5"/>
    <w:rsid w:val="00623CBD"/>
    <w:rsid w:val="00635DE4"/>
    <w:rsid w:val="00637753"/>
    <w:rsid w:val="00657694"/>
    <w:rsid w:val="00660CE4"/>
    <w:rsid w:val="00662716"/>
    <w:rsid w:val="0066313E"/>
    <w:rsid w:val="00664521"/>
    <w:rsid w:val="006651F3"/>
    <w:rsid w:val="00676C9F"/>
    <w:rsid w:val="00677B13"/>
    <w:rsid w:val="00677F4E"/>
    <w:rsid w:val="00677F8A"/>
    <w:rsid w:val="00681A08"/>
    <w:rsid w:val="006823E4"/>
    <w:rsid w:val="00685ECF"/>
    <w:rsid w:val="006875B8"/>
    <w:rsid w:val="00687CEA"/>
    <w:rsid w:val="00694E01"/>
    <w:rsid w:val="00695171"/>
    <w:rsid w:val="00695B75"/>
    <w:rsid w:val="006A1A95"/>
    <w:rsid w:val="006A2AC3"/>
    <w:rsid w:val="006A38B7"/>
    <w:rsid w:val="006A5C31"/>
    <w:rsid w:val="006B09CA"/>
    <w:rsid w:val="006B1CB2"/>
    <w:rsid w:val="006B1DD1"/>
    <w:rsid w:val="006B3396"/>
    <w:rsid w:val="006B4FE7"/>
    <w:rsid w:val="006C195E"/>
    <w:rsid w:val="006D638F"/>
    <w:rsid w:val="006D7384"/>
    <w:rsid w:val="006E00CC"/>
    <w:rsid w:val="006E7BF7"/>
    <w:rsid w:val="006F0C04"/>
    <w:rsid w:val="00702F2C"/>
    <w:rsid w:val="007068C8"/>
    <w:rsid w:val="00707221"/>
    <w:rsid w:val="00715B8F"/>
    <w:rsid w:val="00721D36"/>
    <w:rsid w:val="0073106E"/>
    <w:rsid w:val="0075440D"/>
    <w:rsid w:val="00755142"/>
    <w:rsid w:val="007564FB"/>
    <w:rsid w:val="00756709"/>
    <w:rsid w:val="00756BB7"/>
    <w:rsid w:val="0075764B"/>
    <w:rsid w:val="00760C01"/>
    <w:rsid w:val="00761293"/>
    <w:rsid w:val="00762B70"/>
    <w:rsid w:val="00767C04"/>
    <w:rsid w:val="007736A2"/>
    <w:rsid w:val="00781CFB"/>
    <w:rsid w:val="007A6226"/>
    <w:rsid w:val="007B3AC7"/>
    <w:rsid w:val="007B3C61"/>
    <w:rsid w:val="007B3E9C"/>
    <w:rsid w:val="007D1918"/>
    <w:rsid w:val="007D1FD9"/>
    <w:rsid w:val="007D41EC"/>
    <w:rsid w:val="007E5535"/>
    <w:rsid w:val="007F03F2"/>
    <w:rsid w:val="008031DF"/>
    <w:rsid w:val="008065D7"/>
    <w:rsid w:val="00810B25"/>
    <w:rsid w:val="008111A3"/>
    <w:rsid w:val="00816E30"/>
    <w:rsid w:val="0082264B"/>
    <w:rsid w:val="00823A2F"/>
    <w:rsid w:val="00824089"/>
    <w:rsid w:val="0082765B"/>
    <w:rsid w:val="00834B76"/>
    <w:rsid w:val="008352B1"/>
    <w:rsid w:val="008353E7"/>
    <w:rsid w:val="00835AFC"/>
    <w:rsid w:val="00835BD7"/>
    <w:rsid w:val="008428E8"/>
    <w:rsid w:val="00843D71"/>
    <w:rsid w:val="0084477E"/>
    <w:rsid w:val="00846F11"/>
    <w:rsid w:val="0084745A"/>
    <w:rsid w:val="008504D0"/>
    <w:rsid w:val="0085093C"/>
    <w:rsid w:val="008642E0"/>
    <w:rsid w:val="00870045"/>
    <w:rsid w:val="0087423E"/>
    <w:rsid w:val="00875228"/>
    <w:rsid w:val="00876E5F"/>
    <w:rsid w:val="008772FC"/>
    <w:rsid w:val="00884A12"/>
    <w:rsid w:val="00890CE4"/>
    <w:rsid w:val="00891ED7"/>
    <w:rsid w:val="008B00C0"/>
    <w:rsid w:val="008B7B54"/>
    <w:rsid w:val="008C3187"/>
    <w:rsid w:val="008C5E4F"/>
    <w:rsid w:val="008D3027"/>
    <w:rsid w:val="008D63B7"/>
    <w:rsid w:val="008D6A03"/>
    <w:rsid w:val="008D6CA7"/>
    <w:rsid w:val="008E1003"/>
    <w:rsid w:val="008E508C"/>
    <w:rsid w:val="008E7FEE"/>
    <w:rsid w:val="008F0B59"/>
    <w:rsid w:val="008F2C13"/>
    <w:rsid w:val="008F2F06"/>
    <w:rsid w:val="008F31F5"/>
    <w:rsid w:val="008F52B9"/>
    <w:rsid w:val="008F67F5"/>
    <w:rsid w:val="008F6BCE"/>
    <w:rsid w:val="00900D4B"/>
    <w:rsid w:val="00905F9B"/>
    <w:rsid w:val="00906F0A"/>
    <w:rsid w:val="00913E95"/>
    <w:rsid w:val="009170B9"/>
    <w:rsid w:val="00921E63"/>
    <w:rsid w:val="00923A87"/>
    <w:rsid w:val="00927482"/>
    <w:rsid w:val="00931A4C"/>
    <w:rsid w:val="00932B51"/>
    <w:rsid w:val="00936FF5"/>
    <w:rsid w:val="00945ECB"/>
    <w:rsid w:val="0094654B"/>
    <w:rsid w:val="0095112B"/>
    <w:rsid w:val="0095564C"/>
    <w:rsid w:val="0095712A"/>
    <w:rsid w:val="00970AD3"/>
    <w:rsid w:val="009734CF"/>
    <w:rsid w:val="00973A6D"/>
    <w:rsid w:val="009804E0"/>
    <w:rsid w:val="00983735"/>
    <w:rsid w:val="009865AA"/>
    <w:rsid w:val="00987080"/>
    <w:rsid w:val="0098765A"/>
    <w:rsid w:val="00987E5B"/>
    <w:rsid w:val="00991620"/>
    <w:rsid w:val="0099633A"/>
    <w:rsid w:val="009968B0"/>
    <w:rsid w:val="009A4CED"/>
    <w:rsid w:val="009A6CB2"/>
    <w:rsid w:val="009A7D32"/>
    <w:rsid w:val="009B0218"/>
    <w:rsid w:val="009B0982"/>
    <w:rsid w:val="009B4C99"/>
    <w:rsid w:val="009B56F3"/>
    <w:rsid w:val="009C13FB"/>
    <w:rsid w:val="009C60AC"/>
    <w:rsid w:val="009C6A4E"/>
    <w:rsid w:val="009C7717"/>
    <w:rsid w:val="009D28CF"/>
    <w:rsid w:val="009E5D36"/>
    <w:rsid w:val="009E6375"/>
    <w:rsid w:val="009E7CA0"/>
    <w:rsid w:val="009F0013"/>
    <w:rsid w:val="00A00CD0"/>
    <w:rsid w:val="00A04392"/>
    <w:rsid w:val="00A069CE"/>
    <w:rsid w:val="00A07959"/>
    <w:rsid w:val="00A109D8"/>
    <w:rsid w:val="00A15307"/>
    <w:rsid w:val="00A16003"/>
    <w:rsid w:val="00A167D7"/>
    <w:rsid w:val="00A172F7"/>
    <w:rsid w:val="00A23D39"/>
    <w:rsid w:val="00A23EC2"/>
    <w:rsid w:val="00A24FBB"/>
    <w:rsid w:val="00A30EA4"/>
    <w:rsid w:val="00A3453E"/>
    <w:rsid w:val="00A42ED2"/>
    <w:rsid w:val="00A433A1"/>
    <w:rsid w:val="00A44B33"/>
    <w:rsid w:val="00A46D50"/>
    <w:rsid w:val="00A477E7"/>
    <w:rsid w:val="00A50E00"/>
    <w:rsid w:val="00A52529"/>
    <w:rsid w:val="00A53624"/>
    <w:rsid w:val="00A5435C"/>
    <w:rsid w:val="00A55EAF"/>
    <w:rsid w:val="00A5766B"/>
    <w:rsid w:val="00A746D4"/>
    <w:rsid w:val="00A76337"/>
    <w:rsid w:val="00A77512"/>
    <w:rsid w:val="00A81974"/>
    <w:rsid w:val="00A85AB9"/>
    <w:rsid w:val="00A863E3"/>
    <w:rsid w:val="00A94161"/>
    <w:rsid w:val="00A97BFB"/>
    <w:rsid w:val="00AB0BBC"/>
    <w:rsid w:val="00AB3A92"/>
    <w:rsid w:val="00AB478B"/>
    <w:rsid w:val="00AB47AC"/>
    <w:rsid w:val="00AB4AD9"/>
    <w:rsid w:val="00AB6C62"/>
    <w:rsid w:val="00AC2AED"/>
    <w:rsid w:val="00AC6863"/>
    <w:rsid w:val="00AC7D06"/>
    <w:rsid w:val="00AD6E77"/>
    <w:rsid w:val="00AD7A25"/>
    <w:rsid w:val="00AE2666"/>
    <w:rsid w:val="00AE3A8D"/>
    <w:rsid w:val="00AE478C"/>
    <w:rsid w:val="00AF3A5A"/>
    <w:rsid w:val="00AF3E15"/>
    <w:rsid w:val="00AF5218"/>
    <w:rsid w:val="00AF60A0"/>
    <w:rsid w:val="00B01A6F"/>
    <w:rsid w:val="00B0480E"/>
    <w:rsid w:val="00B06E5C"/>
    <w:rsid w:val="00B1026A"/>
    <w:rsid w:val="00B15691"/>
    <w:rsid w:val="00B21166"/>
    <w:rsid w:val="00B25C60"/>
    <w:rsid w:val="00B263AE"/>
    <w:rsid w:val="00B2714A"/>
    <w:rsid w:val="00B27F2D"/>
    <w:rsid w:val="00B33A6C"/>
    <w:rsid w:val="00B41CD3"/>
    <w:rsid w:val="00B42F17"/>
    <w:rsid w:val="00B43A02"/>
    <w:rsid w:val="00B47091"/>
    <w:rsid w:val="00B56534"/>
    <w:rsid w:val="00B57A21"/>
    <w:rsid w:val="00B60791"/>
    <w:rsid w:val="00B61F26"/>
    <w:rsid w:val="00B62C3E"/>
    <w:rsid w:val="00B645DE"/>
    <w:rsid w:val="00B65857"/>
    <w:rsid w:val="00B66698"/>
    <w:rsid w:val="00B745DC"/>
    <w:rsid w:val="00B84350"/>
    <w:rsid w:val="00B855A6"/>
    <w:rsid w:val="00B91098"/>
    <w:rsid w:val="00B91904"/>
    <w:rsid w:val="00B92735"/>
    <w:rsid w:val="00B969ED"/>
    <w:rsid w:val="00BA39A5"/>
    <w:rsid w:val="00BA77F1"/>
    <w:rsid w:val="00BA7C17"/>
    <w:rsid w:val="00BB0D90"/>
    <w:rsid w:val="00BB60C6"/>
    <w:rsid w:val="00BB7984"/>
    <w:rsid w:val="00BC45F7"/>
    <w:rsid w:val="00BC6A06"/>
    <w:rsid w:val="00BD0E02"/>
    <w:rsid w:val="00BD137C"/>
    <w:rsid w:val="00BE3BC7"/>
    <w:rsid w:val="00BE67AB"/>
    <w:rsid w:val="00BF1AB7"/>
    <w:rsid w:val="00BF7FE9"/>
    <w:rsid w:val="00C00A27"/>
    <w:rsid w:val="00C03596"/>
    <w:rsid w:val="00C05EEC"/>
    <w:rsid w:val="00C15A13"/>
    <w:rsid w:val="00C238D9"/>
    <w:rsid w:val="00C24A9D"/>
    <w:rsid w:val="00C2531D"/>
    <w:rsid w:val="00C2677E"/>
    <w:rsid w:val="00C26DD4"/>
    <w:rsid w:val="00C26F72"/>
    <w:rsid w:val="00C31542"/>
    <w:rsid w:val="00C5028E"/>
    <w:rsid w:val="00C51A95"/>
    <w:rsid w:val="00C54E78"/>
    <w:rsid w:val="00C6078D"/>
    <w:rsid w:val="00C657CF"/>
    <w:rsid w:val="00C7795B"/>
    <w:rsid w:val="00C77C02"/>
    <w:rsid w:val="00C80D62"/>
    <w:rsid w:val="00C8388B"/>
    <w:rsid w:val="00C84944"/>
    <w:rsid w:val="00C90217"/>
    <w:rsid w:val="00C96BFD"/>
    <w:rsid w:val="00C96C98"/>
    <w:rsid w:val="00CA49F0"/>
    <w:rsid w:val="00CA5358"/>
    <w:rsid w:val="00CA5D39"/>
    <w:rsid w:val="00CB0B17"/>
    <w:rsid w:val="00CB15B8"/>
    <w:rsid w:val="00CB1DCA"/>
    <w:rsid w:val="00CD4304"/>
    <w:rsid w:val="00CD4C07"/>
    <w:rsid w:val="00CD502A"/>
    <w:rsid w:val="00CE012E"/>
    <w:rsid w:val="00CE12D0"/>
    <w:rsid w:val="00CE1B60"/>
    <w:rsid w:val="00CE4BDE"/>
    <w:rsid w:val="00CE668F"/>
    <w:rsid w:val="00CE6C5C"/>
    <w:rsid w:val="00CF12CF"/>
    <w:rsid w:val="00CF346B"/>
    <w:rsid w:val="00CF3D34"/>
    <w:rsid w:val="00CF4BE3"/>
    <w:rsid w:val="00D060D2"/>
    <w:rsid w:val="00D10946"/>
    <w:rsid w:val="00D13E2D"/>
    <w:rsid w:val="00D14394"/>
    <w:rsid w:val="00D14499"/>
    <w:rsid w:val="00D14A35"/>
    <w:rsid w:val="00D242CD"/>
    <w:rsid w:val="00D26F74"/>
    <w:rsid w:val="00D341C3"/>
    <w:rsid w:val="00D42843"/>
    <w:rsid w:val="00D44B05"/>
    <w:rsid w:val="00D5152A"/>
    <w:rsid w:val="00D560EB"/>
    <w:rsid w:val="00D65145"/>
    <w:rsid w:val="00D71DBB"/>
    <w:rsid w:val="00D73D87"/>
    <w:rsid w:val="00D741AE"/>
    <w:rsid w:val="00D74314"/>
    <w:rsid w:val="00D81410"/>
    <w:rsid w:val="00D86344"/>
    <w:rsid w:val="00D86FC0"/>
    <w:rsid w:val="00D92281"/>
    <w:rsid w:val="00D92505"/>
    <w:rsid w:val="00D92B66"/>
    <w:rsid w:val="00D96D45"/>
    <w:rsid w:val="00D96DCD"/>
    <w:rsid w:val="00DA267C"/>
    <w:rsid w:val="00DA27B3"/>
    <w:rsid w:val="00DA5101"/>
    <w:rsid w:val="00DA669F"/>
    <w:rsid w:val="00DA7477"/>
    <w:rsid w:val="00DA79EF"/>
    <w:rsid w:val="00DB0C0B"/>
    <w:rsid w:val="00DB3B74"/>
    <w:rsid w:val="00DB5979"/>
    <w:rsid w:val="00DC5870"/>
    <w:rsid w:val="00DC652D"/>
    <w:rsid w:val="00DD0384"/>
    <w:rsid w:val="00DD0901"/>
    <w:rsid w:val="00DD4AB0"/>
    <w:rsid w:val="00DE16B6"/>
    <w:rsid w:val="00DE3323"/>
    <w:rsid w:val="00DE36CA"/>
    <w:rsid w:val="00DE7E63"/>
    <w:rsid w:val="00DF099E"/>
    <w:rsid w:val="00DF73D7"/>
    <w:rsid w:val="00DF77A2"/>
    <w:rsid w:val="00E00C3E"/>
    <w:rsid w:val="00E05384"/>
    <w:rsid w:val="00E11D08"/>
    <w:rsid w:val="00E30A76"/>
    <w:rsid w:val="00E367C5"/>
    <w:rsid w:val="00E37E71"/>
    <w:rsid w:val="00E423BE"/>
    <w:rsid w:val="00E42486"/>
    <w:rsid w:val="00E42847"/>
    <w:rsid w:val="00E46064"/>
    <w:rsid w:val="00E51032"/>
    <w:rsid w:val="00E512A0"/>
    <w:rsid w:val="00E52620"/>
    <w:rsid w:val="00E56462"/>
    <w:rsid w:val="00E604A1"/>
    <w:rsid w:val="00E7293C"/>
    <w:rsid w:val="00E73AA8"/>
    <w:rsid w:val="00E76812"/>
    <w:rsid w:val="00E80228"/>
    <w:rsid w:val="00E828C1"/>
    <w:rsid w:val="00E86D2A"/>
    <w:rsid w:val="00E8711A"/>
    <w:rsid w:val="00E9549B"/>
    <w:rsid w:val="00EA2ED4"/>
    <w:rsid w:val="00EA491A"/>
    <w:rsid w:val="00EB0033"/>
    <w:rsid w:val="00EB0C9E"/>
    <w:rsid w:val="00EB1583"/>
    <w:rsid w:val="00EB54A9"/>
    <w:rsid w:val="00EC23FB"/>
    <w:rsid w:val="00EC49DC"/>
    <w:rsid w:val="00EC7017"/>
    <w:rsid w:val="00ED0BE8"/>
    <w:rsid w:val="00ED4356"/>
    <w:rsid w:val="00ED7681"/>
    <w:rsid w:val="00EE10D5"/>
    <w:rsid w:val="00EE173C"/>
    <w:rsid w:val="00EE243C"/>
    <w:rsid w:val="00EF63C6"/>
    <w:rsid w:val="00F034FB"/>
    <w:rsid w:val="00F05606"/>
    <w:rsid w:val="00F105F5"/>
    <w:rsid w:val="00F1075A"/>
    <w:rsid w:val="00F14CFC"/>
    <w:rsid w:val="00F205B5"/>
    <w:rsid w:val="00F22E82"/>
    <w:rsid w:val="00F2483A"/>
    <w:rsid w:val="00F30089"/>
    <w:rsid w:val="00F30665"/>
    <w:rsid w:val="00F337BF"/>
    <w:rsid w:val="00F33B87"/>
    <w:rsid w:val="00F33D14"/>
    <w:rsid w:val="00F34AB8"/>
    <w:rsid w:val="00F35A04"/>
    <w:rsid w:val="00F40D28"/>
    <w:rsid w:val="00F473B6"/>
    <w:rsid w:val="00F52E57"/>
    <w:rsid w:val="00F53E06"/>
    <w:rsid w:val="00F54188"/>
    <w:rsid w:val="00F54CC0"/>
    <w:rsid w:val="00F727A5"/>
    <w:rsid w:val="00F847A9"/>
    <w:rsid w:val="00FA3D61"/>
    <w:rsid w:val="00FA4F82"/>
    <w:rsid w:val="00FA5FE9"/>
    <w:rsid w:val="00FA67D2"/>
    <w:rsid w:val="00FB1990"/>
    <w:rsid w:val="00FB302F"/>
    <w:rsid w:val="00FB5A92"/>
    <w:rsid w:val="00FC1C69"/>
    <w:rsid w:val="00FC3739"/>
    <w:rsid w:val="00FC3778"/>
    <w:rsid w:val="00FC4270"/>
    <w:rsid w:val="00FD00D8"/>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4FBDEAEC"/>
  <w15:chartTrackingRefBased/>
  <w15:docId w15:val="{46539035-3757-4751-918A-896DC7B69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67AB"/>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0"/>
      </w:numPr>
      <w:spacing w:after="120"/>
    </w:pPr>
  </w:style>
  <w:style w:type="paragraph" w:customStyle="1" w:styleId="Numberedpara1level4i">
    <w:name w:val="Numbered para (1) level 4 (i)"/>
    <w:basedOn w:val="Normal"/>
    <w:semiHidden/>
    <w:rsid w:val="00065F18"/>
    <w:pPr>
      <w:numPr>
        <w:ilvl w:val="3"/>
        <w:numId w:val="20"/>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8"/>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8"/>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8"/>
      </w:numPr>
      <w:spacing w:before="60" w:after="60"/>
    </w:pPr>
    <w:rPr>
      <w:sz w:val="22"/>
    </w:rPr>
  </w:style>
  <w:style w:type="paragraph" w:customStyle="1" w:styleId="Legislationi">
    <w:name w:val="Legislation (i)"/>
    <w:basedOn w:val="Normal"/>
    <w:semiHidden/>
    <w:qFormat/>
    <w:rsid w:val="00065F18"/>
    <w:pPr>
      <w:numPr>
        <w:ilvl w:val="3"/>
        <w:numId w:val="18"/>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19"/>
      </w:numPr>
      <w:spacing w:after="120"/>
    </w:pPr>
  </w:style>
  <w:style w:type="paragraph" w:customStyle="1" w:styleId="Numberedpara2level2a">
    <w:name w:val="Numbered para (2) level 2 (a)"/>
    <w:basedOn w:val="Normal"/>
    <w:semiHidden/>
    <w:qFormat/>
    <w:rsid w:val="00065F18"/>
    <w:pPr>
      <w:numPr>
        <w:ilvl w:val="1"/>
        <w:numId w:val="19"/>
      </w:numPr>
      <w:spacing w:after="120"/>
    </w:pPr>
  </w:style>
  <w:style w:type="paragraph" w:customStyle="1" w:styleId="Numberedpara2level3i">
    <w:name w:val="Numbered para (2) level 3 (i)"/>
    <w:basedOn w:val="Normal"/>
    <w:semiHidden/>
    <w:qFormat/>
    <w:rsid w:val="00065F18"/>
    <w:pPr>
      <w:numPr>
        <w:ilvl w:val="2"/>
        <w:numId w:val="19"/>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0"/>
      </w:numPr>
      <w:spacing w:after="120"/>
    </w:pPr>
  </w:style>
  <w:style w:type="paragraph" w:customStyle="1" w:styleId="Numberedpara11headingwithnumber">
    <w:name w:val="Numbered para (1) 1 (heading with number)"/>
    <w:basedOn w:val="Normal"/>
    <w:semiHidden/>
    <w:qFormat/>
    <w:rsid w:val="00ED4356"/>
    <w:pPr>
      <w:keepNext/>
      <w:numPr>
        <w:numId w:val="20"/>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1"/>
      </w:numPr>
      <w:spacing w:after="120"/>
    </w:pPr>
  </w:style>
  <w:style w:type="paragraph" w:customStyle="1" w:styleId="Numberedpara3level211">
    <w:name w:val="Numbered para (3) level 2 (1.1)"/>
    <w:basedOn w:val="Normal"/>
    <w:semiHidden/>
    <w:qFormat/>
    <w:rsid w:val="004F2E8A"/>
    <w:pPr>
      <w:numPr>
        <w:ilvl w:val="1"/>
        <w:numId w:val="21"/>
      </w:numPr>
      <w:spacing w:after="120"/>
    </w:pPr>
  </w:style>
  <w:style w:type="paragraph" w:customStyle="1" w:styleId="Numberedpara3level3111">
    <w:name w:val="Numbered para (3) level 3 (1.1.1)"/>
    <w:basedOn w:val="Normal"/>
    <w:semiHidden/>
    <w:qFormat/>
    <w:rsid w:val="004F2E8A"/>
    <w:pPr>
      <w:numPr>
        <w:ilvl w:val="2"/>
        <w:numId w:val="21"/>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character" w:customStyle="1" w:styleId="label3">
    <w:name w:val="label3"/>
    <w:basedOn w:val="DefaultParagraphFont"/>
    <w:rsid w:val="00BE67AB"/>
  </w:style>
  <w:style w:type="paragraph" w:customStyle="1" w:styleId="text5">
    <w:name w:val="text5"/>
    <w:basedOn w:val="Normal"/>
    <w:rsid w:val="00BE67AB"/>
    <w:pPr>
      <w:keepLines w:val="0"/>
      <w:spacing w:before="83" w:after="216" w:line="288" w:lineRule="atLeast"/>
    </w:pPr>
    <w:rPr>
      <w:rFonts w:ascii="Times New Roman" w:eastAsia="Times New Roman" w:hAnsi="Times New Roman"/>
      <w:lang w:eastAsia="en-NZ"/>
    </w:rPr>
  </w:style>
  <w:style w:type="paragraph" w:styleId="CommentText">
    <w:name w:val="annotation text"/>
    <w:basedOn w:val="Normal"/>
    <w:link w:val="CommentTextChar"/>
    <w:uiPriority w:val="99"/>
    <w:semiHidden/>
    <w:unhideWhenUsed/>
    <w:rsid w:val="00D86FC0"/>
    <w:rPr>
      <w:sz w:val="20"/>
      <w:szCs w:val="20"/>
    </w:rPr>
  </w:style>
  <w:style w:type="character" w:customStyle="1" w:styleId="CommentTextChar">
    <w:name w:val="Comment Text Char"/>
    <w:basedOn w:val="DefaultParagraphFont"/>
    <w:link w:val="CommentText"/>
    <w:uiPriority w:val="99"/>
    <w:semiHidden/>
    <w:rsid w:val="00D86FC0"/>
    <w:rPr>
      <w:sz w:val="20"/>
      <w:szCs w:val="20"/>
      <w:lang w:eastAsia="en-US"/>
    </w:rPr>
  </w:style>
  <w:style w:type="paragraph" w:styleId="CommentSubject">
    <w:name w:val="annotation subject"/>
    <w:basedOn w:val="CommentText"/>
    <w:next w:val="CommentText"/>
    <w:link w:val="CommentSubjectChar"/>
    <w:uiPriority w:val="99"/>
    <w:semiHidden/>
    <w:unhideWhenUsed/>
    <w:rsid w:val="00D86FC0"/>
    <w:rPr>
      <w:b/>
      <w:bCs/>
    </w:rPr>
  </w:style>
  <w:style w:type="character" w:customStyle="1" w:styleId="CommentSubjectChar">
    <w:name w:val="Comment Subject Char"/>
    <w:basedOn w:val="CommentTextChar"/>
    <w:link w:val="CommentSubject"/>
    <w:uiPriority w:val="99"/>
    <w:semiHidden/>
    <w:rsid w:val="00D86FC0"/>
    <w:rPr>
      <w:b/>
      <w:bCs/>
      <w:sz w:val="20"/>
      <w:szCs w:val="20"/>
      <w:lang w:eastAsia="en-US"/>
    </w:rPr>
  </w:style>
  <w:style w:type="paragraph" w:customStyle="1" w:styleId="Default">
    <w:name w:val="Default"/>
    <w:rsid w:val="00FC3778"/>
    <w:pPr>
      <w:autoSpaceDE w:val="0"/>
      <w:autoSpaceDN w:val="0"/>
      <w:adjustRightInd w:val="0"/>
      <w:spacing w:before="0" w:after="0"/>
    </w:pPr>
    <w:rPr>
      <w:rFonts w:ascii="Arial" w:hAnsi="Arial" w:cs="Arial"/>
      <w:color w:val="000000"/>
    </w:rPr>
  </w:style>
  <w:style w:type="paragraph" w:customStyle="1" w:styleId="paragraph">
    <w:name w:val="paragraph"/>
    <w:basedOn w:val="Normal"/>
    <w:rsid w:val="00EE10D5"/>
    <w:pPr>
      <w:keepLines w:val="0"/>
      <w:spacing w:before="100" w:beforeAutospacing="1" w:after="100" w:afterAutospacing="1"/>
    </w:pPr>
    <w:rPr>
      <w:rFonts w:ascii="Times New Roman" w:eastAsia="Times New Roman" w:hAnsi="Times New Roman"/>
      <w:lang w:eastAsia="en-NZ"/>
    </w:rPr>
  </w:style>
  <w:style w:type="character" w:customStyle="1" w:styleId="normaltextrun">
    <w:name w:val="normaltextrun"/>
    <w:basedOn w:val="DefaultParagraphFont"/>
    <w:rsid w:val="00EE10D5"/>
  </w:style>
  <w:style w:type="character" w:customStyle="1" w:styleId="eop">
    <w:name w:val="eop"/>
    <w:basedOn w:val="DefaultParagraphFont"/>
    <w:rsid w:val="00EE10D5"/>
  </w:style>
  <w:style w:type="paragraph" w:customStyle="1" w:styleId="xmsonormal">
    <w:name w:val="x_msonormal"/>
    <w:basedOn w:val="Normal"/>
    <w:rsid w:val="00C77C02"/>
    <w:pPr>
      <w:keepLines w:val="0"/>
      <w:spacing w:before="0" w:after="0"/>
    </w:pPr>
    <w:rPr>
      <w:rFonts w:cs="Calibri"/>
      <w:sz w:val="22"/>
      <w:szCs w:val="22"/>
      <w:lang w:eastAsia="en-NZ"/>
    </w:rPr>
  </w:style>
  <w:style w:type="paragraph" w:customStyle="1" w:styleId="xmsolistparagraph">
    <w:name w:val="x_msolistparagraph"/>
    <w:basedOn w:val="Normal"/>
    <w:rsid w:val="00C77C02"/>
    <w:pPr>
      <w:keepLines w:val="0"/>
      <w:spacing w:before="0" w:after="0"/>
      <w:ind w:left="720"/>
    </w:pPr>
    <w:rPr>
      <w:rFonts w:cs="Calibri"/>
      <w:sz w:val="22"/>
      <w:szCs w:val="22"/>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31904">
      <w:bodyDiv w:val="1"/>
      <w:marLeft w:val="0"/>
      <w:marRight w:val="0"/>
      <w:marTop w:val="0"/>
      <w:marBottom w:val="0"/>
      <w:divBdr>
        <w:top w:val="none" w:sz="0" w:space="0" w:color="auto"/>
        <w:left w:val="none" w:sz="0" w:space="0" w:color="auto"/>
        <w:bottom w:val="none" w:sz="0" w:space="0" w:color="auto"/>
        <w:right w:val="none" w:sz="0" w:space="0" w:color="auto"/>
      </w:divBdr>
      <w:divsChild>
        <w:div w:id="402800007">
          <w:marLeft w:val="0"/>
          <w:marRight w:val="0"/>
          <w:marTop w:val="0"/>
          <w:marBottom w:val="0"/>
          <w:divBdr>
            <w:top w:val="none" w:sz="0" w:space="0" w:color="auto"/>
            <w:left w:val="none" w:sz="0" w:space="0" w:color="auto"/>
            <w:bottom w:val="none" w:sz="0" w:space="0" w:color="auto"/>
            <w:right w:val="none" w:sz="0" w:space="0" w:color="auto"/>
          </w:divBdr>
          <w:divsChild>
            <w:div w:id="726102518">
              <w:marLeft w:val="0"/>
              <w:marRight w:val="0"/>
              <w:marTop w:val="0"/>
              <w:marBottom w:val="0"/>
              <w:divBdr>
                <w:top w:val="none" w:sz="0" w:space="0" w:color="auto"/>
                <w:left w:val="none" w:sz="0" w:space="0" w:color="auto"/>
                <w:bottom w:val="none" w:sz="0" w:space="0" w:color="auto"/>
                <w:right w:val="none" w:sz="0" w:space="0" w:color="auto"/>
              </w:divBdr>
              <w:divsChild>
                <w:div w:id="1406873971">
                  <w:marLeft w:val="0"/>
                  <w:marRight w:val="0"/>
                  <w:marTop w:val="105"/>
                  <w:marBottom w:val="0"/>
                  <w:divBdr>
                    <w:top w:val="none" w:sz="0" w:space="0" w:color="auto"/>
                    <w:left w:val="none" w:sz="0" w:space="0" w:color="auto"/>
                    <w:bottom w:val="none" w:sz="0" w:space="0" w:color="auto"/>
                    <w:right w:val="none" w:sz="0" w:space="0" w:color="auto"/>
                  </w:divBdr>
                  <w:divsChild>
                    <w:div w:id="614094232">
                      <w:marLeft w:val="450"/>
                      <w:marRight w:val="225"/>
                      <w:marTop w:val="0"/>
                      <w:marBottom w:val="0"/>
                      <w:divBdr>
                        <w:top w:val="none" w:sz="0" w:space="0" w:color="auto"/>
                        <w:left w:val="none" w:sz="0" w:space="0" w:color="auto"/>
                        <w:bottom w:val="none" w:sz="0" w:space="0" w:color="auto"/>
                        <w:right w:val="none" w:sz="0" w:space="0" w:color="auto"/>
                      </w:divBdr>
                      <w:divsChild>
                        <w:div w:id="2134592688">
                          <w:marLeft w:val="0"/>
                          <w:marRight w:val="0"/>
                          <w:marTop w:val="0"/>
                          <w:marBottom w:val="600"/>
                          <w:divBdr>
                            <w:top w:val="single" w:sz="6" w:space="0" w:color="314664"/>
                            <w:left w:val="single" w:sz="6" w:space="0" w:color="314664"/>
                            <w:bottom w:val="single" w:sz="6" w:space="0" w:color="314664"/>
                            <w:right w:val="single" w:sz="6" w:space="0" w:color="314664"/>
                          </w:divBdr>
                          <w:divsChild>
                            <w:div w:id="1119884186">
                              <w:marLeft w:val="0"/>
                              <w:marRight w:val="0"/>
                              <w:marTop w:val="0"/>
                              <w:marBottom w:val="0"/>
                              <w:divBdr>
                                <w:top w:val="none" w:sz="0" w:space="0" w:color="auto"/>
                                <w:left w:val="none" w:sz="0" w:space="0" w:color="auto"/>
                                <w:bottom w:val="none" w:sz="0" w:space="0" w:color="auto"/>
                                <w:right w:val="none" w:sz="0" w:space="0" w:color="auto"/>
                              </w:divBdr>
                              <w:divsChild>
                                <w:div w:id="568536092">
                                  <w:marLeft w:val="0"/>
                                  <w:marRight w:val="0"/>
                                  <w:marTop w:val="0"/>
                                  <w:marBottom w:val="0"/>
                                  <w:divBdr>
                                    <w:top w:val="none" w:sz="0" w:space="0" w:color="auto"/>
                                    <w:left w:val="none" w:sz="0" w:space="0" w:color="auto"/>
                                    <w:bottom w:val="none" w:sz="0" w:space="0" w:color="auto"/>
                                    <w:right w:val="none" w:sz="0" w:space="0" w:color="auto"/>
                                  </w:divBdr>
                                  <w:divsChild>
                                    <w:div w:id="1687361278">
                                      <w:marLeft w:val="0"/>
                                      <w:marRight w:val="0"/>
                                      <w:marTop w:val="0"/>
                                      <w:marBottom w:val="0"/>
                                      <w:divBdr>
                                        <w:top w:val="none" w:sz="0" w:space="0" w:color="auto"/>
                                        <w:left w:val="none" w:sz="0" w:space="0" w:color="auto"/>
                                        <w:bottom w:val="none" w:sz="0" w:space="0" w:color="auto"/>
                                        <w:right w:val="none" w:sz="0" w:space="0" w:color="auto"/>
                                      </w:divBdr>
                                      <w:divsChild>
                                        <w:div w:id="1225212695">
                                          <w:marLeft w:val="0"/>
                                          <w:marRight w:val="0"/>
                                          <w:marTop w:val="0"/>
                                          <w:marBottom w:val="0"/>
                                          <w:divBdr>
                                            <w:top w:val="none" w:sz="0" w:space="0" w:color="auto"/>
                                            <w:left w:val="none" w:sz="0" w:space="0" w:color="auto"/>
                                            <w:bottom w:val="none" w:sz="0" w:space="0" w:color="auto"/>
                                            <w:right w:val="none" w:sz="0" w:space="0" w:color="auto"/>
                                          </w:divBdr>
                                          <w:divsChild>
                                            <w:div w:id="1381051517">
                                              <w:marLeft w:val="0"/>
                                              <w:marRight w:val="0"/>
                                              <w:marTop w:val="0"/>
                                              <w:marBottom w:val="0"/>
                                              <w:divBdr>
                                                <w:top w:val="none" w:sz="0" w:space="0" w:color="auto"/>
                                                <w:left w:val="none" w:sz="0" w:space="0" w:color="auto"/>
                                                <w:bottom w:val="none" w:sz="0" w:space="0" w:color="auto"/>
                                                <w:right w:val="none" w:sz="0" w:space="0" w:color="auto"/>
                                              </w:divBdr>
                                              <w:divsChild>
                                                <w:div w:id="304511240">
                                                  <w:marLeft w:val="0"/>
                                                  <w:marRight w:val="0"/>
                                                  <w:marTop w:val="0"/>
                                                  <w:marBottom w:val="0"/>
                                                  <w:divBdr>
                                                    <w:top w:val="none" w:sz="0" w:space="0" w:color="auto"/>
                                                    <w:left w:val="none" w:sz="0" w:space="0" w:color="auto"/>
                                                    <w:bottom w:val="none" w:sz="0" w:space="0" w:color="auto"/>
                                                    <w:right w:val="none" w:sz="0" w:space="0" w:color="auto"/>
                                                  </w:divBdr>
                                                  <w:divsChild>
                                                    <w:div w:id="948589030">
                                                      <w:marLeft w:val="0"/>
                                                      <w:marRight w:val="0"/>
                                                      <w:marTop w:val="0"/>
                                                      <w:marBottom w:val="0"/>
                                                      <w:divBdr>
                                                        <w:top w:val="none" w:sz="0" w:space="0" w:color="auto"/>
                                                        <w:left w:val="none" w:sz="0" w:space="0" w:color="auto"/>
                                                        <w:bottom w:val="none" w:sz="0" w:space="0" w:color="auto"/>
                                                        <w:right w:val="none" w:sz="0" w:space="0" w:color="auto"/>
                                                      </w:divBdr>
                                                      <w:divsChild>
                                                        <w:div w:id="867525510">
                                                          <w:marLeft w:val="0"/>
                                                          <w:marRight w:val="0"/>
                                                          <w:marTop w:val="0"/>
                                                          <w:marBottom w:val="0"/>
                                                          <w:divBdr>
                                                            <w:top w:val="none" w:sz="0" w:space="0" w:color="auto"/>
                                                            <w:left w:val="none" w:sz="0" w:space="0" w:color="auto"/>
                                                            <w:bottom w:val="none" w:sz="0" w:space="0" w:color="auto"/>
                                                            <w:right w:val="none" w:sz="0" w:space="0" w:color="auto"/>
                                                          </w:divBdr>
                                                          <w:divsChild>
                                                            <w:div w:id="592594867">
                                                              <w:marLeft w:val="0"/>
                                                              <w:marRight w:val="0"/>
                                                              <w:marTop w:val="0"/>
                                                              <w:marBottom w:val="0"/>
                                                              <w:divBdr>
                                                                <w:top w:val="none" w:sz="0" w:space="0" w:color="auto"/>
                                                                <w:left w:val="none" w:sz="0" w:space="0" w:color="auto"/>
                                                                <w:bottom w:val="none" w:sz="0" w:space="0" w:color="auto"/>
                                                                <w:right w:val="none" w:sz="0" w:space="0" w:color="auto"/>
                                                              </w:divBdr>
                                                              <w:divsChild>
                                                                <w:div w:id="1185249816">
                                                                  <w:marLeft w:val="0"/>
                                                                  <w:marRight w:val="0"/>
                                                                  <w:marTop w:val="0"/>
                                                                  <w:marBottom w:val="0"/>
                                                                  <w:divBdr>
                                                                    <w:top w:val="none" w:sz="0" w:space="0" w:color="auto"/>
                                                                    <w:left w:val="none" w:sz="0" w:space="0" w:color="auto"/>
                                                                    <w:bottom w:val="none" w:sz="0" w:space="0" w:color="auto"/>
                                                                    <w:right w:val="none" w:sz="0" w:space="0" w:color="auto"/>
                                                                  </w:divBdr>
                                                                  <w:divsChild>
                                                                    <w:div w:id="324018460">
                                                                      <w:marLeft w:val="0"/>
                                                                      <w:marRight w:val="0"/>
                                                                      <w:marTop w:val="83"/>
                                                                      <w:marBottom w:val="0"/>
                                                                      <w:divBdr>
                                                                        <w:top w:val="none" w:sz="0" w:space="0" w:color="auto"/>
                                                                        <w:left w:val="none" w:sz="0" w:space="0" w:color="auto"/>
                                                                        <w:bottom w:val="none" w:sz="0" w:space="0" w:color="auto"/>
                                                                        <w:right w:val="none" w:sz="0" w:space="0" w:color="auto"/>
                                                                      </w:divBdr>
                                                                      <w:divsChild>
                                                                        <w:div w:id="1101491806">
                                                                          <w:marLeft w:val="0"/>
                                                                          <w:marRight w:val="0"/>
                                                                          <w:marTop w:val="0"/>
                                                                          <w:marBottom w:val="0"/>
                                                                          <w:divBdr>
                                                                            <w:top w:val="none" w:sz="0" w:space="0" w:color="auto"/>
                                                                            <w:left w:val="none" w:sz="0" w:space="0" w:color="auto"/>
                                                                            <w:bottom w:val="none" w:sz="0" w:space="0" w:color="auto"/>
                                                                            <w:right w:val="none" w:sz="0" w:space="0" w:color="auto"/>
                                                                          </w:divBdr>
                                                                          <w:divsChild>
                                                                            <w:div w:id="270430955">
                                                                              <w:marLeft w:val="0"/>
                                                                              <w:marRight w:val="0"/>
                                                                              <w:marTop w:val="83"/>
                                                                              <w:marBottom w:val="0"/>
                                                                              <w:divBdr>
                                                                                <w:top w:val="none" w:sz="0" w:space="0" w:color="auto"/>
                                                                                <w:left w:val="none" w:sz="0" w:space="0" w:color="auto"/>
                                                                                <w:bottom w:val="none" w:sz="0" w:space="0" w:color="auto"/>
                                                                                <w:right w:val="none" w:sz="0" w:space="0" w:color="auto"/>
                                                                              </w:divBdr>
                                                                            </w:div>
                                                                          </w:divsChild>
                                                                        </w:div>
                                                                        <w:div w:id="2101875972">
                                                                          <w:marLeft w:val="0"/>
                                                                          <w:marRight w:val="0"/>
                                                                          <w:marTop w:val="0"/>
                                                                          <w:marBottom w:val="0"/>
                                                                          <w:divBdr>
                                                                            <w:top w:val="none" w:sz="0" w:space="0" w:color="auto"/>
                                                                            <w:left w:val="none" w:sz="0" w:space="0" w:color="auto"/>
                                                                            <w:bottom w:val="none" w:sz="0" w:space="0" w:color="auto"/>
                                                                            <w:right w:val="none" w:sz="0" w:space="0" w:color="auto"/>
                                                                          </w:divBdr>
                                                                          <w:divsChild>
                                                                            <w:div w:id="1131482436">
                                                                              <w:marLeft w:val="0"/>
                                                                              <w:marRight w:val="0"/>
                                                                              <w:marTop w:val="83"/>
                                                                              <w:marBottom w:val="0"/>
                                                                              <w:divBdr>
                                                                                <w:top w:val="none" w:sz="0" w:space="0" w:color="auto"/>
                                                                                <w:left w:val="none" w:sz="0" w:space="0" w:color="auto"/>
                                                                                <w:bottom w:val="none" w:sz="0" w:space="0" w:color="auto"/>
                                                                                <w:right w:val="none" w:sz="0" w:space="0" w:color="auto"/>
                                                                              </w:divBdr>
                                                                            </w:div>
                                                                          </w:divsChild>
                                                                        </w:div>
                                                                        <w:div w:id="2120953348">
                                                                          <w:marLeft w:val="0"/>
                                                                          <w:marRight w:val="0"/>
                                                                          <w:marTop w:val="0"/>
                                                                          <w:marBottom w:val="0"/>
                                                                          <w:divBdr>
                                                                            <w:top w:val="none" w:sz="0" w:space="0" w:color="auto"/>
                                                                            <w:left w:val="none" w:sz="0" w:space="0" w:color="auto"/>
                                                                            <w:bottom w:val="none" w:sz="0" w:space="0" w:color="auto"/>
                                                                            <w:right w:val="none" w:sz="0" w:space="0" w:color="auto"/>
                                                                          </w:divBdr>
                                                                          <w:divsChild>
                                                                            <w:div w:id="1357971526">
                                                                              <w:marLeft w:val="0"/>
                                                                              <w:marRight w:val="0"/>
                                                                              <w:marTop w:val="83"/>
                                                                              <w:marBottom w:val="0"/>
                                                                              <w:divBdr>
                                                                                <w:top w:val="none" w:sz="0" w:space="0" w:color="auto"/>
                                                                                <w:left w:val="none" w:sz="0" w:space="0" w:color="auto"/>
                                                                                <w:bottom w:val="none" w:sz="0" w:space="0" w:color="auto"/>
                                                                                <w:right w:val="none" w:sz="0" w:space="0" w:color="auto"/>
                                                                              </w:divBdr>
                                                                            </w:div>
                                                                          </w:divsChild>
                                                                        </w:div>
                                                                        <w:div w:id="129174552">
                                                                          <w:marLeft w:val="0"/>
                                                                          <w:marRight w:val="0"/>
                                                                          <w:marTop w:val="0"/>
                                                                          <w:marBottom w:val="0"/>
                                                                          <w:divBdr>
                                                                            <w:top w:val="none" w:sz="0" w:space="0" w:color="auto"/>
                                                                            <w:left w:val="none" w:sz="0" w:space="0" w:color="auto"/>
                                                                            <w:bottom w:val="none" w:sz="0" w:space="0" w:color="auto"/>
                                                                            <w:right w:val="none" w:sz="0" w:space="0" w:color="auto"/>
                                                                          </w:divBdr>
                                                                          <w:divsChild>
                                                                            <w:div w:id="1394306152">
                                                                              <w:marLeft w:val="0"/>
                                                                              <w:marRight w:val="0"/>
                                                                              <w:marTop w:val="83"/>
                                                                              <w:marBottom w:val="0"/>
                                                                              <w:divBdr>
                                                                                <w:top w:val="none" w:sz="0" w:space="0" w:color="auto"/>
                                                                                <w:left w:val="none" w:sz="0" w:space="0" w:color="auto"/>
                                                                                <w:bottom w:val="none" w:sz="0" w:space="0" w:color="auto"/>
                                                                                <w:right w:val="none" w:sz="0" w:space="0" w:color="auto"/>
                                                                              </w:divBdr>
                                                                            </w:div>
                                                                          </w:divsChild>
                                                                        </w:div>
                                                                        <w:div w:id="1333099509">
                                                                          <w:marLeft w:val="0"/>
                                                                          <w:marRight w:val="0"/>
                                                                          <w:marTop w:val="0"/>
                                                                          <w:marBottom w:val="0"/>
                                                                          <w:divBdr>
                                                                            <w:top w:val="none" w:sz="0" w:space="0" w:color="auto"/>
                                                                            <w:left w:val="none" w:sz="0" w:space="0" w:color="auto"/>
                                                                            <w:bottom w:val="none" w:sz="0" w:space="0" w:color="auto"/>
                                                                            <w:right w:val="none" w:sz="0" w:space="0" w:color="auto"/>
                                                                          </w:divBdr>
                                                                          <w:divsChild>
                                                                            <w:div w:id="175657915">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7663243">
      <w:bodyDiv w:val="1"/>
      <w:marLeft w:val="0"/>
      <w:marRight w:val="0"/>
      <w:marTop w:val="0"/>
      <w:marBottom w:val="0"/>
      <w:divBdr>
        <w:top w:val="none" w:sz="0" w:space="0" w:color="auto"/>
        <w:left w:val="none" w:sz="0" w:space="0" w:color="auto"/>
        <w:bottom w:val="none" w:sz="0" w:space="0" w:color="auto"/>
        <w:right w:val="none" w:sz="0" w:space="0" w:color="auto"/>
      </w:divBdr>
    </w:div>
    <w:div w:id="346761063">
      <w:bodyDiv w:val="1"/>
      <w:marLeft w:val="0"/>
      <w:marRight w:val="0"/>
      <w:marTop w:val="0"/>
      <w:marBottom w:val="0"/>
      <w:divBdr>
        <w:top w:val="none" w:sz="0" w:space="0" w:color="auto"/>
        <w:left w:val="none" w:sz="0" w:space="0" w:color="auto"/>
        <w:bottom w:val="none" w:sz="0" w:space="0" w:color="auto"/>
        <w:right w:val="none" w:sz="0" w:space="0" w:color="auto"/>
      </w:divBdr>
    </w:div>
    <w:div w:id="375544292">
      <w:bodyDiv w:val="1"/>
      <w:marLeft w:val="0"/>
      <w:marRight w:val="0"/>
      <w:marTop w:val="0"/>
      <w:marBottom w:val="0"/>
      <w:divBdr>
        <w:top w:val="none" w:sz="0" w:space="0" w:color="auto"/>
        <w:left w:val="none" w:sz="0" w:space="0" w:color="auto"/>
        <w:bottom w:val="none" w:sz="0" w:space="0" w:color="auto"/>
        <w:right w:val="none" w:sz="0" w:space="0" w:color="auto"/>
      </w:divBdr>
    </w:div>
    <w:div w:id="551507328">
      <w:bodyDiv w:val="1"/>
      <w:marLeft w:val="0"/>
      <w:marRight w:val="0"/>
      <w:marTop w:val="0"/>
      <w:marBottom w:val="0"/>
      <w:divBdr>
        <w:top w:val="none" w:sz="0" w:space="0" w:color="auto"/>
        <w:left w:val="none" w:sz="0" w:space="0" w:color="auto"/>
        <w:bottom w:val="none" w:sz="0" w:space="0" w:color="auto"/>
        <w:right w:val="none" w:sz="0" w:space="0" w:color="auto"/>
      </w:divBdr>
    </w:div>
    <w:div w:id="685517771">
      <w:bodyDiv w:val="1"/>
      <w:marLeft w:val="0"/>
      <w:marRight w:val="0"/>
      <w:marTop w:val="0"/>
      <w:marBottom w:val="0"/>
      <w:divBdr>
        <w:top w:val="none" w:sz="0" w:space="0" w:color="auto"/>
        <w:left w:val="none" w:sz="0" w:space="0" w:color="auto"/>
        <w:bottom w:val="none" w:sz="0" w:space="0" w:color="auto"/>
        <w:right w:val="none" w:sz="0" w:space="0" w:color="auto"/>
      </w:divBdr>
    </w:div>
    <w:div w:id="696469063">
      <w:bodyDiv w:val="1"/>
      <w:marLeft w:val="0"/>
      <w:marRight w:val="0"/>
      <w:marTop w:val="0"/>
      <w:marBottom w:val="0"/>
      <w:divBdr>
        <w:top w:val="none" w:sz="0" w:space="0" w:color="auto"/>
        <w:left w:val="none" w:sz="0" w:space="0" w:color="auto"/>
        <w:bottom w:val="none" w:sz="0" w:space="0" w:color="auto"/>
        <w:right w:val="none" w:sz="0" w:space="0" w:color="auto"/>
      </w:divBdr>
    </w:div>
    <w:div w:id="947663946">
      <w:bodyDiv w:val="1"/>
      <w:marLeft w:val="0"/>
      <w:marRight w:val="0"/>
      <w:marTop w:val="0"/>
      <w:marBottom w:val="0"/>
      <w:divBdr>
        <w:top w:val="none" w:sz="0" w:space="0" w:color="auto"/>
        <w:left w:val="none" w:sz="0" w:space="0" w:color="auto"/>
        <w:bottom w:val="none" w:sz="0" w:space="0" w:color="auto"/>
        <w:right w:val="none" w:sz="0" w:space="0" w:color="auto"/>
      </w:divBdr>
    </w:div>
    <w:div w:id="1075322481">
      <w:bodyDiv w:val="1"/>
      <w:marLeft w:val="0"/>
      <w:marRight w:val="0"/>
      <w:marTop w:val="0"/>
      <w:marBottom w:val="0"/>
      <w:divBdr>
        <w:top w:val="none" w:sz="0" w:space="0" w:color="auto"/>
        <w:left w:val="none" w:sz="0" w:space="0" w:color="auto"/>
        <w:bottom w:val="none" w:sz="0" w:space="0" w:color="auto"/>
        <w:right w:val="none" w:sz="0" w:space="0" w:color="auto"/>
      </w:divBdr>
    </w:div>
    <w:div w:id="1087069299">
      <w:bodyDiv w:val="1"/>
      <w:marLeft w:val="0"/>
      <w:marRight w:val="0"/>
      <w:marTop w:val="0"/>
      <w:marBottom w:val="0"/>
      <w:divBdr>
        <w:top w:val="none" w:sz="0" w:space="0" w:color="auto"/>
        <w:left w:val="none" w:sz="0" w:space="0" w:color="auto"/>
        <w:bottom w:val="none" w:sz="0" w:space="0" w:color="auto"/>
        <w:right w:val="none" w:sz="0" w:space="0" w:color="auto"/>
      </w:divBdr>
    </w:div>
    <w:div w:id="1258903771">
      <w:bodyDiv w:val="1"/>
      <w:marLeft w:val="0"/>
      <w:marRight w:val="0"/>
      <w:marTop w:val="0"/>
      <w:marBottom w:val="0"/>
      <w:divBdr>
        <w:top w:val="none" w:sz="0" w:space="0" w:color="auto"/>
        <w:left w:val="none" w:sz="0" w:space="0" w:color="auto"/>
        <w:bottom w:val="none" w:sz="0" w:space="0" w:color="auto"/>
        <w:right w:val="none" w:sz="0" w:space="0" w:color="auto"/>
      </w:divBdr>
    </w:div>
    <w:div w:id="1607690148">
      <w:bodyDiv w:val="1"/>
      <w:marLeft w:val="0"/>
      <w:marRight w:val="0"/>
      <w:marTop w:val="0"/>
      <w:marBottom w:val="0"/>
      <w:divBdr>
        <w:top w:val="none" w:sz="0" w:space="0" w:color="auto"/>
        <w:left w:val="none" w:sz="0" w:space="0" w:color="auto"/>
        <w:bottom w:val="none" w:sz="0" w:space="0" w:color="auto"/>
        <w:right w:val="none" w:sz="0" w:space="0" w:color="auto"/>
      </w:divBdr>
    </w:div>
    <w:div w:id="1686514596">
      <w:bodyDiv w:val="1"/>
      <w:marLeft w:val="0"/>
      <w:marRight w:val="0"/>
      <w:marTop w:val="0"/>
      <w:marBottom w:val="0"/>
      <w:divBdr>
        <w:top w:val="none" w:sz="0" w:space="0" w:color="auto"/>
        <w:left w:val="none" w:sz="0" w:space="0" w:color="auto"/>
        <w:bottom w:val="none" w:sz="0" w:space="0" w:color="auto"/>
        <w:right w:val="none" w:sz="0" w:space="0" w:color="auto"/>
      </w:divBdr>
    </w:div>
    <w:div w:id="1689022490">
      <w:bodyDiv w:val="1"/>
      <w:marLeft w:val="0"/>
      <w:marRight w:val="0"/>
      <w:marTop w:val="0"/>
      <w:marBottom w:val="0"/>
      <w:divBdr>
        <w:top w:val="none" w:sz="0" w:space="0" w:color="auto"/>
        <w:left w:val="none" w:sz="0" w:space="0" w:color="auto"/>
        <w:bottom w:val="none" w:sz="0" w:space="0" w:color="auto"/>
        <w:right w:val="none" w:sz="0" w:space="0" w:color="auto"/>
      </w:divBdr>
    </w:div>
    <w:div w:id="204186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a465409791e42468d5f7b47ae50468d xmlns="55f734f0-82e3-448f-9814-59383e674136">
      <Terms xmlns="http://schemas.microsoft.com/office/infopath/2007/PartnerControls">
        <TermInfo xmlns="http://schemas.microsoft.com/office/infopath/2007/PartnerControls">
          <TermName xmlns="http://schemas.microsoft.com/office/infopath/2007/PartnerControls">IN-CONFIDENCE</TermName>
          <TermId xmlns="http://schemas.microsoft.com/office/infopath/2007/PartnerControls">cf9276f4-acb3-404d-a80d-53cc76a30125</TermId>
        </TermInfo>
      </Terms>
    </la465409791e42468d5f7b47ae50468d>
    <_dlc_DocId xmlns="55f734f0-82e3-448f-9814-59383e674136">ADXRF2XRTYKY-766683950-86</_dlc_DocId>
    <_dlc_DocIdUrl xmlns="55f734f0-82e3-448f-9814-59383e674136">
      <Url>https://dia.cohesion.net.nz/Sites/INQ/IVC/ESA/_layouts/15/DocIdRedir.aspx?ID=ADXRF2XRTYKY-766683950-86</Url>
      <Description>ADXRF2XRTYKY-766683950-86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1695218EFDB34ABCEC1D8A5277E74E" ma:contentTypeVersion="4" ma:contentTypeDescription="Create a new document." ma:contentTypeScope="" ma:versionID="f71e97f49422bee66bd8cee92d9c234d">
  <xsd:schema xmlns:xsd="http://www.w3.org/2001/XMLSchema" xmlns:xs="http://www.w3.org/2001/XMLSchema" xmlns:p="http://schemas.microsoft.com/office/2006/metadata/properties" xmlns:ns2="55f734f0-82e3-448f-9814-59383e674136" targetNamespace="http://schemas.microsoft.com/office/2006/metadata/properties" ma:root="true" ma:fieldsID="4618fd2d04b46c7fdf405be2b66021ed" ns2:_="">
    <xsd:import namespace="55f734f0-82e3-448f-9814-59383e674136"/>
    <xsd:element name="properties">
      <xsd:complexType>
        <xsd:sequence>
          <xsd:element name="documentManagement">
            <xsd:complexType>
              <xsd:all>
                <xsd:element ref="ns2:_dlc_DocId" minOccurs="0"/>
                <xsd:element ref="ns2:_dlc_DocIdUrl" minOccurs="0"/>
                <xsd:element ref="ns2:_dlc_DocIdPersistId" minOccurs="0"/>
                <xsd:element ref="ns2:la465409791e42468d5f7b47ae5046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734f0-82e3-448f-9814-59383e674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a465409791e42468d5f7b47ae50468d" ma:index="12" ma:taxonomy="true" ma:internalName="la465409791e42468d5f7b47ae50468d" ma:taxonomyFieldName="DIASecurityClassification" ma:displayName="Security Classification" ma:default="1;#UNCLASSIFIED|875d92a8-67e2-4a32-9472-8fe99549e1eb" ma:fieldId="{5a465409-791e-4246-8d5f-7b47ae50468d}" ma:sspId="caf61cd4-0327-4679-8f8a-6e41773e81e7" ma:termSetId="6e030844-242a-4d29-a562-8ce1d1b5efa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F49CE-7D54-4CB3-B415-2A8E16D47B3C}">
  <ds:schemaRefs>
    <ds:schemaRef ds:uri="http://schemas.microsoft.com/office/2006/documentManagement/types"/>
    <ds:schemaRef ds:uri="http://schemas.microsoft.com/office/infopath/2007/PartnerControls"/>
    <ds:schemaRef ds:uri="55f734f0-82e3-448f-9814-59383e674136"/>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08E24F3-1A36-4DC8-A4A1-69BAD6D7E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734f0-82e3-448f-9814-59383e674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034A93-CC4B-4210-813C-A905BB5C7374}">
  <ds:schemaRefs>
    <ds:schemaRef ds:uri="http://schemas.microsoft.com/sharepoint/events"/>
  </ds:schemaRefs>
</ds:datastoreItem>
</file>

<file path=customXml/itemProps4.xml><?xml version="1.0" encoding="utf-8"?>
<ds:datastoreItem xmlns:ds="http://schemas.openxmlformats.org/officeDocument/2006/customXml" ds:itemID="{363AFB72-7580-4FE2-8234-90ADFA773E0D}">
  <ds:schemaRefs>
    <ds:schemaRef ds:uri="http://schemas.microsoft.com/sharepoint/v3/contenttype/forms"/>
  </ds:schemaRefs>
</ds:datastoreItem>
</file>

<file path=customXml/itemProps5.xml><?xml version="1.0" encoding="utf-8"?>
<ds:datastoreItem xmlns:ds="http://schemas.openxmlformats.org/officeDocument/2006/customXml" ds:itemID="{FD9BCA2E-C52B-4A24-8C87-893BFA48E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4540</Words>
  <Characters>26032</Characters>
  <Application>Microsoft Office Word</Application>
  <DocSecurity>0</DocSecurity>
  <Lines>723</Lines>
  <Paragraphs>407</Paragraphs>
  <ScaleCrop>false</ScaleCrop>
  <HeadingPairs>
    <vt:vector size="2" baseType="variant">
      <vt:variant>
        <vt:lpstr>Title</vt:lpstr>
      </vt:variant>
      <vt:variant>
        <vt:i4>1</vt:i4>
      </vt:variant>
    </vt:vector>
  </HeadingPairs>
  <TitlesOfParts>
    <vt:vector size="1" baseType="lpstr">
      <vt:lpstr>Quarterly report Oct-Dec 2020 FINAL</vt:lpstr>
    </vt:vector>
  </TitlesOfParts>
  <Company/>
  <LinksUpToDate>false</LinksUpToDate>
  <CharactersWithSpaces>30165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report Oct-Dec 2020 FINAL</dc:title>
  <dc:subject/>
  <dc:creator>Cheryl Chaplin</dc:creator>
  <cp:keywords/>
  <dc:description/>
  <cp:lastModifiedBy>Julie Wall</cp:lastModifiedBy>
  <cp:revision>5</cp:revision>
  <cp:lastPrinted>2021-05-03T00:11:00Z</cp:lastPrinted>
  <dcterms:created xsi:type="dcterms:W3CDTF">2021-06-27T23:16:00Z</dcterms:created>
  <dcterms:modified xsi:type="dcterms:W3CDTF">2021-06-27T23:36:00Z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0x010100AA1695218EFDB34ABCEC1D8A5277E74E</vt:lpwstr>
  </property>
  <property fmtid="{D5CDD505-2E9C-101B-9397-08002B2CF9AE}" pid="3" name="f6a63413ce3d46c4a0c4711f8ed8587d">
    <vt:lpwstr>Correspondence|dcd6b05f-dc80-4336-b228-09aebf3d212c</vt:lpwstr>
  </property>
  <property fmtid="{D5CDD505-2E9C-101B-9397-08002B2CF9AE}" pid="4" name="_dlc_DocIdItemGuid">
    <vt:lpwstr>7fb8e6ad-5e77-405c-a89b-cf3b00731f7d</vt:lpwstr>
  </property>
  <property fmtid="{D5CDD505-2E9C-101B-9397-08002B2CF9AE}" pid="5" name="TaxKeyword">
    <vt:lpwstr/>
  </property>
  <property fmtid="{D5CDD505-2E9C-101B-9397-08002B2CF9AE}" pid="6" name="TaxCatchAll">
    <vt:lpwstr>5;#Correspondence|dcd6b05f-dc80-4336-b228-09aebf3d212c;#12;#IN-CONFIDENCE|cf9276f4-acb3-404d-a80d-53cc76a30125</vt:lpwstr>
  </property>
  <property fmtid="{D5CDD505-2E9C-101B-9397-08002B2CF9AE}" pid="7" name="TaxKeywordTaxHTField">
    <vt:lpwstr/>
  </property>
  <property fmtid="{D5CDD505-2E9C-101B-9397-08002B2CF9AE}" pid="8" name="C3Topic">
    <vt:lpwstr/>
  </property>
  <property fmtid="{D5CDD505-2E9C-101B-9397-08002B2CF9AE}" pid="9" name="C3TopicNote">
    <vt:lpwstr/>
  </property>
  <property fmtid="{D5CDD505-2E9C-101B-9397-08002B2CF9AE}" pid="10" name="DIASecurityClassification">
    <vt:lpwstr>12;#IN-CONFIDENCE|cf9276f4-acb3-404d-a80d-53cc76a30125</vt:lpwstr>
  </property>
  <property fmtid="{D5CDD505-2E9C-101B-9397-08002B2CF9AE}" pid="11" name="DIAEmailContentType">
    <vt:lpwstr>5;#Correspondence|dcd6b05f-dc80-4336-b228-09aebf3d212c</vt:lpwstr>
  </property>
  <property fmtid="{D5CDD505-2E9C-101B-9397-08002B2CF9AE}" pid="12" name="SharedWithUsers">
    <vt:lpwstr>597;#Erica Nicholls</vt:lpwstr>
  </property>
</Properties>
</file>