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45D86" w14:textId="77777777" w:rsidR="009F4484" w:rsidRDefault="009F4484" w:rsidP="00603635">
      <w:bookmarkStart w:id="0" w:name="_GoBack"/>
      <w:bookmarkEnd w:id="0"/>
    </w:p>
    <w:p w14:paraId="13B4A23E" w14:textId="77777777" w:rsidR="009F4484" w:rsidRDefault="009F4484" w:rsidP="00603635"/>
    <w:p w14:paraId="13C0DFB8" w14:textId="77777777" w:rsidR="009F4484" w:rsidRDefault="009F4484" w:rsidP="00603635"/>
    <w:p w14:paraId="69535C59" w14:textId="77777777" w:rsidR="009F4484" w:rsidRDefault="009F4484" w:rsidP="00603635"/>
    <w:p w14:paraId="3E0ABF9D" w14:textId="77777777" w:rsidR="009F4484" w:rsidRPr="007A40FA" w:rsidRDefault="009F4484" w:rsidP="00603635">
      <w:pPr>
        <w:rPr>
          <w:b/>
          <w:sz w:val="40"/>
          <w:szCs w:val="40"/>
        </w:rPr>
      </w:pPr>
      <w:bookmarkStart w:id="1" w:name="_Hlk33776944"/>
      <w:r w:rsidRPr="007A40FA">
        <w:rPr>
          <w:b/>
          <w:sz w:val="40"/>
          <w:szCs w:val="40"/>
        </w:rPr>
        <w:t xml:space="preserve">Royal Commission </w:t>
      </w:r>
      <w:r w:rsidR="007A40FA" w:rsidRPr="007A40FA">
        <w:rPr>
          <w:b/>
          <w:sz w:val="40"/>
          <w:szCs w:val="40"/>
        </w:rPr>
        <w:t>into Historical Abuse in State Care and in the Care of Faith-based Institutions</w:t>
      </w:r>
    </w:p>
    <w:p w14:paraId="3D65B87C" w14:textId="392676AB" w:rsidR="00AE478C" w:rsidRPr="007A40FA" w:rsidRDefault="00FD23AB" w:rsidP="007A40FA">
      <w:pPr>
        <w:spacing w:after="0"/>
        <w:rPr>
          <w:b/>
          <w:sz w:val="40"/>
          <w:szCs w:val="40"/>
        </w:rPr>
      </w:pPr>
      <w:r>
        <w:rPr>
          <w:b/>
          <w:sz w:val="40"/>
          <w:szCs w:val="40"/>
        </w:rPr>
        <w:t>Annual</w:t>
      </w:r>
      <w:r w:rsidR="009F4484" w:rsidRPr="007A40FA">
        <w:rPr>
          <w:b/>
          <w:sz w:val="40"/>
          <w:szCs w:val="40"/>
        </w:rPr>
        <w:t xml:space="preserve"> Report </w:t>
      </w:r>
    </w:p>
    <w:p w14:paraId="02634DB5" w14:textId="1808C9B2" w:rsidR="009F4484" w:rsidRPr="009C11AE" w:rsidRDefault="009F4484" w:rsidP="007A40FA">
      <w:pPr>
        <w:spacing w:before="0" w:after="0"/>
        <w:rPr>
          <w:b/>
          <w:sz w:val="40"/>
          <w:szCs w:val="40"/>
        </w:rPr>
      </w:pPr>
      <w:r w:rsidRPr="009C11AE">
        <w:rPr>
          <w:b/>
          <w:sz w:val="40"/>
          <w:szCs w:val="40"/>
        </w:rPr>
        <w:t>As at 3</w:t>
      </w:r>
      <w:r w:rsidR="00FD23AB">
        <w:rPr>
          <w:b/>
          <w:sz w:val="40"/>
          <w:szCs w:val="40"/>
        </w:rPr>
        <w:t>0</w:t>
      </w:r>
      <w:r w:rsidR="00ED30E1">
        <w:rPr>
          <w:b/>
          <w:sz w:val="40"/>
          <w:szCs w:val="40"/>
        </w:rPr>
        <w:t xml:space="preserve"> </w:t>
      </w:r>
      <w:r w:rsidR="00FD23AB">
        <w:rPr>
          <w:b/>
          <w:sz w:val="40"/>
          <w:szCs w:val="40"/>
        </w:rPr>
        <w:t>June</w:t>
      </w:r>
      <w:r w:rsidR="00ED30E1">
        <w:rPr>
          <w:b/>
          <w:sz w:val="40"/>
          <w:szCs w:val="40"/>
        </w:rPr>
        <w:t xml:space="preserve"> 20</w:t>
      </w:r>
      <w:r w:rsidR="005A3D59">
        <w:rPr>
          <w:b/>
          <w:sz w:val="40"/>
          <w:szCs w:val="40"/>
        </w:rPr>
        <w:t>20</w:t>
      </w:r>
      <w:r w:rsidR="00ED30E1">
        <w:rPr>
          <w:b/>
          <w:sz w:val="40"/>
          <w:szCs w:val="40"/>
        </w:rPr>
        <w:t xml:space="preserve"> </w:t>
      </w:r>
    </w:p>
    <w:p w14:paraId="36A8D85E" w14:textId="77777777" w:rsidR="009F4484" w:rsidRDefault="009F4484" w:rsidP="00603635"/>
    <w:p w14:paraId="06817029" w14:textId="77777777" w:rsidR="009F4484" w:rsidRDefault="009F4484">
      <w:pPr>
        <w:keepLines w:val="0"/>
      </w:pPr>
      <w:r>
        <w:br w:type="page"/>
      </w:r>
    </w:p>
    <w:p w14:paraId="705DEB33" w14:textId="77777777" w:rsidR="00E26A33" w:rsidRDefault="00E26A33" w:rsidP="00603635">
      <w:pPr>
        <w:rPr>
          <w:rFonts w:asciiTheme="minorHAnsi" w:hAnsiTheme="minorHAnsi" w:cstheme="minorHAnsi"/>
          <w:b/>
        </w:rPr>
      </w:pPr>
    </w:p>
    <w:p w14:paraId="2EB88F7D" w14:textId="583E7D68" w:rsidR="007B35AD" w:rsidRPr="00271F0B" w:rsidRDefault="007B35AD" w:rsidP="00603635">
      <w:pPr>
        <w:rPr>
          <w:rFonts w:asciiTheme="minorHAnsi" w:hAnsiTheme="minorHAnsi" w:cstheme="minorHAnsi"/>
          <w:b/>
          <w:sz w:val="28"/>
          <w:szCs w:val="28"/>
        </w:rPr>
      </w:pPr>
      <w:r w:rsidRPr="00271F0B">
        <w:rPr>
          <w:rFonts w:asciiTheme="minorHAnsi" w:hAnsiTheme="minorHAnsi" w:cstheme="minorHAnsi"/>
          <w:b/>
          <w:sz w:val="28"/>
          <w:szCs w:val="28"/>
        </w:rPr>
        <w:t>Purpose</w:t>
      </w:r>
    </w:p>
    <w:p w14:paraId="6894FE91" w14:textId="06C7AB7A" w:rsidR="00BC04FF" w:rsidRPr="004652C3" w:rsidRDefault="00BC04FF" w:rsidP="00BC04FF">
      <w:pPr>
        <w:rPr>
          <w:rFonts w:cs="Calibri"/>
        </w:rPr>
      </w:pPr>
      <w:r w:rsidRPr="004652C3">
        <w:rPr>
          <w:rFonts w:cs="Calibri"/>
        </w:rPr>
        <w:t xml:space="preserve">This report updates you about the high-level activity of the Royal Commission into Historical Abuse in State Care and in the Care of Faith-based Institutions (the </w:t>
      </w:r>
      <w:r w:rsidR="00FD23AB">
        <w:rPr>
          <w:rFonts w:cs="Calibri"/>
        </w:rPr>
        <w:t>R</w:t>
      </w:r>
      <w:r w:rsidR="00517EB5">
        <w:rPr>
          <w:rFonts w:cs="Calibri"/>
        </w:rPr>
        <w:t>oyal Commission</w:t>
      </w:r>
      <w:r w:rsidRPr="004652C3">
        <w:rPr>
          <w:rFonts w:cs="Calibri"/>
        </w:rPr>
        <w:t xml:space="preserve">) </w:t>
      </w:r>
      <w:r w:rsidR="00BD3187" w:rsidRPr="004652C3">
        <w:rPr>
          <w:rFonts w:cs="Calibri"/>
        </w:rPr>
        <w:t xml:space="preserve">for the </w:t>
      </w:r>
      <w:r w:rsidR="00FD23AB">
        <w:rPr>
          <w:rFonts w:cs="Calibri"/>
        </w:rPr>
        <w:t>year</w:t>
      </w:r>
      <w:r w:rsidR="00BD3187" w:rsidRPr="004652C3">
        <w:rPr>
          <w:rFonts w:cs="Calibri"/>
        </w:rPr>
        <w:t xml:space="preserve"> ended 3</w:t>
      </w:r>
      <w:r w:rsidR="00FD23AB">
        <w:rPr>
          <w:rFonts w:cs="Calibri"/>
        </w:rPr>
        <w:t>0</w:t>
      </w:r>
      <w:r w:rsidR="00BD3187" w:rsidRPr="004652C3">
        <w:rPr>
          <w:rFonts w:cs="Calibri"/>
        </w:rPr>
        <w:t xml:space="preserve"> </w:t>
      </w:r>
      <w:r w:rsidR="00FD23AB">
        <w:rPr>
          <w:rFonts w:cs="Calibri"/>
        </w:rPr>
        <w:t>June</w:t>
      </w:r>
      <w:r w:rsidR="00BD3187" w:rsidRPr="004652C3">
        <w:rPr>
          <w:rFonts w:cs="Calibri"/>
        </w:rPr>
        <w:t xml:space="preserve"> 2020</w:t>
      </w:r>
      <w:r w:rsidR="007E2BAE" w:rsidRPr="004652C3">
        <w:rPr>
          <w:rFonts w:cs="Calibri"/>
        </w:rPr>
        <w:t>.</w:t>
      </w:r>
      <w:r w:rsidRPr="004652C3">
        <w:rPr>
          <w:rFonts w:cs="Calibri"/>
        </w:rPr>
        <w:t xml:space="preserve"> </w:t>
      </w:r>
    </w:p>
    <w:p w14:paraId="13722DF7" w14:textId="016DA613" w:rsidR="000816E2" w:rsidRPr="004652C3" w:rsidRDefault="00941AA2" w:rsidP="00BC04FF">
      <w:pPr>
        <w:rPr>
          <w:rFonts w:cs="Calibri"/>
        </w:rPr>
      </w:pPr>
      <w:r w:rsidRPr="004652C3">
        <w:rPr>
          <w:rFonts w:cs="Calibri"/>
        </w:rPr>
        <w:t xml:space="preserve">In completing this report, we have had regard to the requirements set out in the Ministerial Letter of Expectations for 2019/20 dated 4 March 2020. </w:t>
      </w:r>
    </w:p>
    <w:p w14:paraId="3A606FB8" w14:textId="2B2C758A" w:rsidR="0050147F" w:rsidRPr="00271F0B" w:rsidRDefault="0050147F" w:rsidP="0050147F">
      <w:pPr>
        <w:rPr>
          <w:rFonts w:asciiTheme="minorHAnsi" w:hAnsiTheme="minorHAnsi" w:cstheme="minorHAnsi"/>
          <w:b/>
          <w:sz w:val="28"/>
          <w:szCs w:val="28"/>
        </w:rPr>
      </w:pPr>
      <w:r w:rsidRPr="00271F0B">
        <w:rPr>
          <w:rFonts w:asciiTheme="minorHAnsi" w:hAnsiTheme="minorHAnsi" w:cstheme="minorHAnsi"/>
          <w:b/>
          <w:sz w:val="28"/>
          <w:szCs w:val="28"/>
        </w:rPr>
        <w:t>Managing the Impact of C</w:t>
      </w:r>
      <w:r w:rsidR="00E26A33" w:rsidRPr="00271F0B">
        <w:rPr>
          <w:rFonts w:asciiTheme="minorHAnsi" w:hAnsiTheme="minorHAnsi" w:cstheme="minorHAnsi"/>
          <w:b/>
          <w:sz w:val="28"/>
          <w:szCs w:val="28"/>
        </w:rPr>
        <w:t>OVID</w:t>
      </w:r>
      <w:r w:rsidRPr="00271F0B">
        <w:rPr>
          <w:rFonts w:asciiTheme="minorHAnsi" w:hAnsiTheme="minorHAnsi" w:cstheme="minorHAnsi"/>
          <w:b/>
          <w:sz w:val="28"/>
          <w:szCs w:val="28"/>
        </w:rPr>
        <w:t xml:space="preserve"> – 19</w:t>
      </w:r>
    </w:p>
    <w:p w14:paraId="1FB44452" w14:textId="15E09FDF" w:rsidR="00392FB7" w:rsidRDefault="001B1BB2" w:rsidP="00392FB7">
      <w:pPr>
        <w:spacing w:before="0" w:after="0"/>
        <w:rPr>
          <w:rFonts w:cs="Calibri"/>
        </w:rPr>
      </w:pPr>
      <w:r>
        <w:rPr>
          <w:rFonts w:cs="Calibri"/>
        </w:rPr>
        <w:t>T</w:t>
      </w:r>
      <w:r w:rsidRPr="001B1BB2">
        <w:rPr>
          <w:rFonts w:cs="Calibri"/>
        </w:rPr>
        <w:t xml:space="preserve">he </w:t>
      </w:r>
      <w:r w:rsidR="00517EB5">
        <w:rPr>
          <w:rFonts w:cs="Calibri"/>
        </w:rPr>
        <w:t>Royal Commission</w:t>
      </w:r>
      <w:r w:rsidRPr="001B1BB2">
        <w:rPr>
          <w:rFonts w:cs="Calibri"/>
        </w:rPr>
        <w:t xml:space="preserve"> responded quickly to the threat of C</w:t>
      </w:r>
      <w:r w:rsidR="00E26A33">
        <w:rPr>
          <w:rFonts w:cs="Calibri"/>
        </w:rPr>
        <w:t>OVID-</w:t>
      </w:r>
      <w:r w:rsidRPr="001B1BB2">
        <w:rPr>
          <w:rFonts w:cs="Calibri"/>
        </w:rPr>
        <w:t xml:space="preserve">19 with a “people first” approach, while seeking to minimise the impact on operations and to ensure critical work </w:t>
      </w:r>
      <w:r w:rsidR="00E26A33">
        <w:rPr>
          <w:rFonts w:cs="Calibri"/>
        </w:rPr>
        <w:t>was</w:t>
      </w:r>
      <w:r w:rsidRPr="001B1BB2">
        <w:rPr>
          <w:rFonts w:cs="Calibri"/>
        </w:rPr>
        <w:t xml:space="preserve"> progressed and delivered</w:t>
      </w:r>
      <w:r>
        <w:rPr>
          <w:rFonts w:cs="Calibri"/>
        </w:rPr>
        <w:t xml:space="preserve">. </w:t>
      </w:r>
      <w:r w:rsidRPr="004652C3">
        <w:rPr>
          <w:rFonts w:cs="Calibri"/>
        </w:rPr>
        <w:t xml:space="preserve">A Crisis Management Team and protocols </w:t>
      </w:r>
      <w:r w:rsidR="00392FB7">
        <w:rPr>
          <w:rFonts w:cs="Calibri"/>
        </w:rPr>
        <w:t xml:space="preserve">were </w:t>
      </w:r>
      <w:r w:rsidRPr="004652C3">
        <w:rPr>
          <w:rFonts w:cs="Calibri"/>
        </w:rPr>
        <w:t>stood up to ensure the situation</w:t>
      </w:r>
      <w:r w:rsidR="00392FB7">
        <w:rPr>
          <w:rFonts w:cs="Calibri"/>
        </w:rPr>
        <w:t xml:space="preserve"> was</w:t>
      </w:r>
      <w:r w:rsidRPr="004652C3">
        <w:rPr>
          <w:rFonts w:cs="Calibri"/>
        </w:rPr>
        <w:t xml:space="preserve"> coordinated, essential resources allocated, and business functions and services maintained.</w:t>
      </w:r>
      <w:r w:rsidR="00392FB7">
        <w:rPr>
          <w:rFonts w:cs="Calibri"/>
        </w:rPr>
        <w:t xml:space="preserve"> </w:t>
      </w:r>
      <w:r>
        <w:rPr>
          <w:rFonts w:cs="Calibri"/>
        </w:rPr>
        <w:t>Throughout the period we worked closely with and were grateful for the advice received from the Department</w:t>
      </w:r>
      <w:r w:rsidR="00E26A33">
        <w:rPr>
          <w:rFonts w:cs="Calibri"/>
        </w:rPr>
        <w:t xml:space="preserve"> of Internal Affairs (the Department)</w:t>
      </w:r>
      <w:r>
        <w:rPr>
          <w:rFonts w:cs="Calibri"/>
        </w:rPr>
        <w:t xml:space="preserve">. </w:t>
      </w:r>
      <w:r w:rsidR="00392FB7" w:rsidRPr="004652C3">
        <w:rPr>
          <w:rFonts w:cs="Calibri"/>
        </w:rPr>
        <w:t>We</w:t>
      </w:r>
      <w:r w:rsidR="00392FB7">
        <w:rPr>
          <w:rFonts w:cs="Calibri"/>
        </w:rPr>
        <w:t xml:space="preserve"> </w:t>
      </w:r>
      <w:r w:rsidR="00392FB7" w:rsidRPr="004652C3">
        <w:rPr>
          <w:rFonts w:cs="Calibri"/>
        </w:rPr>
        <w:t>received positive feedback from both staff and the Department for our overall response and for our communicative and people-first approach</w:t>
      </w:r>
      <w:r w:rsidR="00392FB7">
        <w:rPr>
          <w:rFonts w:cs="Calibri"/>
        </w:rPr>
        <w:t xml:space="preserve"> during those challenging times</w:t>
      </w:r>
      <w:r w:rsidR="00392FB7" w:rsidRPr="004652C3">
        <w:rPr>
          <w:rFonts w:cs="Calibri"/>
        </w:rPr>
        <w:t>.</w:t>
      </w:r>
    </w:p>
    <w:p w14:paraId="103FAD01" w14:textId="75DCAF77" w:rsidR="00392FB7" w:rsidRDefault="00392FB7" w:rsidP="00392FB7">
      <w:pPr>
        <w:spacing w:before="0" w:after="0"/>
        <w:rPr>
          <w:rFonts w:cs="Calibri"/>
        </w:rPr>
      </w:pPr>
    </w:p>
    <w:p w14:paraId="725DAA70" w14:textId="5346C011" w:rsidR="001B1BB2" w:rsidRDefault="00392FB7" w:rsidP="00392FB7">
      <w:pPr>
        <w:spacing w:before="0" w:after="0"/>
        <w:rPr>
          <w:rFonts w:cs="Calibri"/>
          <w:color w:val="000000"/>
        </w:rPr>
      </w:pPr>
      <w:r>
        <w:rPr>
          <w:rFonts w:cs="Calibri"/>
        </w:rPr>
        <w:t>I</w:t>
      </w:r>
      <w:r w:rsidR="001B1BB2" w:rsidRPr="00392FB7">
        <w:rPr>
          <w:rFonts w:eastAsia="Times New Roman" w:cs="Calibri"/>
        </w:rPr>
        <w:t xml:space="preserve">nevitably there </w:t>
      </w:r>
      <w:r>
        <w:rPr>
          <w:rFonts w:eastAsia="Times New Roman" w:cs="Calibri"/>
        </w:rPr>
        <w:t>were</w:t>
      </w:r>
      <w:r w:rsidR="001B1BB2" w:rsidRPr="00392FB7">
        <w:rPr>
          <w:rFonts w:eastAsia="Times New Roman" w:cs="Calibri"/>
        </w:rPr>
        <w:t xml:space="preserve"> impacts on the Inquiry work programme</w:t>
      </w:r>
      <w:r>
        <w:rPr>
          <w:rFonts w:eastAsia="Times New Roman" w:cs="Calibri"/>
        </w:rPr>
        <w:t xml:space="preserve">. </w:t>
      </w:r>
      <w:r>
        <w:rPr>
          <w:rFonts w:cs="Calibri"/>
        </w:rPr>
        <w:t>W</w:t>
      </w:r>
      <w:r w:rsidR="001B1BB2" w:rsidRPr="0086518A">
        <w:rPr>
          <w:rFonts w:eastAsia="Times New Roman" w:cs="Calibri"/>
        </w:rPr>
        <w:t xml:space="preserve">hile investigations </w:t>
      </w:r>
      <w:r>
        <w:rPr>
          <w:rFonts w:eastAsia="Times New Roman" w:cs="Calibri"/>
        </w:rPr>
        <w:t>continued</w:t>
      </w:r>
      <w:r w:rsidR="001B1BB2" w:rsidRPr="0086518A">
        <w:rPr>
          <w:rFonts w:eastAsia="Times New Roman" w:cs="Calibri"/>
        </w:rPr>
        <w:t xml:space="preserve"> </w:t>
      </w:r>
      <w:r w:rsidR="001B1BB2">
        <w:rPr>
          <w:rFonts w:eastAsia="Times New Roman" w:cs="Calibri"/>
        </w:rPr>
        <w:t>with some limitations</w:t>
      </w:r>
      <w:r>
        <w:rPr>
          <w:rFonts w:eastAsia="Times New Roman" w:cs="Calibri"/>
        </w:rPr>
        <w:t xml:space="preserve"> on </w:t>
      </w:r>
      <w:r w:rsidR="00E26A33">
        <w:rPr>
          <w:rFonts w:eastAsia="Times New Roman" w:cs="Calibri"/>
        </w:rPr>
        <w:t xml:space="preserve">the </w:t>
      </w:r>
      <w:r>
        <w:rPr>
          <w:rFonts w:eastAsia="Times New Roman" w:cs="Calibri"/>
        </w:rPr>
        <w:t xml:space="preserve">timelines </w:t>
      </w:r>
      <w:r w:rsidR="00E26A33">
        <w:rPr>
          <w:rFonts w:eastAsia="Times New Roman" w:cs="Calibri"/>
        </w:rPr>
        <w:t xml:space="preserve">for </w:t>
      </w:r>
      <w:r>
        <w:rPr>
          <w:rFonts w:eastAsia="Times New Roman" w:cs="Calibri"/>
        </w:rPr>
        <w:t>information sought</w:t>
      </w:r>
      <w:r w:rsidR="00E26A33">
        <w:rPr>
          <w:rFonts w:eastAsia="Times New Roman" w:cs="Calibri"/>
        </w:rPr>
        <w:t xml:space="preserve"> from external parties</w:t>
      </w:r>
      <w:r w:rsidR="001B1BB2">
        <w:rPr>
          <w:rFonts w:eastAsia="Times New Roman" w:cs="Calibri"/>
        </w:rPr>
        <w:t xml:space="preserve">, </w:t>
      </w:r>
      <w:r w:rsidR="001B1BB2">
        <w:rPr>
          <w:rFonts w:cs="Calibri"/>
          <w:color w:val="000000"/>
        </w:rPr>
        <w:t>t</w:t>
      </w:r>
      <w:r w:rsidR="001B1BB2" w:rsidRPr="004652C3">
        <w:rPr>
          <w:rFonts w:cs="Calibri"/>
          <w:color w:val="000000"/>
        </w:rPr>
        <w:t xml:space="preserve">he schedule of public hearings planned for 2020 </w:t>
      </w:r>
      <w:r>
        <w:rPr>
          <w:rFonts w:cs="Calibri"/>
          <w:color w:val="000000"/>
        </w:rPr>
        <w:t xml:space="preserve">was </w:t>
      </w:r>
      <w:r w:rsidR="001B1BB2" w:rsidRPr="004652C3">
        <w:rPr>
          <w:rFonts w:cs="Calibri"/>
          <w:color w:val="000000"/>
        </w:rPr>
        <w:t>significantly impacte</w:t>
      </w:r>
      <w:r>
        <w:rPr>
          <w:rFonts w:cs="Calibri"/>
          <w:color w:val="000000"/>
        </w:rPr>
        <w:t xml:space="preserve">d and </w:t>
      </w:r>
      <w:r w:rsidR="001B1BB2">
        <w:rPr>
          <w:rFonts w:cs="Calibri"/>
          <w:color w:val="000000"/>
        </w:rPr>
        <w:t>t</w:t>
      </w:r>
      <w:r w:rsidR="001B1BB2" w:rsidRPr="004652C3">
        <w:rPr>
          <w:rFonts w:cs="Calibri"/>
          <w:color w:val="000000"/>
        </w:rPr>
        <w:t xml:space="preserve">he </w:t>
      </w:r>
      <w:r w:rsidR="001B1BB2" w:rsidRPr="004652C3">
        <w:rPr>
          <w:rFonts w:cs="Calibri"/>
        </w:rPr>
        <w:t xml:space="preserve">Redress hearings </w:t>
      </w:r>
      <w:r>
        <w:rPr>
          <w:rFonts w:cs="Calibri"/>
        </w:rPr>
        <w:t xml:space="preserve">scheduled for </w:t>
      </w:r>
      <w:r w:rsidR="001B1BB2" w:rsidRPr="004652C3">
        <w:rPr>
          <w:rFonts w:cs="Calibri"/>
        </w:rPr>
        <w:t xml:space="preserve">March and May 2020 have now been deferred to begin in September </w:t>
      </w:r>
      <w:r>
        <w:rPr>
          <w:rFonts w:cs="Calibri"/>
        </w:rPr>
        <w:t xml:space="preserve">2020. </w:t>
      </w:r>
      <w:r>
        <w:rPr>
          <w:rFonts w:cs="Calibri"/>
          <w:color w:val="000000"/>
        </w:rPr>
        <w:t>T</w:t>
      </w:r>
      <w:r w:rsidR="001B1BB2" w:rsidRPr="004652C3">
        <w:rPr>
          <w:rFonts w:cs="Calibri"/>
          <w:color w:val="000000"/>
        </w:rPr>
        <w:t xml:space="preserve">he inability to meet face-to-face with survivors </w:t>
      </w:r>
      <w:r w:rsidR="00E26A33">
        <w:rPr>
          <w:rFonts w:cs="Calibri"/>
          <w:color w:val="000000"/>
        </w:rPr>
        <w:t xml:space="preserve">resulted in the </w:t>
      </w:r>
      <w:r w:rsidR="001B1BB2" w:rsidRPr="004652C3">
        <w:rPr>
          <w:rFonts w:cs="Calibri"/>
          <w:color w:val="000000"/>
        </w:rPr>
        <w:t xml:space="preserve">cancellation of private sessions </w:t>
      </w:r>
      <w:r>
        <w:rPr>
          <w:rFonts w:cs="Calibri"/>
          <w:color w:val="000000"/>
        </w:rPr>
        <w:t xml:space="preserve">in </w:t>
      </w:r>
      <w:r w:rsidR="001B1BB2" w:rsidRPr="004652C3">
        <w:rPr>
          <w:rFonts w:cs="Calibri"/>
          <w:color w:val="000000"/>
        </w:rPr>
        <w:t xml:space="preserve">April </w:t>
      </w:r>
      <w:r>
        <w:rPr>
          <w:rFonts w:cs="Calibri"/>
          <w:color w:val="000000"/>
        </w:rPr>
        <w:t>and May 2020.</w:t>
      </w:r>
    </w:p>
    <w:p w14:paraId="7F879C81" w14:textId="108C0065" w:rsidR="00392FB7" w:rsidRDefault="00392FB7" w:rsidP="00392FB7">
      <w:pPr>
        <w:spacing w:before="0" w:after="0"/>
        <w:rPr>
          <w:rFonts w:cs="Calibri"/>
          <w:color w:val="000000"/>
        </w:rPr>
      </w:pPr>
    </w:p>
    <w:p w14:paraId="65F7DC29" w14:textId="18C796B6" w:rsidR="00392FB7" w:rsidRDefault="00392FB7" w:rsidP="00392FB7">
      <w:pPr>
        <w:spacing w:before="0" w:after="0"/>
        <w:rPr>
          <w:rFonts w:cs="Calibri"/>
        </w:rPr>
      </w:pPr>
      <w:r>
        <w:rPr>
          <w:rFonts w:cs="Calibri"/>
          <w:color w:val="000000"/>
        </w:rPr>
        <w:t>On a more positive note, the R</w:t>
      </w:r>
      <w:r w:rsidR="00A34E70">
        <w:rPr>
          <w:rFonts w:cs="Calibri"/>
          <w:color w:val="000000"/>
        </w:rPr>
        <w:t>oyal Commission</w:t>
      </w:r>
      <w:r>
        <w:rPr>
          <w:rFonts w:cs="Calibri"/>
          <w:color w:val="000000"/>
        </w:rPr>
        <w:t xml:space="preserve"> took </w:t>
      </w:r>
      <w:r w:rsidRPr="004652C3">
        <w:rPr>
          <w:rFonts w:cs="Calibri"/>
        </w:rPr>
        <w:t>the opportunity offered by the slowdown in momentum during the lockdown period to divert spare energy and resources into key strategic areas</w:t>
      </w:r>
      <w:r>
        <w:rPr>
          <w:rFonts w:cs="Calibri"/>
        </w:rPr>
        <w:t xml:space="preserve">. Notable achievements </w:t>
      </w:r>
      <w:r w:rsidR="00E26A33">
        <w:rPr>
          <w:rFonts w:cs="Calibri"/>
        </w:rPr>
        <w:t xml:space="preserve">during that time </w:t>
      </w:r>
      <w:r>
        <w:rPr>
          <w:rFonts w:cs="Calibri"/>
        </w:rPr>
        <w:t>included:</w:t>
      </w:r>
    </w:p>
    <w:p w14:paraId="54E82C56" w14:textId="69F9B0FD" w:rsidR="00392FB7" w:rsidRDefault="00392FB7" w:rsidP="00392FB7">
      <w:pPr>
        <w:spacing w:before="0" w:after="0"/>
        <w:rPr>
          <w:rFonts w:cs="Calibri"/>
        </w:rPr>
      </w:pPr>
    </w:p>
    <w:p w14:paraId="6281B32B" w14:textId="77777777" w:rsidR="00392FB7" w:rsidRPr="004652C3" w:rsidRDefault="00392FB7" w:rsidP="00BF6D17">
      <w:pPr>
        <w:keepLines w:val="0"/>
        <w:numPr>
          <w:ilvl w:val="0"/>
          <w:numId w:val="22"/>
        </w:numPr>
        <w:spacing w:before="0" w:after="0"/>
        <w:rPr>
          <w:rFonts w:eastAsia="Times New Roman" w:cs="Calibri"/>
        </w:rPr>
      </w:pPr>
      <w:r w:rsidRPr="004652C3">
        <w:rPr>
          <w:rFonts w:eastAsia="Times New Roman" w:cs="Calibri"/>
        </w:rPr>
        <w:t xml:space="preserve">Developing and implementing private session options for survivors in lieu of face to face sessions </w:t>
      </w:r>
      <w:r w:rsidRPr="001F11CD">
        <w:rPr>
          <w:rFonts w:eastAsia="Times New Roman" w:cs="Calibri"/>
        </w:rPr>
        <w:t>e, g</w:t>
      </w:r>
      <w:r w:rsidRPr="004652C3">
        <w:rPr>
          <w:rFonts w:eastAsia="Times New Roman" w:cs="Calibri"/>
        </w:rPr>
        <w:t xml:space="preserve"> by video conference, audio and the ability to send in written accounts; </w:t>
      </w:r>
    </w:p>
    <w:p w14:paraId="24C36B1D" w14:textId="5BE3A341" w:rsidR="00392FB7" w:rsidRPr="004652C3" w:rsidRDefault="00392FB7" w:rsidP="00BF6D17">
      <w:pPr>
        <w:keepLines w:val="0"/>
        <w:numPr>
          <w:ilvl w:val="0"/>
          <w:numId w:val="22"/>
        </w:numPr>
        <w:spacing w:before="0" w:after="0"/>
        <w:rPr>
          <w:rFonts w:eastAsia="Times New Roman" w:cs="Calibri"/>
        </w:rPr>
      </w:pPr>
      <w:r w:rsidRPr="004652C3">
        <w:rPr>
          <w:rFonts w:eastAsia="Times New Roman" w:cs="Calibri"/>
        </w:rPr>
        <w:t xml:space="preserve">Developing a new </w:t>
      </w:r>
      <w:r w:rsidR="00517EB5">
        <w:rPr>
          <w:rFonts w:eastAsia="Times New Roman" w:cs="Calibri"/>
        </w:rPr>
        <w:t>wellbeing</w:t>
      </w:r>
      <w:r w:rsidRPr="004652C3">
        <w:rPr>
          <w:rFonts w:eastAsia="Times New Roman" w:cs="Calibri"/>
        </w:rPr>
        <w:t xml:space="preserve"> support model through partnerships with external providers (this is in relation to the $15.3M set aside for counselling costs in the Inquiry’s budget</w:t>
      </w:r>
      <w:r w:rsidR="009E41AF">
        <w:rPr>
          <w:rFonts w:eastAsia="Times New Roman" w:cs="Calibri"/>
        </w:rPr>
        <w:t xml:space="preserve">) – more information on </w:t>
      </w:r>
      <w:r w:rsidR="00517EB5">
        <w:rPr>
          <w:rFonts w:eastAsia="Times New Roman" w:cs="Calibri"/>
        </w:rPr>
        <w:t>this i</w:t>
      </w:r>
      <w:r w:rsidR="009E41AF">
        <w:rPr>
          <w:rFonts w:eastAsia="Times New Roman" w:cs="Calibri"/>
        </w:rPr>
        <w:t>s contained below</w:t>
      </w:r>
      <w:r w:rsidRPr="004652C3">
        <w:rPr>
          <w:rFonts w:eastAsia="Times New Roman" w:cs="Calibri"/>
        </w:rPr>
        <w:t>;</w:t>
      </w:r>
    </w:p>
    <w:p w14:paraId="77F0FFFD" w14:textId="1BE01084" w:rsidR="00392FB7" w:rsidRDefault="00392FB7" w:rsidP="00BF6D17">
      <w:pPr>
        <w:keepLines w:val="0"/>
        <w:numPr>
          <w:ilvl w:val="0"/>
          <w:numId w:val="22"/>
        </w:numPr>
        <w:spacing w:before="0" w:after="0"/>
        <w:rPr>
          <w:rFonts w:eastAsia="Times New Roman" w:cs="Calibri"/>
        </w:rPr>
      </w:pPr>
      <w:r w:rsidRPr="004652C3">
        <w:rPr>
          <w:rFonts w:eastAsia="Times New Roman" w:cs="Calibri"/>
        </w:rPr>
        <w:t xml:space="preserve">Continuing to collect, analyse and synthesise information required </w:t>
      </w:r>
      <w:r w:rsidR="009E41AF">
        <w:rPr>
          <w:rFonts w:eastAsia="Times New Roman" w:cs="Calibri"/>
        </w:rPr>
        <w:t xml:space="preserve">to progress the </w:t>
      </w:r>
      <w:r w:rsidRPr="004652C3">
        <w:rPr>
          <w:rFonts w:eastAsia="Times New Roman" w:cs="Calibri"/>
        </w:rPr>
        <w:t>de</w:t>
      </w:r>
      <w:r w:rsidR="009E41AF">
        <w:rPr>
          <w:rFonts w:eastAsia="Times New Roman" w:cs="Calibri"/>
        </w:rPr>
        <w:t xml:space="preserve">livery </w:t>
      </w:r>
      <w:r w:rsidRPr="004652C3">
        <w:rPr>
          <w:rFonts w:eastAsia="Times New Roman" w:cs="Calibri"/>
        </w:rPr>
        <w:t xml:space="preserve">of the Commission’s </w:t>
      </w:r>
      <w:r w:rsidR="00A34E70">
        <w:rPr>
          <w:rFonts w:eastAsia="Times New Roman" w:cs="Calibri"/>
        </w:rPr>
        <w:t>I</w:t>
      </w:r>
      <w:r w:rsidRPr="004652C3">
        <w:rPr>
          <w:rFonts w:eastAsia="Times New Roman" w:cs="Calibri"/>
        </w:rPr>
        <w:t xml:space="preserve">nterim </w:t>
      </w:r>
      <w:r w:rsidR="00A34E70">
        <w:rPr>
          <w:rFonts w:eastAsia="Times New Roman" w:cs="Calibri"/>
        </w:rPr>
        <w:t>R</w:t>
      </w:r>
      <w:r w:rsidRPr="004652C3">
        <w:rPr>
          <w:rFonts w:eastAsia="Times New Roman" w:cs="Calibri"/>
        </w:rPr>
        <w:t>eport to the Government</w:t>
      </w:r>
      <w:r w:rsidR="001E12DB">
        <w:rPr>
          <w:rFonts w:eastAsia="Times New Roman" w:cs="Calibri"/>
        </w:rPr>
        <w:t>; and</w:t>
      </w:r>
    </w:p>
    <w:p w14:paraId="7B8D45F0" w14:textId="6FE02AAD" w:rsidR="001E12DB" w:rsidRPr="004652C3" w:rsidRDefault="001E12DB" w:rsidP="001E12DB">
      <w:pPr>
        <w:keepLines w:val="0"/>
        <w:numPr>
          <w:ilvl w:val="0"/>
          <w:numId w:val="22"/>
        </w:numPr>
        <w:spacing w:before="0" w:after="0"/>
        <w:rPr>
          <w:rFonts w:eastAsia="Times New Roman" w:cs="Calibri"/>
        </w:rPr>
      </w:pPr>
      <w:r>
        <w:rPr>
          <w:rFonts w:eastAsia="Times New Roman" w:cs="Calibri"/>
        </w:rPr>
        <w:t>Developing a series of operational strategies, policies and plans that position the Inquiry well for its duration.</w:t>
      </w:r>
    </w:p>
    <w:p w14:paraId="6E0CC923" w14:textId="77777777" w:rsidR="001E12DB" w:rsidRPr="004652C3" w:rsidRDefault="001E12DB" w:rsidP="001E12DB">
      <w:pPr>
        <w:keepLines w:val="0"/>
        <w:spacing w:before="0" w:after="0"/>
        <w:ind w:left="720"/>
        <w:rPr>
          <w:rFonts w:eastAsia="Times New Roman" w:cs="Calibri"/>
        </w:rPr>
      </w:pPr>
    </w:p>
    <w:p w14:paraId="2B07BA45" w14:textId="77777777" w:rsidR="00392FB7" w:rsidRPr="00392FB7" w:rsidRDefault="00392FB7" w:rsidP="00392FB7">
      <w:pPr>
        <w:spacing w:before="0" w:after="0"/>
        <w:rPr>
          <w:rFonts w:cs="Calibri"/>
        </w:rPr>
      </w:pPr>
    </w:p>
    <w:p w14:paraId="7E5B5D6C" w14:textId="77777777" w:rsidR="00E26A33" w:rsidRDefault="00E26A33" w:rsidP="00603635">
      <w:pPr>
        <w:rPr>
          <w:rFonts w:asciiTheme="minorHAnsi" w:hAnsiTheme="minorHAnsi" w:cstheme="minorHAnsi"/>
          <w:b/>
        </w:rPr>
      </w:pPr>
    </w:p>
    <w:p w14:paraId="730511E8" w14:textId="2790A67D" w:rsidR="0088067C" w:rsidRPr="00271F0B" w:rsidRDefault="00BA384F" w:rsidP="00603635">
      <w:pPr>
        <w:rPr>
          <w:rFonts w:asciiTheme="minorHAnsi" w:hAnsiTheme="minorHAnsi" w:cstheme="minorHAnsi"/>
          <w:b/>
          <w:sz w:val="28"/>
          <w:szCs w:val="28"/>
        </w:rPr>
      </w:pPr>
      <w:r w:rsidRPr="00271F0B">
        <w:rPr>
          <w:rFonts w:asciiTheme="minorHAnsi" w:hAnsiTheme="minorHAnsi" w:cstheme="minorHAnsi"/>
          <w:b/>
          <w:sz w:val="28"/>
          <w:szCs w:val="28"/>
        </w:rPr>
        <w:lastRenderedPageBreak/>
        <w:t>Progressing core delivery</w:t>
      </w:r>
    </w:p>
    <w:p w14:paraId="4DFB2364" w14:textId="71287A7C" w:rsidR="0050147F" w:rsidRPr="006830B4" w:rsidRDefault="0050147F" w:rsidP="00603635">
      <w:pPr>
        <w:rPr>
          <w:rFonts w:asciiTheme="minorHAnsi" w:hAnsiTheme="minorHAnsi" w:cstheme="minorHAnsi"/>
          <w:u w:val="single"/>
        </w:rPr>
      </w:pPr>
      <w:r w:rsidRPr="006830B4">
        <w:rPr>
          <w:rFonts w:asciiTheme="minorHAnsi" w:hAnsiTheme="minorHAnsi" w:cstheme="minorHAnsi"/>
          <w:u w:val="single"/>
        </w:rPr>
        <w:t>Registrations</w:t>
      </w:r>
    </w:p>
    <w:p w14:paraId="1405609E" w14:textId="5A924BB4" w:rsidR="009E41AF" w:rsidRPr="003E19EE" w:rsidRDefault="009E41AF" w:rsidP="009E41AF">
      <w:pPr>
        <w:pStyle w:val="Spacer"/>
      </w:pPr>
      <w:r>
        <w:rPr>
          <w:iCs/>
        </w:rPr>
        <w:t>S</w:t>
      </w:r>
      <w:r w:rsidRPr="00D97611">
        <w:rPr>
          <w:iCs/>
        </w:rPr>
        <w:t xml:space="preserve">urvivor registrations </w:t>
      </w:r>
      <w:r>
        <w:rPr>
          <w:iCs/>
        </w:rPr>
        <w:t xml:space="preserve">were </w:t>
      </w:r>
      <w:r w:rsidR="00B34318">
        <w:rPr>
          <w:iCs/>
        </w:rPr>
        <w:t>1,</w:t>
      </w:r>
      <w:r w:rsidR="004C19F1">
        <w:rPr>
          <w:iCs/>
        </w:rPr>
        <w:t>635</w:t>
      </w:r>
      <w:r w:rsidR="00B34318">
        <w:rPr>
          <w:iCs/>
        </w:rPr>
        <w:t xml:space="preserve"> </w:t>
      </w:r>
      <w:r>
        <w:rPr>
          <w:iCs/>
        </w:rPr>
        <w:t xml:space="preserve">in total </w:t>
      </w:r>
      <w:r w:rsidR="006830B4">
        <w:rPr>
          <w:iCs/>
        </w:rPr>
        <w:t>as at 30 June 2020</w:t>
      </w:r>
      <w:r w:rsidR="00E26A33">
        <w:rPr>
          <w:iCs/>
        </w:rPr>
        <w:t xml:space="preserve"> </w:t>
      </w:r>
      <w:r w:rsidR="00A61E5B">
        <w:rPr>
          <w:iCs/>
        </w:rPr>
        <w:t>(201</w:t>
      </w:r>
      <w:r w:rsidR="00A34E70">
        <w:rPr>
          <w:iCs/>
        </w:rPr>
        <w:t>8/19</w:t>
      </w:r>
      <w:r w:rsidR="00A61E5B">
        <w:rPr>
          <w:iCs/>
        </w:rPr>
        <w:t xml:space="preserve">: </w:t>
      </w:r>
      <w:r w:rsidR="00A34E70">
        <w:rPr>
          <w:iCs/>
        </w:rPr>
        <w:t>1,100</w:t>
      </w:r>
      <w:r w:rsidR="00A61E5B">
        <w:rPr>
          <w:iCs/>
        </w:rPr>
        <w:t>).</w:t>
      </w:r>
      <w:r w:rsidR="006830B4">
        <w:rPr>
          <w:iCs/>
        </w:rPr>
        <w:t xml:space="preserve"> </w:t>
      </w:r>
      <w:r>
        <w:rPr>
          <w:b/>
          <w:bCs/>
          <w:iCs/>
        </w:rPr>
        <w:t xml:space="preserve"> </w:t>
      </w:r>
      <w:r w:rsidR="00A34E70">
        <w:rPr>
          <w:bCs/>
          <w:iCs/>
        </w:rPr>
        <w:t>R</w:t>
      </w:r>
      <w:r w:rsidR="006830B4">
        <w:rPr>
          <w:bCs/>
          <w:iCs/>
        </w:rPr>
        <w:t xml:space="preserve">egistrations have been running consistently lower </w:t>
      </w:r>
      <w:r w:rsidR="00A61E5B">
        <w:rPr>
          <w:bCs/>
          <w:iCs/>
        </w:rPr>
        <w:t>that projected</w:t>
      </w:r>
      <w:r w:rsidR="006830B4">
        <w:rPr>
          <w:bCs/>
          <w:iCs/>
        </w:rPr>
        <w:t xml:space="preserve"> over the course of the Inquiry, </w:t>
      </w:r>
      <w:r w:rsidR="00A34E70">
        <w:rPr>
          <w:bCs/>
          <w:iCs/>
        </w:rPr>
        <w:t xml:space="preserve">however </w:t>
      </w:r>
      <w:r w:rsidRPr="00D97611">
        <w:rPr>
          <w:iCs/>
        </w:rPr>
        <w:t>we expect to see numbers progressively increase as we move into our programme of public hearings</w:t>
      </w:r>
      <w:r>
        <w:rPr>
          <w:iCs/>
        </w:rPr>
        <w:t xml:space="preserve"> commencing from September 2020.</w:t>
      </w:r>
    </w:p>
    <w:p w14:paraId="4FE14A29" w14:textId="77777777" w:rsidR="006830B4" w:rsidRDefault="006830B4" w:rsidP="006830B4">
      <w:pPr>
        <w:pStyle w:val="Spacer"/>
      </w:pPr>
    </w:p>
    <w:p w14:paraId="2D8145C4" w14:textId="766A6E94" w:rsidR="009E41AF" w:rsidRPr="007809BF" w:rsidRDefault="009E41AF" w:rsidP="006830B4">
      <w:pPr>
        <w:pStyle w:val="Spacer"/>
      </w:pPr>
      <w:r>
        <w:t xml:space="preserve">We forecast that we will have between </w:t>
      </w:r>
      <w:r w:rsidR="00B40BC0" w:rsidRPr="008E1A2D">
        <w:t>6,000 to 9,000</w:t>
      </w:r>
      <w:r w:rsidR="00B40BC0">
        <w:t xml:space="preserve"> </w:t>
      </w:r>
      <w:r>
        <w:t xml:space="preserve">registrations over the life of the </w:t>
      </w:r>
      <w:r w:rsidRPr="003670B5">
        <w:t>in</w:t>
      </w:r>
      <w:r>
        <w:t>quiry</w:t>
      </w:r>
      <w:r w:rsidR="00A61E5B">
        <w:t xml:space="preserve"> to its current completion date in January 2023</w:t>
      </w:r>
      <w:r>
        <w:t xml:space="preserve">. This is based on actual registrations to date and then </w:t>
      </w:r>
      <w:r w:rsidR="006830B4">
        <w:t xml:space="preserve">a </w:t>
      </w:r>
      <w:r>
        <w:t>forecast based on expected registration volumes off the back of public hearings and other planned engagement activities</w:t>
      </w:r>
      <w:r w:rsidR="006830B4">
        <w:t>.</w:t>
      </w:r>
    </w:p>
    <w:p w14:paraId="5206A9D5" w14:textId="0559262C" w:rsidR="00BA384F" w:rsidRPr="006830B4" w:rsidRDefault="00BA384F" w:rsidP="00603635">
      <w:pPr>
        <w:rPr>
          <w:rFonts w:asciiTheme="minorHAnsi" w:hAnsiTheme="minorHAnsi" w:cstheme="minorHAnsi"/>
          <w:u w:val="single"/>
        </w:rPr>
      </w:pPr>
      <w:r w:rsidRPr="006830B4">
        <w:rPr>
          <w:rFonts w:asciiTheme="minorHAnsi" w:hAnsiTheme="minorHAnsi" w:cstheme="minorHAnsi"/>
          <w:u w:val="single"/>
        </w:rPr>
        <w:t>Investigations</w:t>
      </w:r>
    </w:p>
    <w:p w14:paraId="3009F4F0" w14:textId="2E45FBBB" w:rsidR="006830B4" w:rsidRDefault="006830B4" w:rsidP="006830B4">
      <w:pPr>
        <w:pStyle w:val="Spacer"/>
      </w:pPr>
      <w:r>
        <w:rPr>
          <w:rFonts w:asciiTheme="minorHAnsi" w:hAnsiTheme="minorHAnsi" w:cstheme="minorHAnsi"/>
        </w:rPr>
        <w:t>Planning and resourcing our large investigations programme has been a key focus during 2</w:t>
      </w:r>
      <w:r w:rsidR="00A61E5B">
        <w:rPr>
          <w:rFonts w:asciiTheme="minorHAnsi" w:hAnsiTheme="minorHAnsi" w:cstheme="minorHAnsi"/>
        </w:rPr>
        <w:t>019/20</w:t>
      </w:r>
      <w:r>
        <w:rPr>
          <w:rFonts w:asciiTheme="minorHAnsi" w:hAnsiTheme="minorHAnsi" w:cstheme="minorHAnsi"/>
        </w:rPr>
        <w:t xml:space="preserve">. The programme is now well </w:t>
      </w:r>
      <w:r w:rsidRPr="003670B5">
        <w:rPr>
          <w:rFonts w:asciiTheme="minorHAnsi" w:hAnsiTheme="minorHAnsi" w:cstheme="minorHAnsi"/>
        </w:rPr>
        <w:t>underway</w:t>
      </w:r>
      <w:r w:rsidR="0011328A" w:rsidRPr="003670B5">
        <w:rPr>
          <w:rFonts w:asciiTheme="minorHAnsi" w:hAnsiTheme="minorHAnsi" w:cstheme="minorHAnsi"/>
        </w:rPr>
        <w:t>.</w:t>
      </w:r>
      <w:r w:rsidRPr="003670B5">
        <w:rPr>
          <w:rFonts w:asciiTheme="minorHAnsi" w:hAnsiTheme="minorHAnsi" w:cstheme="minorHAnsi"/>
        </w:rPr>
        <w:t xml:space="preserve"> </w:t>
      </w:r>
      <w:r w:rsidRPr="003670B5">
        <w:t>We</w:t>
      </w:r>
      <w:r>
        <w:t xml:space="preserve"> have </w:t>
      </w:r>
      <w:r w:rsidR="001E12DB">
        <w:t xml:space="preserve">established multi-disciplinary teams and </w:t>
      </w:r>
      <w:r>
        <w:t>launched eight investigations – four thematic, and four care setting investigations as follows:</w:t>
      </w:r>
    </w:p>
    <w:p w14:paraId="09067AE0" w14:textId="77777777" w:rsidR="006830B4" w:rsidRPr="009F7D62" w:rsidRDefault="006830B4" w:rsidP="006830B4">
      <w:pPr>
        <w:rPr>
          <w:bCs/>
        </w:rPr>
      </w:pPr>
      <w:r w:rsidRPr="009F7D62">
        <w:rPr>
          <w:bCs/>
        </w:rPr>
        <w:t>Thematic:</w:t>
      </w:r>
    </w:p>
    <w:p w14:paraId="58A49520" w14:textId="77777777" w:rsidR="006830B4" w:rsidRDefault="006830B4" w:rsidP="006830B4">
      <w:pPr>
        <w:pStyle w:val="List123"/>
        <w:ind w:left="851" w:hanging="425"/>
      </w:pPr>
      <w:r>
        <w:t>Redress (state and faith)</w:t>
      </w:r>
    </w:p>
    <w:p w14:paraId="3CF9DDD8" w14:textId="77777777" w:rsidR="006830B4" w:rsidRDefault="006830B4" w:rsidP="006830B4">
      <w:pPr>
        <w:pStyle w:val="List123"/>
        <w:ind w:left="851" w:hanging="425"/>
      </w:pPr>
      <w:r>
        <w:t>Māori experience of care</w:t>
      </w:r>
    </w:p>
    <w:p w14:paraId="58C06C8D" w14:textId="77777777" w:rsidR="006830B4" w:rsidRDefault="006830B4" w:rsidP="006830B4">
      <w:pPr>
        <w:pStyle w:val="List123"/>
        <w:ind w:left="851" w:hanging="425"/>
      </w:pPr>
      <w:r>
        <w:t>Pacific people’s experience of care</w:t>
      </w:r>
    </w:p>
    <w:p w14:paraId="69114931" w14:textId="5B0101F7" w:rsidR="006830B4" w:rsidRDefault="006830B4" w:rsidP="006830B4">
      <w:pPr>
        <w:pStyle w:val="List123"/>
        <w:ind w:left="851" w:hanging="425"/>
      </w:pPr>
      <w:r>
        <w:t>Disability (</w:t>
      </w:r>
      <w:r w:rsidR="001E12DB">
        <w:t xml:space="preserve">both </w:t>
      </w:r>
      <w:r>
        <w:t>thematic and care setting)</w:t>
      </w:r>
    </w:p>
    <w:p w14:paraId="5731D330" w14:textId="77777777" w:rsidR="006830B4" w:rsidRPr="009F7D62" w:rsidRDefault="006830B4" w:rsidP="006830B4">
      <w:pPr>
        <w:pStyle w:val="List123"/>
        <w:numPr>
          <w:ilvl w:val="0"/>
          <w:numId w:val="0"/>
        </w:numPr>
        <w:rPr>
          <w:bCs/>
        </w:rPr>
      </w:pPr>
      <w:r w:rsidRPr="009F7D62">
        <w:rPr>
          <w:bCs/>
        </w:rPr>
        <w:t>Care setting:</w:t>
      </w:r>
    </w:p>
    <w:p w14:paraId="2D7FB1FA" w14:textId="77777777" w:rsidR="006830B4" w:rsidRDefault="006830B4" w:rsidP="006830B4">
      <w:pPr>
        <w:pStyle w:val="List123"/>
        <w:ind w:left="851" w:hanging="425"/>
      </w:pPr>
      <w:r>
        <w:t>Psychiatric care</w:t>
      </w:r>
    </w:p>
    <w:p w14:paraId="16DB9FFC" w14:textId="77777777" w:rsidR="006830B4" w:rsidRDefault="006830B4" w:rsidP="006830B4">
      <w:pPr>
        <w:pStyle w:val="List123"/>
        <w:ind w:left="851" w:hanging="425"/>
      </w:pPr>
      <w:r>
        <w:t>State children’s residential homes</w:t>
      </w:r>
    </w:p>
    <w:p w14:paraId="02954A10" w14:textId="77777777" w:rsidR="006830B4" w:rsidRDefault="006830B4" w:rsidP="006830B4">
      <w:pPr>
        <w:pStyle w:val="List123"/>
        <w:ind w:left="851" w:hanging="425"/>
      </w:pPr>
      <w:r>
        <w:t>Catholic Church</w:t>
      </w:r>
    </w:p>
    <w:p w14:paraId="3446EE2D" w14:textId="77777777" w:rsidR="006830B4" w:rsidRDefault="006830B4" w:rsidP="006830B4">
      <w:pPr>
        <w:pStyle w:val="List123"/>
        <w:ind w:left="851" w:hanging="425"/>
      </w:pPr>
      <w:r>
        <w:t>Anglican Church</w:t>
      </w:r>
    </w:p>
    <w:p w14:paraId="202C0E31" w14:textId="77777777" w:rsidR="006830B4" w:rsidRDefault="006830B4" w:rsidP="006830B4">
      <w:pPr>
        <w:pStyle w:val="List123"/>
        <w:numPr>
          <w:ilvl w:val="0"/>
          <w:numId w:val="0"/>
        </w:numPr>
        <w:ind w:left="1440"/>
      </w:pPr>
    </w:p>
    <w:p w14:paraId="1784D147" w14:textId="77777777" w:rsidR="001E12DB" w:rsidRDefault="001E12DB" w:rsidP="001E12DB">
      <w:pPr>
        <w:pStyle w:val="Spacer"/>
        <w:rPr>
          <w:rFonts w:asciiTheme="minorHAnsi" w:hAnsiTheme="minorHAnsi" w:cstheme="minorHAnsi"/>
        </w:rPr>
      </w:pPr>
      <w:r>
        <w:rPr>
          <w:rFonts w:asciiTheme="minorHAnsi" w:hAnsiTheme="minorHAnsi" w:cstheme="minorHAnsi"/>
        </w:rPr>
        <w:t xml:space="preserve">We are planning that each of the investigations will have at least one public hearing in the next 18 months (to the end of 2021). </w:t>
      </w:r>
      <w:r w:rsidRPr="00D97611">
        <w:rPr>
          <w:rFonts w:asciiTheme="minorHAnsi" w:hAnsiTheme="minorHAnsi" w:cstheme="minorHAnsi"/>
        </w:rPr>
        <w:t xml:space="preserve"> </w:t>
      </w:r>
      <w:r>
        <w:rPr>
          <w:rFonts w:asciiTheme="minorHAnsi" w:hAnsiTheme="minorHAnsi" w:cstheme="minorHAnsi"/>
        </w:rPr>
        <w:t>Case studies approved so far for public hearings are the Lake Alice child and adolescent unit, and Marylands School in Christchurch run by a Catholic Order.</w:t>
      </w:r>
    </w:p>
    <w:p w14:paraId="24E64579" w14:textId="4B8943B0" w:rsidR="006830B4" w:rsidRDefault="006830B4" w:rsidP="006830B4">
      <w:pPr>
        <w:pStyle w:val="Spacer"/>
        <w:rPr>
          <w:rFonts w:asciiTheme="minorHAnsi" w:hAnsiTheme="minorHAnsi" w:cstheme="minorHAnsi"/>
        </w:rPr>
      </w:pPr>
    </w:p>
    <w:p w14:paraId="2D6A379B" w14:textId="77777777" w:rsidR="0002629F" w:rsidRDefault="0002629F" w:rsidP="006830B4">
      <w:pPr>
        <w:pStyle w:val="Spacer"/>
        <w:rPr>
          <w:rFonts w:asciiTheme="minorHAnsi" w:hAnsiTheme="minorHAnsi" w:cstheme="minorHAnsi"/>
          <w:u w:val="single"/>
        </w:rPr>
      </w:pPr>
    </w:p>
    <w:p w14:paraId="6AFE51D1" w14:textId="77777777" w:rsidR="0002629F" w:rsidRDefault="0002629F" w:rsidP="006830B4">
      <w:pPr>
        <w:pStyle w:val="Spacer"/>
        <w:rPr>
          <w:rFonts w:asciiTheme="minorHAnsi" w:hAnsiTheme="minorHAnsi" w:cstheme="minorHAnsi"/>
          <w:u w:val="single"/>
        </w:rPr>
      </w:pPr>
    </w:p>
    <w:p w14:paraId="40762AE0" w14:textId="77777777" w:rsidR="0002629F" w:rsidRDefault="0002629F" w:rsidP="006830B4">
      <w:pPr>
        <w:pStyle w:val="Spacer"/>
        <w:rPr>
          <w:rFonts w:asciiTheme="minorHAnsi" w:hAnsiTheme="minorHAnsi" w:cstheme="minorHAnsi"/>
          <w:u w:val="single"/>
        </w:rPr>
      </w:pPr>
    </w:p>
    <w:p w14:paraId="0C5B22A6" w14:textId="77777777" w:rsidR="0002629F" w:rsidRDefault="0002629F" w:rsidP="006830B4">
      <w:pPr>
        <w:pStyle w:val="Spacer"/>
        <w:rPr>
          <w:rFonts w:asciiTheme="minorHAnsi" w:hAnsiTheme="minorHAnsi" w:cstheme="minorHAnsi"/>
          <w:u w:val="single"/>
        </w:rPr>
      </w:pPr>
    </w:p>
    <w:p w14:paraId="68A09CEB" w14:textId="77777777" w:rsidR="0002629F" w:rsidRDefault="0002629F" w:rsidP="006830B4">
      <w:pPr>
        <w:pStyle w:val="Spacer"/>
        <w:rPr>
          <w:rFonts w:asciiTheme="minorHAnsi" w:hAnsiTheme="minorHAnsi" w:cstheme="minorHAnsi"/>
          <w:u w:val="single"/>
        </w:rPr>
      </w:pPr>
    </w:p>
    <w:p w14:paraId="3BD32CBB" w14:textId="77777777" w:rsidR="0002629F" w:rsidRDefault="0002629F" w:rsidP="006830B4">
      <w:pPr>
        <w:pStyle w:val="Spacer"/>
        <w:rPr>
          <w:rFonts w:asciiTheme="minorHAnsi" w:hAnsiTheme="minorHAnsi" w:cstheme="minorHAnsi"/>
          <w:u w:val="single"/>
        </w:rPr>
      </w:pPr>
    </w:p>
    <w:p w14:paraId="3AC9763F" w14:textId="77777777" w:rsidR="0002629F" w:rsidRDefault="0002629F" w:rsidP="006830B4">
      <w:pPr>
        <w:pStyle w:val="Spacer"/>
        <w:rPr>
          <w:rFonts w:asciiTheme="minorHAnsi" w:hAnsiTheme="minorHAnsi" w:cstheme="minorHAnsi"/>
          <w:u w:val="single"/>
        </w:rPr>
      </w:pPr>
    </w:p>
    <w:p w14:paraId="2D1C552E" w14:textId="77777777" w:rsidR="0002629F" w:rsidRDefault="0002629F" w:rsidP="006830B4">
      <w:pPr>
        <w:pStyle w:val="Spacer"/>
        <w:rPr>
          <w:rFonts w:asciiTheme="minorHAnsi" w:hAnsiTheme="minorHAnsi" w:cstheme="minorHAnsi"/>
          <w:u w:val="single"/>
        </w:rPr>
      </w:pPr>
    </w:p>
    <w:p w14:paraId="2036E738" w14:textId="5DCA188A" w:rsidR="00BA384F" w:rsidRPr="006830B4" w:rsidRDefault="00BA384F" w:rsidP="006830B4">
      <w:pPr>
        <w:pStyle w:val="Spacer"/>
        <w:rPr>
          <w:rFonts w:asciiTheme="minorHAnsi" w:hAnsiTheme="minorHAnsi" w:cstheme="minorHAnsi"/>
        </w:rPr>
      </w:pPr>
      <w:r w:rsidRPr="006830B4">
        <w:rPr>
          <w:rFonts w:asciiTheme="minorHAnsi" w:hAnsiTheme="minorHAnsi" w:cstheme="minorHAnsi"/>
          <w:u w:val="single"/>
        </w:rPr>
        <w:lastRenderedPageBreak/>
        <w:t>Public hearings</w:t>
      </w:r>
    </w:p>
    <w:p w14:paraId="14B4FBE8" w14:textId="46935C09" w:rsidR="001E12DB" w:rsidRDefault="00A61E5B" w:rsidP="009F7D62">
      <w:r>
        <w:t>The R</w:t>
      </w:r>
      <w:r w:rsidR="00A34E70">
        <w:t xml:space="preserve">oyal </w:t>
      </w:r>
      <w:r w:rsidR="00A34E70" w:rsidRPr="001F11CD">
        <w:t>Commission</w:t>
      </w:r>
      <w:r w:rsidRPr="001F11CD">
        <w:t xml:space="preserve"> </w:t>
      </w:r>
      <w:r w:rsidR="001E12DB" w:rsidRPr="001F11CD">
        <w:t>held</w:t>
      </w:r>
      <w:r w:rsidR="001E12DB">
        <w:t xml:space="preserve"> a Procedural hearing </w:t>
      </w:r>
      <w:r w:rsidR="009F7D62">
        <w:t>in August 2019</w:t>
      </w:r>
      <w:r>
        <w:t xml:space="preserve">. Its aim was to </w:t>
      </w:r>
      <w:r w:rsidR="009F7D62">
        <w:t>provide further information about how the R</w:t>
      </w:r>
      <w:r w:rsidR="00A34E70">
        <w:t>oyal Commission</w:t>
      </w:r>
      <w:r w:rsidR="009F7D62">
        <w:t xml:space="preserve"> will be undertaking the Inquiry. The first substantive </w:t>
      </w:r>
      <w:r w:rsidR="001E12DB">
        <w:t>p</w:t>
      </w:r>
      <w:r w:rsidR="009F7D62">
        <w:t>ublic hearing</w:t>
      </w:r>
      <w:r>
        <w:t xml:space="preserve">, </w:t>
      </w:r>
      <w:r w:rsidR="001E12DB">
        <w:t>our</w:t>
      </w:r>
      <w:r>
        <w:t xml:space="preserve"> Contextual hearing,</w:t>
      </w:r>
      <w:r w:rsidR="009F7D62">
        <w:t xml:space="preserve"> took place in Auckland in October and November 2019.  </w:t>
      </w:r>
      <w:r w:rsidR="001E12DB">
        <w:t>The focus of the Contextual hearing was</w:t>
      </w:r>
      <w:r w:rsidR="001E12DB" w:rsidRPr="003F1A1F">
        <w:t xml:space="preserve"> </w:t>
      </w:r>
      <w:r w:rsidR="001E12DB">
        <w:t xml:space="preserve">to examine key elements that led to the establishment of the Royal Commission and some of the </w:t>
      </w:r>
      <w:r w:rsidR="001E12DB" w:rsidRPr="00C35706">
        <w:t>issues that will be examined</w:t>
      </w:r>
      <w:r w:rsidR="001E12DB">
        <w:t xml:space="preserve"> during </w:t>
      </w:r>
      <w:r w:rsidR="001E12DB" w:rsidRPr="001F11CD">
        <w:t>the inquiry</w:t>
      </w:r>
      <w:r w:rsidR="001E12DB" w:rsidRPr="00C35706">
        <w:t>, including the disproportionate extent of abuse in care for whānau Māori</w:t>
      </w:r>
      <w:r w:rsidR="001E12DB">
        <w:t xml:space="preserve"> and people </w:t>
      </w:r>
      <w:r w:rsidR="001E12DB" w:rsidRPr="001F11CD">
        <w:t xml:space="preserve">with </w:t>
      </w:r>
      <w:r w:rsidR="0011328A" w:rsidRPr="001F11CD">
        <w:t xml:space="preserve">a </w:t>
      </w:r>
      <w:r w:rsidR="001E12DB" w:rsidRPr="001F11CD">
        <w:t>disability</w:t>
      </w:r>
      <w:r w:rsidR="001E12DB">
        <w:t>, and the intergenerational impacts of abuse</w:t>
      </w:r>
      <w:r w:rsidR="001E12DB" w:rsidRPr="00C35706">
        <w:t xml:space="preserve">. </w:t>
      </w:r>
    </w:p>
    <w:p w14:paraId="2F24C4C0" w14:textId="2DF81985" w:rsidR="009F7D62" w:rsidRDefault="001E12DB" w:rsidP="009F7D62">
      <w:r>
        <w:t xml:space="preserve">Twenty-eight individual witnesses gave evidence, including victims, survivors, experts, academics and historians. </w:t>
      </w:r>
    </w:p>
    <w:p w14:paraId="0B5CB9BC" w14:textId="667446FD" w:rsidR="001E12DB" w:rsidRDefault="001E12DB" w:rsidP="001E12DB">
      <w:pPr>
        <w:pStyle w:val="Spacer"/>
      </w:pPr>
      <w:r>
        <w:t xml:space="preserve">Public hearings as part of the redress investigation were deferred from March and May 2020 due to COVID-19. New dates have now been set for September and October 2020 for state-based redress hearings and </w:t>
      </w:r>
      <w:r w:rsidR="005B1658">
        <w:t xml:space="preserve">for </w:t>
      </w:r>
      <w:r>
        <w:t xml:space="preserve">November 2020 </w:t>
      </w:r>
      <w:r w:rsidR="005B1658">
        <w:t xml:space="preserve">and March 2021 </w:t>
      </w:r>
      <w:r>
        <w:t xml:space="preserve">for a faith-based redress hearing. Preparation for those hearings is on track. The hearings will take place in our new purpose-built facility in Auckland. </w:t>
      </w:r>
    </w:p>
    <w:p w14:paraId="7F4E1AD7" w14:textId="77777777" w:rsidR="001E12DB" w:rsidRDefault="001E12DB" w:rsidP="001E12DB">
      <w:pPr>
        <w:pStyle w:val="Spacer"/>
      </w:pPr>
    </w:p>
    <w:p w14:paraId="72689720" w14:textId="0C5C5D00" w:rsidR="001E12DB" w:rsidRDefault="001E12DB" w:rsidP="001E12DB">
      <w:pPr>
        <w:pStyle w:val="Spacer"/>
      </w:pPr>
      <w:r>
        <w:t xml:space="preserve">In 2021 we are planning further public hearings on institutions and themes within our current investigations, as well as roundtables, hui and fono. </w:t>
      </w:r>
    </w:p>
    <w:p w14:paraId="4E687DD3" w14:textId="77777777" w:rsidR="001E12DB" w:rsidRDefault="001E12DB" w:rsidP="001E12DB">
      <w:pPr>
        <w:pStyle w:val="Spacer"/>
      </w:pPr>
    </w:p>
    <w:p w14:paraId="0315C444" w14:textId="77777777" w:rsidR="009F7D62" w:rsidRPr="00225539" w:rsidRDefault="009F7D62" w:rsidP="009F7D62">
      <w:pPr>
        <w:rPr>
          <w:rFonts w:asciiTheme="minorHAnsi" w:hAnsiTheme="minorHAnsi" w:cstheme="minorHAnsi"/>
          <w:u w:val="single"/>
        </w:rPr>
      </w:pPr>
      <w:r w:rsidRPr="00225539">
        <w:rPr>
          <w:rFonts w:asciiTheme="minorHAnsi" w:hAnsiTheme="minorHAnsi" w:cstheme="minorHAnsi"/>
          <w:u w:val="single"/>
        </w:rPr>
        <w:t>Private sessions</w:t>
      </w:r>
    </w:p>
    <w:p w14:paraId="32BE0A1A" w14:textId="2EC47A41" w:rsidR="00B919E4" w:rsidRDefault="009F7D62" w:rsidP="009F7D62">
      <w:r w:rsidRPr="00DB0C7F">
        <w:t>Private sessions, where survivors share their experiences of abuse</w:t>
      </w:r>
      <w:r w:rsidR="00FA3F6A">
        <w:t xml:space="preserve"> kanohi ki te kanohi with a Commissioner</w:t>
      </w:r>
      <w:r w:rsidRPr="00DB0C7F">
        <w:t xml:space="preserve">, continued during the </w:t>
      </w:r>
      <w:r>
        <w:t>year, although with a temporary hiatus during the COVID-19 lockdown period.</w:t>
      </w:r>
      <w:r w:rsidRPr="00DB0C7F">
        <w:t xml:space="preserve"> Commissioners visited venues in </w:t>
      </w:r>
      <w:r w:rsidR="009E27B3">
        <w:t>25</w:t>
      </w:r>
      <w:r w:rsidR="009E27B3" w:rsidRPr="00DB0C7F">
        <w:t xml:space="preserve"> </w:t>
      </w:r>
      <w:r w:rsidRPr="00DB0C7F">
        <w:t xml:space="preserve">locations </w:t>
      </w:r>
      <w:r>
        <w:t>during the year</w:t>
      </w:r>
      <w:r w:rsidR="00B919E4">
        <w:t xml:space="preserve">, </w:t>
      </w:r>
      <w:r w:rsidRPr="00DB0C7F">
        <w:t xml:space="preserve">including metropolitan centres and a number of smaller regional locations such as Kerikeri, Napier, </w:t>
      </w:r>
      <w:r>
        <w:t xml:space="preserve">and </w:t>
      </w:r>
      <w:r w:rsidRPr="00DB0C7F">
        <w:t xml:space="preserve">Papamoa.  Sessions were also held in </w:t>
      </w:r>
      <w:r w:rsidR="00A56F1F">
        <w:t>6</w:t>
      </w:r>
      <w:r w:rsidR="009E27B3">
        <w:t xml:space="preserve"> </w:t>
      </w:r>
      <w:r w:rsidRPr="00DB0C7F">
        <w:t>prison</w:t>
      </w:r>
      <w:r w:rsidR="00A61E5B">
        <w:t>s</w:t>
      </w:r>
      <w:r w:rsidRPr="00DB0C7F">
        <w:t xml:space="preserve">. A total of </w:t>
      </w:r>
      <w:r w:rsidR="009E27B3">
        <w:t xml:space="preserve">374 </w:t>
      </w:r>
      <w:r w:rsidR="00B919E4">
        <w:t>private</w:t>
      </w:r>
      <w:r w:rsidRPr="00DB0C7F">
        <w:t xml:space="preserve"> sessions were held with survivors</w:t>
      </w:r>
      <w:r w:rsidR="00B919E4">
        <w:t xml:space="preserve"> during 2019/20</w:t>
      </w:r>
      <w:r w:rsidR="00A61E5B">
        <w:t xml:space="preserve"> (2018/19: </w:t>
      </w:r>
      <w:r w:rsidR="00A34E70">
        <w:t>70)</w:t>
      </w:r>
      <w:r w:rsidR="00B919E4">
        <w:t xml:space="preserve"> and </w:t>
      </w:r>
      <w:r w:rsidR="009E27B3">
        <w:t xml:space="preserve">444 </w:t>
      </w:r>
      <w:r w:rsidR="00B919E4">
        <w:t xml:space="preserve">sessions </w:t>
      </w:r>
      <w:r w:rsidR="00A61E5B">
        <w:t xml:space="preserve">have been held over the life </w:t>
      </w:r>
      <w:r w:rsidR="00B919E4">
        <w:t xml:space="preserve">of </w:t>
      </w:r>
      <w:r w:rsidR="00B919E4" w:rsidRPr="001F11CD">
        <w:t>the RC.</w:t>
      </w:r>
    </w:p>
    <w:p w14:paraId="497919ED" w14:textId="15D4538B" w:rsidR="00B919E4" w:rsidRPr="00B919E4" w:rsidRDefault="00B919E4" w:rsidP="00B919E4">
      <w:pPr>
        <w:pStyle w:val="Spacer"/>
      </w:pPr>
      <w:r w:rsidRPr="00B919E4">
        <w:t xml:space="preserve">For </w:t>
      </w:r>
      <w:r w:rsidR="00A61E5B">
        <w:t xml:space="preserve">June and July 2020 </w:t>
      </w:r>
      <w:r>
        <w:t>sessions have been</w:t>
      </w:r>
      <w:r w:rsidRPr="00B919E4">
        <w:t xml:space="preserve"> a mix of face to face and Zoom sessions. We have also received </w:t>
      </w:r>
      <w:r w:rsidR="009E27B3">
        <w:t>nine</w:t>
      </w:r>
      <w:r w:rsidR="009E27B3" w:rsidRPr="00B919E4">
        <w:t xml:space="preserve"> </w:t>
      </w:r>
      <w:r w:rsidRPr="00B919E4">
        <w:t xml:space="preserve">written accounts </w:t>
      </w:r>
      <w:r w:rsidR="00A34E70">
        <w:t xml:space="preserve">in 2019/20 </w:t>
      </w:r>
      <w:r w:rsidRPr="00B919E4">
        <w:t>since these were offered to survivors in May</w:t>
      </w:r>
      <w:r>
        <w:t xml:space="preserve"> 2020</w:t>
      </w:r>
      <w:r w:rsidRPr="00B919E4">
        <w:t xml:space="preserve">. We are hosting group sessions </w:t>
      </w:r>
      <w:r>
        <w:t xml:space="preserve">in July 2020 for the first time. </w:t>
      </w:r>
    </w:p>
    <w:p w14:paraId="0A2611E3" w14:textId="67DC981F" w:rsidR="00FA3F6A" w:rsidRPr="00E32B16" w:rsidRDefault="009F7D62" w:rsidP="00FA3F6A">
      <w:r>
        <w:t>Well-being support, including counselling, continues to be offered to all survivors and others who engage with the</w:t>
      </w:r>
      <w:r w:rsidR="00A34E70">
        <w:t xml:space="preserve"> </w:t>
      </w:r>
      <w:r w:rsidR="00A61E5B">
        <w:t>R</w:t>
      </w:r>
      <w:r w:rsidR="00A34E70">
        <w:t>oyal Commission</w:t>
      </w:r>
      <w:r>
        <w:t>. For those survivors undertaking a private session with Commissioners, support is offered before, during and after the session. The feedback we have had from survivors rates the support offered through private sessions as consistently “excellent”.</w:t>
      </w:r>
    </w:p>
    <w:p w14:paraId="5C8CFC63" w14:textId="49603034" w:rsidR="00FA3F6A" w:rsidRPr="00FA3F6A" w:rsidRDefault="00FA3F6A" w:rsidP="00FA3F6A">
      <w:pPr>
        <w:rPr>
          <w:rFonts w:asciiTheme="minorHAnsi" w:hAnsiTheme="minorHAnsi" w:cstheme="minorHAnsi"/>
          <w:u w:val="single"/>
        </w:rPr>
      </w:pPr>
      <w:r w:rsidRPr="00FA3F6A">
        <w:rPr>
          <w:rFonts w:asciiTheme="minorHAnsi" w:hAnsiTheme="minorHAnsi" w:cstheme="minorHAnsi"/>
          <w:u w:val="single"/>
        </w:rPr>
        <w:t>Legal Assistance</w:t>
      </w:r>
    </w:p>
    <w:p w14:paraId="5241DE44" w14:textId="1FE5295C" w:rsidR="00FA3F6A" w:rsidRDefault="00FA3F6A" w:rsidP="00E32B16">
      <w:pPr>
        <w:pStyle w:val="Spacer"/>
        <w:rPr>
          <w:rFonts w:asciiTheme="minorHAnsi" w:hAnsiTheme="minorHAnsi" w:cstheme="minorHAnsi"/>
        </w:rPr>
      </w:pPr>
      <w:r>
        <w:rPr>
          <w:rFonts w:asciiTheme="minorHAnsi" w:hAnsiTheme="minorHAnsi" w:cstheme="minorHAnsi"/>
        </w:rPr>
        <w:t xml:space="preserve">Legal assistance is provided for under section 18 of the Inquiries Act. The administrative processes and funding to support applications </w:t>
      </w:r>
      <w:r w:rsidRPr="00E32B16">
        <w:rPr>
          <w:rFonts w:asciiTheme="minorHAnsi" w:hAnsiTheme="minorHAnsi" w:cstheme="minorHAnsi"/>
        </w:rPr>
        <w:t xml:space="preserve">from participants for legal assistance </w:t>
      </w:r>
      <w:r w:rsidR="00FD1A64" w:rsidRPr="00E32B16">
        <w:rPr>
          <w:rFonts w:asciiTheme="minorHAnsi" w:hAnsiTheme="minorHAnsi" w:cstheme="minorHAnsi"/>
        </w:rPr>
        <w:t>- (</w:t>
      </w:r>
      <w:r w:rsidRPr="00E32B16">
        <w:rPr>
          <w:rFonts w:asciiTheme="minorHAnsi" w:hAnsiTheme="minorHAnsi" w:cstheme="minorHAnsi"/>
        </w:rPr>
        <w:t>including legal help in preparing for private sessions) – was successfully established during 2019/20. This was progressed in conjunction with the Department, to be ready in advance of the investigations and public hearing work programme planned for 2020.</w:t>
      </w:r>
    </w:p>
    <w:p w14:paraId="41535A8D" w14:textId="53068558" w:rsidR="00BA384F" w:rsidRPr="00225539" w:rsidRDefault="00BA384F" w:rsidP="00603635">
      <w:pPr>
        <w:rPr>
          <w:rFonts w:asciiTheme="minorHAnsi" w:hAnsiTheme="minorHAnsi" w:cstheme="minorHAnsi"/>
          <w:u w:val="single"/>
        </w:rPr>
      </w:pPr>
      <w:r w:rsidRPr="00225539">
        <w:rPr>
          <w:rFonts w:asciiTheme="minorHAnsi" w:hAnsiTheme="minorHAnsi" w:cstheme="minorHAnsi"/>
          <w:u w:val="single"/>
        </w:rPr>
        <w:lastRenderedPageBreak/>
        <w:t xml:space="preserve">Research &amp; </w:t>
      </w:r>
      <w:r w:rsidR="00B919E4" w:rsidRPr="00225539">
        <w:rPr>
          <w:rFonts w:asciiTheme="minorHAnsi" w:hAnsiTheme="minorHAnsi" w:cstheme="minorHAnsi"/>
          <w:u w:val="single"/>
        </w:rPr>
        <w:t>P</w:t>
      </w:r>
      <w:r w:rsidRPr="00225539">
        <w:rPr>
          <w:rFonts w:asciiTheme="minorHAnsi" w:hAnsiTheme="minorHAnsi" w:cstheme="minorHAnsi"/>
          <w:u w:val="single"/>
        </w:rPr>
        <w:t>olicy</w:t>
      </w:r>
    </w:p>
    <w:p w14:paraId="130CA475" w14:textId="2266A80A" w:rsidR="00225539" w:rsidRDefault="00B919E4" w:rsidP="00225539">
      <w:pPr>
        <w:pStyle w:val="Spacer"/>
        <w:rPr>
          <w:rFonts w:eastAsia="Times New Roman"/>
          <w:lang w:eastAsia="en-NZ"/>
        </w:rPr>
      </w:pPr>
      <w:r>
        <w:rPr>
          <w:rFonts w:asciiTheme="minorHAnsi" w:hAnsiTheme="minorHAnsi" w:cstheme="minorHAnsi"/>
        </w:rPr>
        <w:t>During the year we have significantly scaled up the capacity and capability of the Research &amp; Policy team to meet the demands of the Inquiry over the long term. A Research and Policy strategy and work programme was approved by Commissioners</w:t>
      </w:r>
      <w:r w:rsidR="00225539">
        <w:rPr>
          <w:rFonts w:asciiTheme="minorHAnsi" w:hAnsiTheme="minorHAnsi" w:cstheme="minorHAnsi"/>
        </w:rPr>
        <w:t>,</w:t>
      </w:r>
      <w:r>
        <w:rPr>
          <w:rFonts w:asciiTheme="minorHAnsi" w:hAnsiTheme="minorHAnsi" w:cstheme="minorHAnsi"/>
        </w:rPr>
        <w:t xml:space="preserve"> comprising deliverables relating to investigations and public hearings</w:t>
      </w:r>
      <w:r w:rsidR="00225539">
        <w:rPr>
          <w:rFonts w:asciiTheme="minorHAnsi" w:hAnsiTheme="minorHAnsi" w:cstheme="minorHAnsi"/>
        </w:rPr>
        <w:t xml:space="preserve">, as well as stand-alone, core research. The team has also delivered </w:t>
      </w:r>
      <w:r w:rsidR="00225539" w:rsidRPr="0041374E">
        <w:rPr>
          <w:rFonts w:eastAsia="Times New Roman"/>
          <w:lang w:eastAsia="en-NZ"/>
        </w:rPr>
        <w:t xml:space="preserve">an </w:t>
      </w:r>
      <w:r w:rsidR="00225539">
        <w:rPr>
          <w:rFonts w:eastAsia="Times New Roman"/>
          <w:lang w:eastAsia="en-NZ"/>
        </w:rPr>
        <w:t xml:space="preserve">initial </w:t>
      </w:r>
      <w:r w:rsidR="00225539" w:rsidRPr="0041374E">
        <w:rPr>
          <w:rFonts w:eastAsia="Times New Roman"/>
          <w:lang w:eastAsia="en-NZ"/>
        </w:rPr>
        <w:t xml:space="preserve">analysis of 50 private session transcripts, across </w:t>
      </w:r>
      <w:proofErr w:type="gramStart"/>
      <w:r w:rsidR="00225539" w:rsidRPr="0041374E">
        <w:rPr>
          <w:rFonts w:eastAsia="Times New Roman"/>
          <w:lang w:eastAsia="en-NZ"/>
        </w:rPr>
        <w:t>a number of</w:t>
      </w:r>
      <w:proofErr w:type="gramEnd"/>
      <w:r w:rsidR="00225539" w:rsidRPr="0041374E">
        <w:rPr>
          <w:rFonts w:eastAsia="Times New Roman"/>
          <w:lang w:eastAsia="en-NZ"/>
        </w:rPr>
        <w:t xml:space="preserve"> care settings</w:t>
      </w:r>
      <w:r w:rsidR="00225539">
        <w:rPr>
          <w:rFonts w:eastAsia="Times New Roman"/>
          <w:lang w:eastAsia="en-NZ"/>
        </w:rPr>
        <w:t>, plus several literature reviews</w:t>
      </w:r>
      <w:r w:rsidR="00FA3F6A">
        <w:rPr>
          <w:rFonts w:eastAsia="Times New Roman"/>
          <w:lang w:eastAsia="en-NZ"/>
        </w:rPr>
        <w:t xml:space="preserve"> that will be drawn on for </w:t>
      </w:r>
      <w:r w:rsidR="00225539">
        <w:rPr>
          <w:rFonts w:eastAsia="Times New Roman"/>
          <w:lang w:eastAsia="en-NZ"/>
        </w:rPr>
        <w:t>the R</w:t>
      </w:r>
      <w:r w:rsidR="008108AA">
        <w:rPr>
          <w:rFonts w:eastAsia="Times New Roman"/>
          <w:lang w:eastAsia="en-NZ"/>
        </w:rPr>
        <w:t>oyal Commission</w:t>
      </w:r>
      <w:r w:rsidR="00225539">
        <w:rPr>
          <w:rFonts w:eastAsia="Times New Roman"/>
          <w:lang w:eastAsia="en-NZ"/>
        </w:rPr>
        <w:t xml:space="preserve">’s Interim </w:t>
      </w:r>
      <w:r w:rsidR="00271F0B">
        <w:rPr>
          <w:rFonts w:eastAsia="Times New Roman"/>
          <w:lang w:eastAsia="en-NZ"/>
        </w:rPr>
        <w:t>R</w:t>
      </w:r>
      <w:r w:rsidR="00225539">
        <w:rPr>
          <w:rFonts w:eastAsia="Times New Roman"/>
          <w:lang w:eastAsia="en-NZ"/>
        </w:rPr>
        <w:t xml:space="preserve">eport. </w:t>
      </w:r>
    </w:p>
    <w:p w14:paraId="61D25CC9" w14:textId="0D95CA19" w:rsidR="00424C4E" w:rsidRPr="00D97611" w:rsidRDefault="00424C4E" w:rsidP="00225539">
      <w:pPr>
        <w:pStyle w:val="Spacer"/>
      </w:pPr>
    </w:p>
    <w:p w14:paraId="0E5F2705" w14:textId="73689CDE" w:rsidR="00225539" w:rsidRPr="00225539" w:rsidRDefault="00BA384F" w:rsidP="00E32B16">
      <w:pPr>
        <w:spacing w:before="80" w:after="120"/>
        <w:rPr>
          <w:rFonts w:asciiTheme="minorHAnsi" w:hAnsiTheme="minorHAnsi" w:cstheme="minorHAnsi"/>
          <w:u w:val="single"/>
        </w:rPr>
      </w:pPr>
      <w:r w:rsidRPr="00225539">
        <w:rPr>
          <w:rFonts w:asciiTheme="minorHAnsi" w:hAnsiTheme="minorHAnsi" w:cstheme="minorHAnsi"/>
          <w:u w:val="single"/>
        </w:rPr>
        <w:t>Interim Report</w:t>
      </w:r>
      <w:r w:rsidR="00752E8C" w:rsidRPr="00225539">
        <w:rPr>
          <w:rFonts w:asciiTheme="minorHAnsi" w:hAnsiTheme="minorHAnsi" w:cstheme="minorHAnsi"/>
          <w:u w:val="single"/>
        </w:rPr>
        <w:t xml:space="preserve"> </w:t>
      </w:r>
    </w:p>
    <w:p w14:paraId="28588E66" w14:textId="3F1A267C" w:rsidR="00A34F24" w:rsidRDefault="00A34F24" w:rsidP="00A34F24">
      <w:pPr>
        <w:pStyle w:val="Spacer"/>
      </w:pPr>
      <w:r>
        <w:t>T</w:t>
      </w:r>
      <w:r w:rsidRPr="007C5D63">
        <w:t xml:space="preserve">he </w:t>
      </w:r>
      <w:r w:rsidR="00271F0B">
        <w:t>I</w:t>
      </w:r>
      <w:r w:rsidRPr="007C5D63">
        <w:t>nterim report is one report in two parts</w:t>
      </w:r>
      <w:r>
        <w:t xml:space="preserve"> – the Substantive Interim Report and the </w:t>
      </w:r>
      <w:r w:rsidR="008108AA">
        <w:t>A</w:t>
      </w:r>
      <w:r>
        <w:t xml:space="preserve">dministrative </w:t>
      </w:r>
      <w:r w:rsidR="008108AA">
        <w:t>R</w:t>
      </w:r>
      <w:r>
        <w:t>eport</w:t>
      </w:r>
      <w:r w:rsidR="008108AA">
        <w:t xml:space="preserve">. </w:t>
      </w:r>
      <w:r>
        <w:t xml:space="preserve">The Terms of Reference has a delivery date of December 2020 for the </w:t>
      </w:r>
      <w:r w:rsidR="00271F0B">
        <w:t xml:space="preserve">Interim </w:t>
      </w:r>
      <w:r>
        <w:t>Report.</w:t>
      </w:r>
    </w:p>
    <w:p w14:paraId="414BA445" w14:textId="0DE9B519" w:rsidR="00A34F24" w:rsidRDefault="00A34F24" w:rsidP="00A34F24">
      <w:pPr>
        <w:pStyle w:val="Spacer"/>
      </w:pPr>
    </w:p>
    <w:p w14:paraId="149B03CD" w14:textId="1CC8010D" w:rsidR="00FA3F6A" w:rsidRDefault="00FA3F6A" w:rsidP="00FA3F6A">
      <w:pPr>
        <w:pStyle w:val="Spacer"/>
        <w:rPr>
          <w:rFonts w:eastAsia="Times New Roman"/>
          <w:lang w:eastAsia="en-NZ"/>
        </w:rPr>
      </w:pPr>
      <w:r w:rsidRPr="00167C16">
        <w:t xml:space="preserve">Work on the </w:t>
      </w:r>
      <w:r>
        <w:t>Substantive Interim Report</w:t>
      </w:r>
      <w:r w:rsidRPr="00167C16">
        <w:t xml:space="preserve"> began in early 2020 and</w:t>
      </w:r>
      <w:r>
        <w:t xml:space="preserve"> progressed well during the year</w:t>
      </w:r>
      <w:r w:rsidRPr="00167C16">
        <w:t xml:space="preserve">. It was a key focus during </w:t>
      </w:r>
      <w:r>
        <w:t xml:space="preserve">the </w:t>
      </w:r>
      <w:r w:rsidRPr="00167C16">
        <w:t>lockdown</w:t>
      </w:r>
      <w:r>
        <w:t xml:space="preserve"> period</w:t>
      </w:r>
      <w:r w:rsidRPr="00167C16">
        <w:t>.</w:t>
      </w:r>
      <w:r>
        <w:t xml:space="preserve"> </w:t>
      </w:r>
      <w:r w:rsidRPr="00CE0BC7">
        <w:t>Th</w:t>
      </w:r>
      <w:r>
        <w:t>e report</w:t>
      </w:r>
      <w:r w:rsidRPr="00CE0BC7">
        <w:t xml:space="preserve"> will </w:t>
      </w:r>
      <w:r>
        <w:t>draw on evidence from last year’s Contextual hearing and the upcoming Redress hearing, themes from private sessions, survivor case studies,</w:t>
      </w:r>
      <w:r w:rsidRPr="00CE0BC7">
        <w:t xml:space="preserve"> literature reviews, details </w:t>
      </w:r>
      <w:r>
        <w:t xml:space="preserve">of cohort numbers </w:t>
      </w:r>
      <w:r w:rsidRPr="00CE0BC7">
        <w:t>and overall inquiry planning.</w:t>
      </w:r>
      <w:r>
        <w:t xml:space="preserve"> There is a volume in the report devoted to </w:t>
      </w:r>
      <w:r>
        <w:rPr>
          <w:rFonts w:eastAsia="Times New Roman"/>
          <w:lang w:eastAsia="en-NZ"/>
        </w:rPr>
        <w:t>“</w:t>
      </w:r>
      <w:r w:rsidRPr="0041374E">
        <w:rPr>
          <w:rFonts w:eastAsia="Times New Roman"/>
          <w:lang w:eastAsia="en-NZ"/>
        </w:rPr>
        <w:t>Survivor Voices</w:t>
      </w:r>
      <w:r>
        <w:rPr>
          <w:rFonts w:eastAsia="Times New Roman"/>
          <w:lang w:eastAsia="en-NZ"/>
        </w:rPr>
        <w:t>”</w:t>
      </w:r>
      <w:r w:rsidRPr="0041374E">
        <w:rPr>
          <w:rFonts w:eastAsia="Times New Roman"/>
          <w:lang w:eastAsia="en-NZ"/>
        </w:rPr>
        <w:t xml:space="preserve"> </w:t>
      </w:r>
      <w:r>
        <w:rPr>
          <w:rFonts w:eastAsia="Times New Roman"/>
          <w:lang w:eastAsia="en-NZ"/>
        </w:rPr>
        <w:t xml:space="preserve">- </w:t>
      </w:r>
      <w:r w:rsidRPr="0041374E">
        <w:rPr>
          <w:rFonts w:eastAsia="Times New Roman"/>
          <w:lang w:eastAsia="en-NZ"/>
        </w:rPr>
        <w:t>an analysis of 50 private session transcripts, across a number of care settings</w:t>
      </w:r>
      <w:r>
        <w:rPr>
          <w:rFonts w:eastAsia="Times New Roman"/>
          <w:lang w:eastAsia="en-NZ"/>
        </w:rPr>
        <w:t>.</w:t>
      </w:r>
    </w:p>
    <w:p w14:paraId="05F997D8" w14:textId="5342F4BC" w:rsidR="00B31E2C" w:rsidRDefault="00B31E2C" w:rsidP="00167C16">
      <w:pPr>
        <w:pStyle w:val="Spacer"/>
        <w:rPr>
          <w:rFonts w:eastAsia="Times New Roman"/>
          <w:lang w:eastAsia="en-NZ"/>
        </w:rPr>
      </w:pPr>
    </w:p>
    <w:p w14:paraId="4AB3C423" w14:textId="67A2135C" w:rsidR="00B31E2C" w:rsidRPr="00D97611" w:rsidRDefault="00B31E2C" w:rsidP="00167C16">
      <w:pPr>
        <w:pStyle w:val="Spacer"/>
      </w:pPr>
      <w:r>
        <w:t>W</w:t>
      </w:r>
      <w:r>
        <w:rPr>
          <w:rFonts w:eastAsia="Times New Roman"/>
          <w:lang w:eastAsia="en-NZ"/>
        </w:rPr>
        <w:t>e anticipate the S</w:t>
      </w:r>
      <w:r w:rsidR="008108AA">
        <w:rPr>
          <w:rFonts w:eastAsia="Times New Roman"/>
          <w:lang w:eastAsia="en-NZ"/>
        </w:rPr>
        <w:t>ubstantive Interim Report</w:t>
      </w:r>
      <w:r>
        <w:rPr>
          <w:rFonts w:eastAsia="Times New Roman"/>
          <w:lang w:eastAsia="en-NZ"/>
        </w:rPr>
        <w:t xml:space="preserve"> being largely complete by </w:t>
      </w:r>
      <w:r w:rsidR="00271F0B">
        <w:rPr>
          <w:rFonts w:eastAsia="Times New Roman"/>
          <w:lang w:eastAsia="en-NZ"/>
        </w:rPr>
        <w:t>September</w:t>
      </w:r>
      <w:r>
        <w:rPr>
          <w:rFonts w:eastAsia="Times New Roman"/>
          <w:lang w:eastAsia="en-NZ"/>
        </w:rPr>
        <w:t xml:space="preserve"> 2020, although we are not currently planning to present it until after the election.</w:t>
      </w:r>
    </w:p>
    <w:p w14:paraId="1F75B05A" w14:textId="4676E950" w:rsidR="00A34F24" w:rsidRDefault="00A34F24" w:rsidP="005B1658">
      <w:pPr>
        <w:pStyle w:val="Spacer"/>
      </w:pPr>
    </w:p>
    <w:p w14:paraId="341BB74D" w14:textId="77777777" w:rsidR="00B31E2C" w:rsidRPr="00B31E2C" w:rsidRDefault="00B31E2C" w:rsidP="00A46BF2">
      <w:pPr>
        <w:rPr>
          <w:rFonts w:asciiTheme="minorHAnsi" w:hAnsiTheme="minorHAnsi" w:cstheme="minorHAnsi"/>
          <w:u w:val="single"/>
        </w:rPr>
      </w:pPr>
      <w:r w:rsidRPr="00B31E2C">
        <w:rPr>
          <w:rFonts w:asciiTheme="minorHAnsi" w:hAnsiTheme="minorHAnsi" w:cstheme="minorHAnsi"/>
          <w:u w:val="single"/>
        </w:rPr>
        <w:t>Administrative Report</w:t>
      </w:r>
    </w:p>
    <w:p w14:paraId="00FB2F76" w14:textId="17F097DE" w:rsidR="00A34F24" w:rsidRDefault="00B31E2C" w:rsidP="00A46BF2">
      <w:pPr>
        <w:rPr>
          <w:rFonts w:asciiTheme="minorHAnsi" w:hAnsiTheme="minorHAnsi" w:cstheme="minorHAnsi"/>
        </w:rPr>
      </w:pPr>
      <w:r w:rsidRPr="00A46BF2">
        <w:rPr>
          <w:rFonts w:asciiTheme="minorHAnsi" w:hAnsiTheme="minorHAnsi" w:cstheme="minorHAnsi"/>
        </w:rPr>
        <w:t xml:space="preserve">The </w:t>
      </w:r>
      <w:r w:rsidR="00A34F24" w:rsidRPr="00A46BF2">
        <w:rPr>
          <w:rFonts w:asciiTheme="minorHAnsi" w:hAnsiTheme="minorHAnsi" w:cstheme="minorHAnsi"/>
        </w:rPr>
        <w:t xml:space="preserve">preparations to develop the </w:t>
      </w:r>
      <w:r w:rsidRPr="00A46BF2">
        <w:rPr>
          <w:rFonts w:asciiTheme="minorHAnsi" w:hAnsiTheme="minorHAnsi" w:cstheme="minorHAnsi"/>
        </w:rPr>
        <w:t>A</w:t>
      </w:r>
      <w:r w:rsidR="008108AA" w:rsidRPr="00A46BF2">
        <w:rPr>
          <w:rFonts w:asciiTheme="minorHAnsi" w:hAnsiTheme="minorHAnsi" w:cstheme="minorHAnsi"/>
        </w:rPr>
        <w:t>dministrative Report</w:t>
      </w:r>
      <w:r w:rsidRPr="00A46BF2">
        <w:rPr>
          <w:rFonts w:asciiTheme="minorHAnsi" w:hAnsiTheme="minorHAnsi" w:cstheme="minorHAnsi"/>
        </w:rPr>
        <w:t xml:space="preserve"> </w:t>
      </w:r>
      <w:r w:rsidR="00A34F24" w:rsidRPr="00A46BF2">
        <w:rPr>
          <w:rFonts w:asciiTheme="minorHAnsi" w:hAnsiTheme="minorHAnsi" w:cstheme="minorHAnsi"/>
        </w:rPr>
        <w:t xml:space="preserve">are well underway </w:t>
      </w:r>
      <w:r w:rsidRPr="00A46BF2">
        <w:rPr>
          <w:rFonts w:asciiTheme="minorHAnsi" w:hAnsiTheme="minorHAnsi" w:cstheme="minorHAnsi"/>
        </w:rPr>
        <w:t>as at 30 June 2020</w:t>
      </w:r>
      <w:r>
        <w:rPr>
          <w:rFonts w:asciiTheme="minorHAnsi" w:hAnsiTheme="minorHAnsi" w:cstheme="minorHAnsi"/>
        </w:rPr>
        <w:t xml:space="preserve"> </w:t>
      </w:r>
      <w:r w:rsidR="00A34F24">
        <w:rPr>
          <w:rFonts w:asciiTheme="minorHAnsi" w:hAnsiTheme="minorHAnsi" w:cstheme="minorHAnsi"/>
        </w:rPr>
        <w:t xml:space="preserve">with an August </w:t>
      </w:r>
      <w:r>
        <w:rPr>
          <w:rFonts w:asciiTheme="minorHAnsi" w:hAnsiTheme="minorHAnsi" w:cstheme="minorHAnsi"/>
        </w:rPr>
        <w:t xml:space="preserve">2020 </w:t>
      </w:r>
      <w:r w:rsidR="00A34F24">
        <w:rPr>
          <w:rFonts w:asciiTheme="minorHAnsi" w:hAnsiTheme="minorHAnsi" w:cstheme="minorHAnsi"/>
        </w:rPr>
        <w:t xml:space="preserve">target date for a first draft of the key material available to the </w:t>
      </w:r>
      <w:r>
        <w:rPr>
          <w:rFonts w:asciiTheme="minorHAnsi" w:hAnsiTheme="minorHAnsi" w:cstheme="minorHAnsi"/>
        </w:rPr>
        <w:t>Department</w:t>
      </w:r>
      <w:r w:rsidR="00A34F24">
        <w:rPr>
          <w:rFonts w:asciiTheme="minorHAnsi" w:hAnsiTheme="minorHAnsi" w:cstheme="minorHAnsi"/>
        </w:rPr>
        <w:t xml:space="preserve">, as requested in your Letter of Expectations </w:t>
      </w:r>
      <w:r>
        <w:rPr>
          <w:rFonts w:asciiTheme="minorHAnsi" w:hAnsiTheme="minorHAnsi" w:cstheme="minorHAnsi"/>
        </w:rPr>
        <w:t>2020/21. W</w:t>
      </w:r>
      <w:r w:rsidR="00A34F24">
        <w:rPr>
          <w:rFonts w:asciiTheme="minorHAnsi" w:hAnsiTheme="minorHAnsi" w:cstheme="minorHAnsi"/>
        </w:rPr>
        <w:t xml:space="preserve">e are engaging with </w:t>
      </w:r>
      <w:r w:rsidR="008108AA">
        <w:rPr>
          <w:rFonts w:asciiTheme="minorHAnsi" w:hAnsiTheme="minorHAnsi" w:cstheme="minorHAnsi"/>
        </w:rPr>
        <w:t>Departmental</w:t>
      </w:r>
      <w:r w:rsidR="00A34F24">
        <w:rPr>
          <w:rFonts w:asciiTheme="minorHAnsi" w:hAnsiTheme="minorHAnsi" w:cstheme="minorHAnsi"/>
        </w:rPr>
        <w:t xml:space="preserve"> officials regularly on our progress</w:t>
      </w:r>
      <w:r>
        <w:rPr>
          <w:rFonts w:asciiTheme="minorHAnsi" w:hAnsiTheme="minorHAnsi" w:cstheme="minorHAnsi"/>
        </w:rPr>
        <w:t>.</w:t>
      </w:r>
      <w:r w:rsidR="00A34F24">
        <w:rPr>
          <w:rFonts w:asciiTheme="minorHAnsi" w:hAnsiTheme="minorHAnsi" w:cstheme="minorHAnsi"/>
        </w:rPr>
        <w:t xml:space="preserve"> </w:t>
      </w:r>
    </w:p>
    <w:p w14:paraId="3809A3EE" w14:textId="7A7E2E4B" w:rsidR="00E32B16" w:rsidRDefault="008108AA" w:rsidP="00603635">
      <w:pPr>
        <w:rPr>
          <w:rFonts w:asciiTheme="minorHAnsi" w:hAnsiTheme="minorHAnsi" w:cstheme="minorHAnsi"/>
        </w:rPr>
      </w:pPr>
      <w:r w:rsidRPr="008108AA">
        <w:rPr>
          <w:rFonts w:asciiTheme="minorHAnsi" w:hAnsiTheme="minorHAnsi" w:cstheme="minorHAnsi"/>
        </w:rPr>
        <w:t xml:space="preserve">This </w:t>
      </w:r>
      <w:r>
        <w:rPr>
          <w:rFonts w:asciiTheme="minorHAnsi" w:hAnsiTheme="minorHAnsi" w:cstheme="minorHAnsi"/>
        </w:rPr>
        <w:t xml:space="preserve">estimates of </w:t>
      </w:r>
      <w:r w:rsidRPr="008108AA">
        <w:rPr>
          <w:rFonts w:asciiTheme="minorHAnsi" w:hAnsiTheme="minorHAnsi" w:cstheme="minorHAnsi"/>
        </w:rPr>
        <w:t>work</w:t>
      </w:r>
      <w:r>
        <w:rPr>
          <w:rFonts w:asciiTheme="minorHAnsi" w:hAnsiTheme="minorHAnsi" w:cstheme="minorHAnsi"/>
        </w:rPr>
        <w:t>load and cost</w:t>
      </w:r>
      <w:r w:rsidRPr="008108AA">
        <w:rPr>
          <w:rFonts w:asciiTheme="minorHAnsi" w:hAnsiTheme="minorHAnsi" w:cstheme="minorHAnsi"/>
        </w:rPr>
        <w:t xml:space="preserve"> </w:t>
      </w:r>
      <w:r>
        <w:rPr>
          <w:rFonts w:asciiTheme="minorHAnsi" w:hAnsiTheme="minorHAnsi" w:cstheme="minorHAnsi"/>
        </w:rPr>
        <w:t>are</w:t>
      </w:r>
      <w:r w:rsidRPr="008108AA">
        <w:rPr>
          <w:rFonts w:asciiTheme="minorHAnsi" w:hAnsiTheme="minorHAnsi" w:cstheme="minorHAnsi"/>
        </w:rPr>
        <w:t xml:space="preserve"> largely drawn from the detailed planning and financial modelling that has taken place </w:t>
      </w:r>
      <w:r>
        <w:rPr>
          <w:rFonts w:asciiTheme="minorHAnsi" w:hAnsiTheme="minorHAnsi" w:cstheme="minorHAnsi"/>
        </w:rPr>
        <w:t>by the Royal Commission during 2020</w:t>
      </w:r>
      <w:r w:rsidR="005B1658">
        <w:rPr>
          <w:rFonts w:asciiTheme="minorHAnsi" w:hAnsiTheme="minorHAnsi" w:cstheme="minorHAnsi"/>
        </w:rPr>
        <w:t xml:space="preserve">. </w:t>
      </w:r>
      <w:r>
        <w:rPr>
          <w:rFonts w:asciiTheme="minorHAnsi" w:hAnsiTheme="minorHAnsi" w:cstheme="minorHAnsi"/>
        </w:rPr>
        <w:t xml:space="preserve"> </w:t>
      </w:r>
    </w:p>
    <w:p w14:paraId="55C2E609" w14:textId="77777777" w:rsidR="006E41FC" w:rsidRDefault="006E41FC" w:rsidP="00603635">
      <w:pPr>
        <w:rPr>
          <w:rFonts w:asciiTheme="minorHAnsi" w:hAnsiTheme="minorHAnsi" w:cstheme="minorHAnsi"/>
        </w:rPr>
      </w:pPr>
    </w:p>
    <w:p w14:paraId="6E35B468" w14:textId="39BBF3A1" w:rsidR="00BA384F" w:rsidRPr="00A46BF2" w:rsidRDefault="00BA384F" w:rsidP="00A46BF2">
      <w:pPr>
        <w:keepLines w:val="0"/>
        <w:rPr>
          <w:rFonts w:asciiTheme="minorHAnsi" w:hAnsiTheme="minorHAnsi" w:cstheme="minorHAnsi"/>
        </w:rPr>
      </w:pPr>
      <w:r w:rsidRPr="00271F0B">
        <w:rPr>
          <w:rFonts w:asciiTheme="minorHAnsi" w:hAnsiTheme="minorHAnsi" w:cstheme="minorHAnsi"/>
          <w:b/>
          <w:sz w:val="28"/>
          <w:szCs w:val="28"/>
        </w:rPr>
        <w:t>Enhancing Survivor focus</w:t>
      </w:r>
    </w:p>
    <w:p w14:paraId="497F2B59" w14:textId="439943B9" w:rsidR="00BA384F" w:rsidRPr="00271F0B" w:rsidRDefault="00BA384F" w:rsidP="00603635">
      <w:pPr>
        <w:rPr>
          <w:rFonts w:asciiTheme="minorHAnsi" w:hAnsiTheme="minorHAnsi" w:cstheme="minorHAnsi"/>
          <w:u w:val="single"/>
        </w:rPr>
      </w:pPr>
      <w:r w:rsidRPr="00271F0B">
        <w:rPr>
          <w:rFonts w:asciiTheme="minorHAnsi" w:hAnsiTheme="minorHAnsi" w:cstheme="minorHAnsi"/>
          <w:u w:val="single"/>
        </w:rPr>
        <w:t xml:space="preserve">Wellbeing </w:t>
      </w:r>
      <w:r w:rsidR="00271F0B" w:rsidRPr="00271F0B">
        <w:rPr>
          <w:rFonts w:asciiTheme="minorHAnsi" w:hAnsiTheme="minorHAnsi" w:cstheme="minorHAnsi"/>
          <w:u w:val="single"/>
        </w:rPr>
        <w:t>Policy &amp; Programme</w:t>
      </w:r>
    </w:p>
    <w:p w14:paraId="51B1CC5F" w14:textId="77777777" w:rsidR="004C2538" w:rsidRPr="00271F0B" w:rsidRDefault="004C2538" w:rsidP="004C2538">
      <w:pPr>
        <w:spacing w:after="120"/>
      </w:pPr>
      <w:r>
        <w:rPr>
          <w:rFonts w:cs="Calibri"/>
        </w:rPr>
        <w:t xml:space="preserve">During 2019/20 the Royal Commission developed a Wellbeing Policy, supported by a </w:t>
      </w:r>
      <w:r w:rsidRPr="00271F0B">
        <w:rPr>
          <w:rFonts w:cs="Calibri"/>
        </w:rPr>
        <w:t>Survivor Wellbeing programme</w:t>
      </w:r>
      <w:r>
        <w:rPr>
          <w:rFonts w:cs="Calibri"/>
        </w:rPr>
        <w:t>,</w:t>
      </w:r>
      <w:r w:rsidRPr="00271F0B">
        <w:rPr>
          <w:rFonts w:cs="Calibri"/>
        </w:rPr>
        <w:t xml:space="preserve"> which provides a comprehensive range of support options to survivors. The programme acknowledges that the wellbeing services which support survivors must </w:t>
      </w:r>
      <w:r>
        <w:rPr>
          <w:rFonts w:cs="Calibri"/>
        </w:rPr>
        <w:t xml:space="preserve">be </w:t>
      </w:r>
      <w:r w:rsidRPr="00271F0B">
        <w:rPr>
          <w:rFonts w:cs="Calibri"/>
        </w:rPr>
        <w:t xml:space="preserve">tailored to meet the needs of the individual survivor. The challenge is to provide this level of bespoke care in an environment where we are expecting to </w:t>
      </w:r>
      <w:r>
        <w:rPr>
          <w:rFonts w:cs="Calibri"/>
        </w:rPr>
        <w:t xml:space="preserve">engage with thousands of </w:t>
      </w:r>
      <w:r w:rsidRPr="00271F0B">
        <w:rPr>
          <w:rFonts w:cs="Calibri"/>
        </w:rPr>
        <w:t xml:space="preserve">survivors </w:t>
      </w:r>
      <w:r>
        <w:rPr>
          <w:rFonts w:cs="Calibri"/>
        </w:rPr>
        <w:t xml:space="preserve">over </w:t>
      </w:r>
      <w:r w:rsidRPr="00271F0B">
        <w:rPr>
          <w:rFonts w:cs="Calibri"/>
        </w:rPr>
        <w:t>the lifetime of the Inquiry.</w:t>
      </w:r>
    </w:p>
    <w:p w14:paraId="2CFA4C0D" w14:textId="2F420492" w:rsidR="004C2538" w:rsidRPr="008E3F3C" w:rsidRDefault="004C2538" w:rsidP="004C2538">
      <w:pPr>
        <w:spacing w:after="120" w:line="259" w:lineRule="auto"/>
        <w:rPr>
          <w:rFonts w:eastAsia="Calibri" w:cs="Calibri"/>
        </w:rPr>
      </w:pPr>
      <w:r w:rsidRPr="008E3F3C">
        <w:rPr>
          <w:rFonts w:cs="Calibri"/>
        </w:rPr>
        <w:lastRenderedPageBreak/>
        <w:t>It was determined that to offer the depth and breadth of wellbeing services required, we needed to look beyond the R</w:t>
      </w:r>
      <w:r>
        <w:rPr>
          <w:rFonts w:cs="Calibri"/>
        </w:rPr>
        <w:t>oyal Commission’s</w:t>
      </w:r>
      <w:r w:rsidRPr="008E3F3C">
        <w:rPr>
          <w:rFonts w:cs="Calibri"/>
        </w:rPr>
        <w:t xml:space="preserve"> internal capability and partner with providers who had existing infrastructure to deliver the range of services required. After a robust Request for Proposal (</w:t>
      </w:r>
      <w:r>
        <w:rPr>
          <w:rFonts w:cs="Calibri"/>
        </w:rPr>
        <w:t xml:space="preserve">RFP) </w:t>
      </w:r>
      <w:r w:rsidRPr="008E3F3C">
        <w:rPr>
          <w:rFonts w:cs="Calibri"/>
        </w:rPr>
        <w:t xml:space="preserve">process, </w:t>
      </w:r>
      <w:r w:rsidR="00817109">
        <w:rPr>
          <w:rFonts w:cs="Calibri"/>
        </w:rPr>
        <w:t xml:space="preserve">an external provider </w:t>
      </w:r>
      <w:r w:rsidRPr="008E3F3C">
        <w:rPr>
          <w:rFonts w:cs="Calibri"/>
        </w:rPr>
        <w:t xml:space="preserve">was engaged </w:t>
      </w:r>
      <w:r>
        <w:rPr>
          <w:rFonts w:cs="Calibri"/>
        </w:rPr>
        <w:t xml:space="preserve">in </w:t>
      </w:r>
      <w:r w:rsidRPr="008E3F3C">
        <w:rPr>
          <w:rFonts w:cs="Calibri"/>
        </w:rPr>
        <w:t>June 2020 to begin a six-month co-design with the R</w:t>
      </w:r>
      <w:r>
        <w:rPr>
          <w:rFonts w:cs="Calibri"/>
        </w:rPr>
        <w:t>oyal Commission</w:t>
      </w:r>
      <w:r w:rsidRPr="008E3F3C">
        <w:rPr>
          <w:rFonts w:cs="Calibri"/>
        </w:rPr>
        <w:t xml:space="preserve"> to provide a national wellbeing service for our survivors.  </w:t>
      </w:r>
    </w:p>
    <w:p w14:paraId="19446C03" w14:textId="77777777" w:rsidR="004C2538" w:rsidRPr="008E3F3C" w:rsidRDefault="004C2538" w:rsidP="004C2538">
      <w:pPr>
        <w:spacing w:after="120" w:line="259" w:lineRule="auto"/>
        <w:rPr>
          <w:rFonts w:eastAsia="Calibri" w:cs="Calibri"/>
        </w:rPr>
      </w:pPr>
      <w:r w:rsidRPr="008E3F3C">
        <w:rPr>
          <w:rFonts w:cs="Calibri"/>
        </w:rPr>
        <w:t>In addition, the Treaty Engagement team will engage with local Kaupapa Māori NGOs to encourage Māori to connect with the R</w:t>
      </w:r>
      <w:r>
        <w:rPr>
          <w:rFonts w:cs="Calibri"/>
        </w:rPr>
        <w:t>oyal Commission</w:t>
      </w:r>
      <w:r w:rsidRPr="008E3F3C">
        <w:rPr>
          <w:rFonts w:cs="Calibri"/>
        </w:rPr>
        <w:t>.  These survivors will be offered psychosocial support direct from the NGO.</w:t>
      </w:r>
    </w:p>
    <w:p w14:paraId="2165AE59" w14:textId="17B2C70B" w:rsidR="005B1658" w:rsidRDefault="004C2538" w:rsidP="00E32B16">
      <w:pPr>
        <w:spacing w:before="0" w:after="0"/>
        <w:rPr>
          <w:rFonts w:cs="Calibri"/>
        </w:rPr>
      </w:pPr>
      <w:r w:rsidRPr="008E3F3C">
        <w:rPr>
          <w:rFonts w:cs="Calibri"/>
        </w:rPr>
        <w:t>The external survivor wellbeing service went live on 3 July 2020.</w:t>
      </w:r>
    </w:p>
    <w:p w14:paraId="408A9C4E" w14:textId="77777777" w:rsidR="00E32B16" w:rsidRPr="00E32B16" w:rsidRDefault="00E32B16" w:rsidP="00E32B16">
      <w:pPr>
        <w:spacing w:before="0" w:after="0"/>
        <w:rPr>
          <w:rFonts w:cs="Calibri"/>
        </w:rPr>
      </w:pPr>
    </w:p>
    <w:p w14:paraId="249A4D80" w14:textId="3252D86B" w:rsidR="0050147F" w:rsidRPr="008E3F3C" w:rsidRDefault="0050147F" w:rsidP="00E32B16">
      <w:pPr>
        <w:keepLines w:val="0"/>
        <w:spacing w:before="80" w:after="120"/>
        <w:rPr>
          <w:rFonts w:asciiTheme="minorHAnsi" w:hAnsiTheme="minorHAnsi" w:cstheme="minorHAnsi"/>
          <w:u w:val="single"/>
        </w:rPr>
      </w:pPr>
      <w:r w:rsidRPr="008E3F3C">
        <w:rPr>
          <w:rFonts w:asciiTheme="minorHAnsi" w:hAnsiTheme="minorHAnsi" w:cstheme="minorHAnsi"/>
          <w:u w:val="single"/>
        </w:rPr>
        <w:t xml:space="preserve">Reset of SAGE </w:t>
      </w:r>
    </w:p>
    <w:p w14:paraId="653ACDA5" w14:textId="4AA1A07D" w:rsidR="008E3F3C" w:rsidRPr="008E3F3C" w:rsidRDefault="008E3F3C" w:rsidP="008E3F3C">
      <w:pPr>
        <w:keepLines w:val="0"/>
        <w:rPr>
          <w:lang w:eastAsia="en-NZ"/>
        </w:rPr>
      </w:pPr>
      <w:r>
        <w:rPr>
          <w:rFonts w:eastAsia="Times New Roman" w:cs="Calibri"/>
        </w:rPr>
        <w:t xml:space="preserve">During the year </w:t>
      </w:r>
      <w:r w:rsidRPr="008E3F3C">
        <w:rPr>
          <w:rFonts w:eastAsia="Times New Roman" w:cs="Calibri"/>
        </w:rPr>
        <w:t>we changed our approach from engaging with the full SAGE group to working with smaller or single sub groups on specific pieces of work</w:t>
      </w:r>
      <w:r>
        <w:rPr>
          <w:rFonts w:eastAsia="Times New Roman" w:cs="Calibri"/>
        </w:rPr>
        <w:t xml:space="preserve">. </w:t>
      </w:r>
      <w:r>
        <w:t xml:space="preserve"> </w:t>
      </w:r>
      <w:r>
        <w:rPr>
          <w:lang w:eastAsia="en-NZ"/>
        </w:rPr>
        <w:t xml:space="preserve">We also undertook full </w:t>
      </w:r>
      <w:r>
        <w:rPr>
          <w:rFonts w:eastAsia="Times New Roman"/>
        </w:rPr>
        <w:t>vetting and sought agreement to the Code of Conduct from all members. O</w:t>
      </w:r>
      <w:r w:rsidRPr="007B215C">
        <w:rPr>
          <w:rFonts w:eastAsia="Times New Roman"/>
        </w:rPr>
        <w:t xml:space="preserve">f the </w:t>
      </w:r>
      <w:r w:rsidR="004C2538">
        <w:rPr>
          <w:rFonts w:eastAsia="Times New Roman"/>
        </w:rPr>
        <w:t>previous</w:t>
      </w:r>
      <w:r w:rsidRPr="007B215C">
        <w:rPr>
          <w:rFonts w:eastAsia="Times New Roman"/>
        </w:rPr>
        <w:t xml:space="preserve"> 12 members:</w:t>
      </w:r>
    </w:p>
    <w:p w14:paraId="1BF01600" w14:textId="72315D3A" w:rsidR="008E3F3C" w:rsidRDefault="008E3F3C" w:rsidP="00BF6D17">
      <w:pPr>
        <w:keepLines w:val="0"/>
        <w:numPr>
          <w:ilvl w:val="1"/>
          <w:numId w:val="24"/>
        </w:numPr>
        <w:spacing w:before="0" w:after="0"/>
        <w:rPr>
          <w:rFonts w:eastAsia="Times New Roman"/>
        </w:rPr>
      </w:pPr>
      <w:r>
        <w:rPr>
          <w:rFonts w:eastAsia="Times New Roman"/>
        </w:rPr>
        <w:t>six returned the Code of Conduct</w:t>
      </w:r>
    </w:p>
    <w:p w14:paraId="6488B66B" w14:textId="524872E1" w:rsidR="008E3F3C" w:rsidRDefault="008E3F3C" w:rsidP="00BF6D17">
      <w:pPr>
        <w:keepLines w:val="0"/>
        <w:numPr>
          <w:ilvl w:val="1"/>
          <w:numId w:val="24"/>
        </w:numPr>
        <w:spacing w:before="0" w:after="0"/>
        <w:rPr>
          <w:rFonts w:eastAsia="Times New Roman"/>
        </w:rPr>
      </w:pPr>
      <w:r>
        <w:rPr>
          <w:rFonts w:eastAsia="Times New Roman"/>
        </w:rPr>
        <w:t xml:space="preserve">three indicated they no longer wish to participate on the group, and </w:t>
      </w:r>
    </w:p>
    <w:p w14:paraId="6BCB1E74" w14:textId="208120EF" w:rsidR="008E3F3C" w:rsidRDefault="008E3F3C" w:rsidP="00BF6D17">
      <w:pPr>
        <w:keepLines w:val="0"/>
        <w:numPr>
          <w:ilvl w:val="1"/>
          <w:numId w:val="24"/>
        </w:numPr>
        <w:spacing w:before="0" w:after="0"/>
        <w:rPr>
          <w:rFonts w:eastAsia="Times New Roman"/>
        </w:rPr>
      </w:pPr>
      <w:r>
        <w:rPr>
          <w:rFonts w:eastAsia="Times New Roman"/>
        </w:rPr>
        <w:t xml:space="preserve">we are still engaging with three members. </w:t>
      </w:r>
    </w:p>
    <w:p w14:paraId="14D9317E" w14:textId="77777777" w:rsidR="00A46BF2" w:rsidRDefault="00A46BF2" w:rsidP="00A46BF2">
      <w:pPr>
        <w:keepLines w:val="0"/>
        <w:spacing w:before="0" w:after="0"/>
        <w:ind w:left="1440"/>
        <w:rPr>
          <w:rFonts w:eastAsia="Times New Roman"/>
        </w:rPr>
      </w:pPr>
    </w:p>
    <w:p w14:paraId="05CD84D2" w14:textId="4902A9A5" w:rsidR="008E3F3C" w:rsidRPr="00A46BF2" w:rsidRDefault="004E14DD" w:rsidP="006E41FC">
      <w:pPr>
        <w:spacing w:before="0" w:after="0"/>
        <w:rPr>
          <w:rFonts w:cs="Calibri"/>
        </w:rPr>
      </w:pPr>
      <w:r>
        <w:rPr>
          <w:rFonts w:eastAsia="Times New Roman"/>
        </w:rPr>
        <w:t>We</w:t>
      </w:r>
      <w:r w:rsidR="008E3F3C">
        <w:rPr>
          <w:rFonts w:eastAsia="Times New Roman"/>
        </w:rPr>
        <w:t xml:space="preserve"> met with the six members who have returned the Code of Conduct in </w:t>
      </w:r>
      <w:r>
        <w:rPr>
          <w:rFonts w:eastAsia="Times New Roman"/>
        </w:rPr>
        <w:t>June 2020</w:t>
      </w:r>
      <w:r w:rsidR="008E3F3C">
        <w:rPr>
          <w:rFonts w:eastAsia="Times New Roman"/>
        </w:rPr>
        <w:t xml:space="preserve"> to discuss how they can be involved in our investigations programme and provide them with some media training</w:t>
      </w:r>
      <w:r>
        <w:rPr>
          <w:rFonts w:eastAsia="Times New Roman"/>
        </w:rPr>
        <w:t xml:space="preserve">. </w:t>
      </w:r>
      <w:r>
        <w:rPr>
          <w:rFonts w:eastAsia="Times New Roman" w:cs="Calibri"/>
        </w:rPr>
        <w:t>T</w:t>
      </w:r>
      <w:r w:rsidR="008E3F3C" w:rsidRPr="004E14DD">
        <w:rPr>
          <w:rFonts w:eastAsia="Times New Roman" w:cs="Calibri"/>
        </w:rPr>
        <w:t xml:space="preserve">hat meeting was very </w:t>
      </w:r>
      <w:r w:rsidR="00BF6D17" w:rsidRPr="004E14DD">
        <w:rPr>
          <w:rFonts w:eastAsia="Times New Roman" w:cs="Calibri"/>
        </w:rPr>
        <w:t>productive,</w:t>
      </w:r>
      <w:r w:rsidR="008E3F3C" w:rsidRPr="004E14DD">
        <w:rPr>
          <w:rFonts w:eastAsia="Times New Roman" w:cs="Calibri"/>
        </w:rPr>
        <w:t xml:space="preserve"> and </w:t>
      </w:r>
      <w:r w:rsidR="00A170C1">
        <w:rPr>
          <w:rFonts w:eastAsia="Times New Roman" w:cs="Calibri"/>
        </w:rPr>
        <w:t>t</w:t>
      </w:r>
      <w:r>
        <w:rPr>
          <w:rFonts w:eastAsia="Times New Roman" w:cs="Calibri"/>
        </w:rPr>
        <w:t xml:space="preserve">he Royal Commission is </w:t>
      </w:r>
      <w:r w:rsidR="008E3F3C" w:rsidRPr="00A46BF2">
        <w:rPr>
          <w:rFonts w:cs="Calibri"/>
        </w:rPr>
        <w:t xml:space="preserve">confident that </w:t>
      </w:r>
      <w:r w:rsidR="004C2538" w:rsidRPr="00A46BF2">
        <w:rPr>
          <w:rFonts w:cs="Calibri"/>
        </w:rPr>
        <w:t xml:space="preserve">it has </w:t>
      </w:r>
      <w:r w:rsidR="008E3F3C" w:rsidRPr="00A46BF2">
        <w:rPr>
          <w:rFonts w:cs="Calibri"/>
        </w:rPr>
        <w:t>turned the corner regarding the contribution of SAGE to the Inquiry</w:t>
      </w:r>
      <w:r w:rsidRPr="00A46BF2">
        <w:rPr>
          <w:rFonts w:cs="Calibri"/>
        </w:rPr>
        <w:t>.</w:t>
      </w:r>
    </w:p>
    <w:p w14:paraId="0113D21C" w14:textId="77777777" w:rsidR="00E32B16" w:rsidRPr="00A46BF2" w:rsidRDefault="00E32B16" w:rsidP="00A46BF2">
      <w:pPr>
        <w:spacing w:before="0" w:after="0"/>
        <w:rPr>
          <w:rFonts w:cs="Calibri"/>
        </w:rPr>
      </w:pPr>
    </w:p>
    <w:p w14:paraId="3C2A665C" w14:textId="3BBDF2AE" w:rsidR="00A170C1" w:rsidRPr="00A46BF2" w:rsidRDefault="00A170C1" w:rsidP="00A46BF2">
      <w:pPr>
        <w:rPr>
          <w:rFonts w:asciiTheme="minorHAnsi" w:hAnsiTheme="minorHAnsi" w:cstheme="minorHAnsi"/>
          <w:u w:val="single"/>
        </w:rPr>
      </w:pPr>
      <w:r w:rsidRPr="00A46BF2">
        <w:rPr>
          <w:rFonts w:asciiTheme="minorHAnsi" w:hAnsiTheme="minorHAnsi" w:cstheme="minorHAnsi"/>
          <w:u w:val="single"/>
        </w:rPr>
        <w:t>Community Engagement</w:t>
      </w:r>
    </w:p>
    <w:p w14:paraId="3ADC134A" w14:textId="5911AC7F" w:rsidR="009644BA" w:rsidRPr="00A46BF2" w:rsidRDefault="009644BA" w:rsidP="009644BA">
      <w:pPr>
        <w:rPr>
          <w:rFonts w:asciiTheme="minorHAnsi" w:hAnsiTheme="minorHAnsi" w:cstheme="minorHAnsi"/>
        </w:rPr>
      </w:pPr>
      <w:r w:rsidRPr="00A46BF2">
        <w:rPr>
          <w:rFonts w:asciiTheme="minorHAnsi" w:hAnsiTheme="minorHAnsi" w:cstheme="minorHAnsi"/>
        </w:rPr>
        <w:t xml:space="preserve">The establishment of the Community Engagement team (the </w:t>
      </w:r>
      <w:r w:rsidR="00A36483" w:rsidRPr="00A46BF2">
        <w:rPr>
          <w:rFonts w:asciiTheme="minorHAnsi" w:hAnsiTheme="minorHAnsi" w:cstheme="minorHAnsi"/>
        </w:rPr>
        <w:t>t</w:t>
      </w:r>
      <w:r w:rsidRPr="00A46BF2">
        <w:rPr>
          <w:rFonts w:asciiTheme="minorHAnsi" w:hAnsiTheme="minorHAnsi" w:cstheme="minorHAnsi"/>
        </w:rPr>
        <w:t>eam) in July 2019 ha</w:t>
      </w:r>
      <w:r w:rsidR="00A36483" w:rsidRPr="00A46BF2">
        <w:rPr>
          <w:rFonts w:asciiTheme="minorHAnsi" w:hAnsiTheme="minorHAnsi" w:cstheme="minorHAnsi"/>
        </w:rPr>
        <w:t>d three</w:t>
      </w:r>
      <w:r w:rsidRPr="00A46BF2">
        <w:rPr>
          <w:rFonts w:asciiTheme="minorHAnsi" w:hAnsiTheme="minorHAnsi" w:cstheme="minorHAnsi"/>
        </w:rPr>
        <w:t xml:space="preserve"> key objectives:</w:t>
      </w:r>
    </w:p>
    <w:p w14:paraId="27DCC152" w14:textId="7F009D63" w:rsidR="009644BA" w:rsidRDefault="009644BA" w:rsidP="00D02C48">
      <w:pPr>
        <w:pStyle w:val="ListParagraph"/>
        <w:numPr>
          <w:ilvl w:val="0"/>
          <w:numId w:val="32"/>
        </w:numPr>
        <w:rPr>
          <w:rFonts w:asciiTheme="minorHAnsi" w:hAnsiTheme="minorHAnsi" w:cstheme="minorBidi"/>
        </w:rPr>
      </w:pPr>
      <w:r>
        <w:rPr>
          <w:rFonts w:asciiTheme="minorHAnsi" w:hAnsiTheme="minorHAnsi" w:cstheme="minorBidi"/>
        </w:rPr>
        <w:t>Raise awareness about the mahi of the Royal Commission, Inquiry and Commissioners</w:t>
      </w:r>
      <w:r w:rsidR="00A36483">
        <w:rPr>
          <w:rFonts w:asciiTheme="minorHAnsi" w:hAnsiTheme="minorHAnsi" w:cstheme="minorBidi"/>
        </w:rPr>
        <w:t>;</w:t>
      </w:r>
    </w:p>
    <w:p w14:paraId="5AF12C8C" w14:textId="639A8EE7" w:rsidR="009644BA" w:rsidRDefault="009644BA" w:rsidP="00D02C48">
      <w:pPr>
        <w:pStyle w:val="ListParagraph"/>
        <w:numPr>
          <w:ilvl w:val="0"/>
          <w:numId w:val="32"/>
        </w:numPr>
        <w:rPr>
          <w:rFonts w:asciiTheme="minorHAnsi" w:hAnsiTheme="minorHAnsi" w:cstheme="minorBidi"/>
        </w:rPr>
      </w:pPr>
      <w:r>
        <w:rPr>
          <w:rFonts w:asciiTheme="minorHAnsi" w:hAnsiTheme="minorHAnsi" w:cstheme="minorBidi"/>
        </w:rPr>
        <w:t>Support greater diversity of survivors, witnesses and communities to participate in our mahi (ToR points 7, 13 &amp; 19)</w:t>
      </w:r>
      <w:r w:rsidR="00A36483">
        <w:rPr>
          <w:rFonts w:asciiTheme="minorHAnsi" w:hAnsiTheme="minorHAnsi" w:cstheme="minorBidi"/>
        </w:rPr>
        <w:t>;</w:t>
      </w:r>
    </w:p>
    <w:p w14:paraId="7146D4D1" w14:textId="3B6917B9" w:rsidR="009644BA" w:rsidRDefault="009644BA" w:rsidP="00D02C48">
      <w:pPr>
        <w:pStyle w:val="ListParagraph"/>
        <w:numPr>
          <w:ilvl w:val="0"/>
          <w:numId w:val="32"/>
        </w:numPr>
        <w:rPr>
          <w:rFonts w:asciiTheme="minorHAnsi" w:hAnsiTheme="minorHAnsi" w:cstheme="minorBidi"/>
        </w:rPr>
      </w:pPr>
      <w:r>
        <w:rPr>
          <w:rFonts w:asciiTheme="minorHAnsi" w:hAnsiTheme="minorHAnsi" w:cstheme="minorBidi"/>
        </w:rPr>
        <w:t>Socialise the purpose of the Inquiry to ensure buy-in for report recommendations</w:t>
      </w:r>
      <w:r w:rsidR="00A36483">
        <w:rPr>
          <w:rFonts w:asciiTheme="minorHAnsi" w:hAnsiTheme="minorHAnsi" w:cstheme="minorBidi"/>
        </w:rPr>
        <w:t>.</w:t>
      </w:r>
    </w:p>
    <w:p w14:paraId="78A4BC71" w14:textId="241E37F0" w:rsidR="006E41FC" w:rsidRDefault="009644BA" w:rsidP="006E41FC">
      <w:pPr>
        <w:rPr>
          <w:color w:val="000000"/>
        </w:rPr>
      </w:pPr>
      <w:r>
        <w:rPr>
          <w:color w:val="000000"/>
        </w:rPr>
        <w:t xml:space="preserve">The </w:t>
      </w:r>
      <w:r w:rsidR="00A36483">
        <w:rPr>
          <w:color w:val="000000"/>
        </w:rPr>
        <w:t>t</w:t>
      </w:r>
      <w:r>
        <w:rPr>
          <w:color w:val="000000"/>
        </w:rPr>
        <w:t xml:space="preserve">eam have been initially prioritising Pasefika, disabled peoples (in particular learning disability), Deaf and homeless. Targeted engagement initiatives with the </w:t>
      </w:r>
      <w:r w:rsidR="00A36483">
        <w:rPr>
          <w:color w:val="000000"/>
        </w:rPr>
        <w:t>m</w:t>
      </w:r>
      <w:r>
        <w:rPr>
          <w:color w:val="000000"/>
        </w:rPr>
        <w:t xml:space="preserve">ental </w:t>
      </w:r>
      <w:r w:rsidR="00A36483">
        <w:rPr>
          <w:color w:val="000000"/>
        </w:rPr>
        <w:t>h</w:t>
      </w:r>
      <w:r>
        <w:rPr>
          <w:color w:val="000000"/>
        </w:rPr>
        <w:t xml:space="preserve">ealth, LGBTIQA+, seniors, young people and women sectors will be developed next year. </w:t>
      </w:r>
    </w:p>
    <w:p w14:paraId="3654AE0F" w14:textId="69A644F2" w:rsidR="006E41FC" w:rsidRDefault="006E41FC" w:rsidP="006E41FC">
      <w:pPr>
        <w:rPr>
          <w:color w:val="000000"/>
        </w:rPr>
      </w:pPr>
    </w:p>
    <w:p w14:paraId="2AAFED67" w14:textId="77777777" w:rsidR="006E41FC" w:rsidRDefault="006E41FC" w:rsidP="006E41FC">
      <w:pPr>
        <w:rPr>
          <w:color w:val="000000"/>
        </w:rPr>
      </w:pPr>
    </w:p>
    <w:p w14:paraId="7430507A" w14:textId="79490237" w:rsidR="009644BA" w:rsidRDefault="009644BA" w:rsidP="009644BA">
      <w:pPr>
        <w:rPr>
          <w:rFonts w:asciiTheme="minorHAnsi" w:hAnsiTheme="minorHAnsi" w:cstheme="minorBidi"/>
        </w:rPr>
      </w:pPr>
      <w:r>
        <w:rPr>
          <w:rFonts w:asciiTheme="minorHAnsi" w:hAnsiTheme="minorHAnsi" w:cstheme="minorBidi"/>
        </w:rPr>
        <w:lastRenderedPageBreak/>
        <w:t xml:space="preserve">To date, the </w:t>
      </w:r>
      <w:r w:rsidR="00A36483">
        <w:rPr>
          <w:rFonts w:asciiTheme="minorHAnsi" w:hAnsiTheme="minorHAnsi" w:cstheme="minorBidi"/>
        </w:rPr>
        <w:t xml:space="preserve">team </w:t>
      </w:r>
      <w:r>
        <w:t>has achieved the following</w:t>
      </w:r>
      <w:r>
        <w:rPr>
          <w:rFonts w:asciiTheme="minorHAnsi" w:hAnsiTheme="minorHAnsi" w:cstheme="minorBidi"/>
        </w:rPr>
        <w:t>:</w:t>
      </w:r>
    </w:p>
    <w:p w14:paraId="7C8C421E" w14:textId="4DB9FF6B" w:rsidR="009644BA" w:rsidRDefault="009644BA" w:rsidP="009644BA">
      <w:pPr>
        <w:pStyle w:val="ListParagraph"/>
        <w:numPr>
          <w:ilvl w:val="0"/>
          <w:numId w:val="29"/>
        </w:numPr>
      </w:pPr>
      <w:r>
        <w:t xml:space="preserve">Prioritised community organisations, support groups and networks who have the largest potential to connect survivors, and their whānau with over 100 Pasefika, 60 disabled </w:t>
      </w:r>
      <w:r w:rsidR="00FD1A64">
        <w:t>people’s</w:t>
      </w:r>
      <w:r>
        <w:t xml:space="preserve"> organisations, groups and networks are now in our community database</w:t>
      </w:r>
      <w:r w:rsidR="00A36483">
        <w:t>;</w:t>
      </w:r>
    </w:p>
    <w:p w14:paraId="2BD16506" w14:textId="29A6533A" w:rsidR="009644BA" w:rsidRDefault="009644BA" w:rsidP="009644BA">
      <w:pPr>
        <w:pStyle w:val="ListParagraph"/>
        <w:numPr>
          <w:ilvl w:val="0"/>
          <w:numId w:val="29"/>
        </w:numPr>
      </w:pPr>
      <w:r>
        <w:t>Delivered four Pasefika large group meetings (with overall 180 people in attendance) to collect insights and intel from our communities to support various internal teams to develop a range of options to enable diverse survivors from diverse backgrounds to share their experiences</w:t>
      </w:r>
      <w:r w:rsidR="00A36483">
        <w:t>;</w:t>
      </w:r>
      <w:r>
        <w:t xml:space="preserve"> </w:t>
      </w:r>
    </w:p>
    <w:p w14:paraId="1B1D4EDB" w14:textId="448C936D" w:rsidR="009644BA" w:rsidRDefault="009644BA" w:rsidP="009644BA">
      <w:pPr>
        <w:pStyle w:val="ListParagraph"/>
        <w:numPr>
          <w:ilvl w:val="0"/>
          <w:numId w:val="29"/>
        </w:numPr>
      </w:pPr>
      <w:r>
        <w:t>Developed a formal (MoU) with VOYCE Whakarongo Mai to enable large organisations to support our awareness raising campaign and assist relevant survivor cohorts to participate in the Inquiry</w:t>
      </w:r>
      <w:r w:rsidR="00A36483">
        <w:t>;</w:t>
      </w:r>
    </w:p>
    <w:p w14:paraId="4E66D976" w14:textId="09AA5082" w:rsidR="009644BA" w:rsidRDefault="009644BA" w:rsidP="009644BA">
      <w:pPr>
        <w:pStyle w:val="ListParagraph"/>
        <w:numPr>
          <w:ilvl w:val="0"/>
          <w:numId w:val="29"/>
        </w:numPr>
      </w:pPr>
      <w:r>
        <w:t>Organised the first Private Collective Witness session that highlighted systemic issues both with the conceptualisation and provision of disability care, including that disability services are treated differently by government to other forms of “care”</w:t>
      </w:r>
      <w:r w:rsidR="00A36483">
        <w:t>;</w:t>
      </w:r>
    </w:p>
    <w:p w14:paraId="5AB15CA8" w14:textId="425DFB14" w:rsidR="009644BA" w:rsidRDefault="009644BA" w:rsidP="009644BA">
      <w:pPr>
        <w:pStyle w:val="ListParagraph"/>
        <w:numPr>
          <w:ilvl w:val="0"/>
          <w:numId w:val="29"/>
        </w:numPr>
      </w:pPr>
      <w:r>
        <w:t>Supported the organisation of the first Pacific family witness session for a witness who has an underlying chronic condition. He was a witness of historical abuse at a boys’ home</w:t>
      </w:r>
      <w:r w:rsidR="00A36483">
        <w:t>;</w:t>
      </w:r>
    </w:p>
    <w:p w14:paraId="4A0F7099" w14:textId="13A5EBC5" w:rsidR="006E41FC" w:rsidRDefault="009644BA" w:rsidP="006E41FC">
      <w:pPr>
        <w:pStyle w:val="ListParagraph"/>
        <w:numPr>
          <w:ilvl w:val="0"/>
          <w:numId w:val="32"/>
        </w:numPr>
        <w:rPr>
          <w:rFonts w:asciiTheme="minorHAnsi" w:hAnsiTheme="minorHAnsi" w:cstheme="minorBidi"/>
        </w:rPr>
      </w:pPr>
      <w:r w:rsidRPr="006E41FC">
        <w:rPr>
          <w:rFonts w:asciiTheme="minorHAnsi" w:hAnsiTheme="minorHAnsi" w:cstheme="minorBidi"/>
        </w:rPr>
        <w:t>Ran a procurement process for New Zealand Sign Language interpreters for public hearings, private sessions and ad hoc events. Contracts were awarded to two companies, allowing Deaf survivors to have choice when arranging their private session.</w:t>
      </w:r>
    </w:p>
    <w:p w14:paraId="5F52A334" w14:textId="77777777" w:rsidR="006E41FC" w:rsidRPr="006E41FC" w:rsidRDefault="006E41FC" w:rsidP="006E41FC">
      <w:pPr>
        <w:pStyle w:val="ListParagraph"/>
        <w:numPr>
          <w:ilvl w:val="0"/>
          <w:numId w:val="0"/>
        </w:numPr>
        <w:ind w:left="720"/>
        <w:rPr>
          <w:rFonts w:asciiTheme="minorHAnsi" w:hAnsiTheme="minorHAnsi" w:cstheme="minorBidi"/>
        </w:rPr>
      </w:pPr>
    </w:p>
    <w:p w14:paraId="0030BCCE" w14:textId="20FEB038" w:rsidR="004C2538" w:rsidRPr="006E41FC" w:rsidRDefault="004C2538" w:rsidP="006E41FC">
      <w:pPr>
        <w:rPr>
          <w:rFonts w:asciiTheme="minorHAnsi" w:hAnsiTheme="minorHAnsi" w:cstheme="minorBidi"/>
          <w:u w:val="single"/>
        </w:rPr>
      </w:pPr>
      <w:r w:rsidRPr="006E41FC">
        <w:rPr>
          <w:rFonts w:asciiTheme="minorHAnsi" w:hAnsiTheme="minorHAnsi" w:cstheme="minorBidi"/>
          <w:u w:val="single"/>
        </w:rPr>
        <w:t>Communication &amp; Media</w:t>
      </w:r>
    </w:p>
    <w:p w14:paraId="7A2CFC1A" w14:textId="704D9F65" w:rsidR="006E41FC" w:rsidRDefault="004C2538" w:rsidP="006E41FC">
      <w:pPr>
        <w:spacing w:after="120" w:line="259" w:lineRule="auto"/>
        <w:rPr>
          <w:rFonts w:cs="Calibri"/>
        </w:rPr>
      </w:pPr>
      <w:r w:rsidRPr="006E41FC">
        <w:rPr>
          <w:rFonts w:cs="Calibri"/>
        </w:rPr>
        <w:t xml:space="preserve">The Communications team has worked hard during the year to build awareness of the Inquiry, provide advice to Commissioners and the Secretariat and devise and deliver the Communications strategy for the Inquiry.  Amongst other things this has included strategic and operational communications advice, media management (proactive and reactive), website management, supporting risk and reputational management, organising live streaming of Inquiry hearings, and writing and editing internal communications products.  As the Inquiry moves into a phase of scheduled Investigations (supported by public hearings) the nature of the team’s work will change to support this delivery. </w:t>
      </w:r>
    </w:p>
    <w:p w14:paraId="6CE8CC44" w14:textId="77777777" w:rsidR="006E41FC" w:rsidRPr="006E41FC" w:rsidRDefault="006E41FC" w:rsidP="006E41FC">
      <w:pPr>
        <w:spacing w:after="120" w:line="259" w:lineRule="auto"/>
        <w:rPr>
          <w:rFonts w:cs="Calibri"/>
        </w:rPr>
      </w:pPr>
    </w:p>
    <w:p w14:paraId="5503E097" w14:textId="2B86BC1B" w:rsidR="004C2538" w:rsidRPr="00A75DE3" w:rsidRDefault="004C2538" w:rsidP="006E41FC">
      <w:pPr>
        <w:rPr>
          <w:rFonts w:asciiTheme="minorHAnsi" w:hAnsiTheme="minorHAnsi" w:cstheme="minorHAnsi"/>
          <w:u w:val="single"/>
        </w:rPr>
      </w:pPr>
      <w:r w:rsidRPr="000C5D31">
        <w:rPr>
          <w:rFonts w:asciiTheme="minorHAnsi" w:hAnsiTheme="minorHAnsi" w:cstheme="minorHAnsi"/>
          <w:u w:val="single"/>
        </w:rPr>
        <w:t>Treaty Engagement</w:t>
      </w:r>
    </w:p>
    <w:p w14:paraId="7294A744" w14:textId="77777777" w:rsidR="000C5D31" w:rsidRDefault="000C5D31" w:rsidP="000C5D31">
      <w:r>
        <w:t>We have taken a three-pronged approach to expressing the articles of the Treaty. In the context of the Commission’s work this means that we have:</w:t>
      </w:r>
    </w:p>
    <w:p w14:paraId="4BE1BEC2" w14:textId="55540FDD" w:rsidR="000C5D31" w:rsidRDefault="000C5D31" w:rsidP="000C5D31">
      <w:pPr>
        <w:pStyle w:val="ListParagraph"/>
        <w:numPr>
          <w:ilvl w:val="0"/>
          <w:numId w:val="37"/>
        </w:numPr>
      </w:pPr>
      <w:r>
        <w:t>Engaged with Iwi and National Māori Entities noting specifically those groups who have their own legislation (rangatiratanga).</w:t>
      </w:r>
    </w:p>
    <w:p w14:paraId="14F18521" w14:textId="09C9D110" w:rsidR="006E41FC" w:rsidRDefault="006E41FC" w:rsidP="006E41FC"/>
    <w:p w14:paraId="2E5FF76A" w14:textId="06069B89" w:rsidR="000C5D31" w:rsidRDefault="000C5D31" w:rsidP="000C5D31">
      <w:pPr>
        <w:pStyle w:val="ListParagraph"/>
        <w:numPr>
          <w:ilvl w:val="0"/>
          <w:numId w:val="37"/>
        </w:numPr>
      </w:pPr>
      <w:r>
        <w:lastRenderedPageBreak/>
        <w:t xml:space="preserve">Engaged Māori NGOs to provide kaupapa-based support for Māori survivors </w:t>
      </w:r>
      <w:r w:rsidR="00E32B16">
        <w:t>where there are existing relationships of trust.</w:t>
      </w:r>
    </w:p>
    <w:p w14:paraId="32A3564E" w14:textId="77777777" w:rsidR="000C5D31" w:rsidRDefault="000C5D31" w:rsidP="000C5D31">
      <w:pPr>
        <w:pStyle w:val="ListParagraph"/>
        <w:numPr>
          <w:ilvl w:val="0"/>
          <w:numId w:val="37"/>
        </w:numPr>
      </w:pPr>
      <w:r>
        <w:t xml:space="preserve">Engaged </w:t>
      </w:r>
      <w:proofErr w:type="spellStart"/>
      <w:r>
        <w:t>Te</w:t>
      </w:r>
      <w:proofErr w:type="spellEnd"/>
      <w:r>
        <w:t xml:space="preserve"> </w:t>
      </w:r>
      <w:proofErr w:type="spellStart"/>
      <w:r>
        <w:t>Rōpu</w:t>
      </w:r>
      <w:proofErr w:type="spellEnd"/>
      <w:r>
        <w:t xml:space="preserve"> </w:t>
      </w:r>
      <w:proofErr w:type="spellStart"/>
      <w:r>
        <w:t>Kaupapa</w:t>
      </w:r>
      <w:proofErr w:type="spellEnd"/>
      <w:r>
        <w:t xml:space="preserve"> – Māori focus groups to strengthen survivor advice and care experienced expertise (</w:t>
      </w:r>
      <w:proofErr w:type="spellStart"/>
      <w:r>
        <w:t>ōritetanga</w:t>
      </w:r>
      <w:proofErr w:type="spellEnd"/>
      <w:r>
        <w:t xml:space="preserve">). </w:t>
      </w:r>
    </w:p>
    <w:p w14:paraId="3F32BC09" w14:textId="77777777" w:rsidR="000C5D31" w:rsidRDefault="000C5D31" w:rsidP="000C5D31">
      <w:r w:rsidRPr="00BB7569">
        <w:t>The</w:t>
      </w:r>
      <w:r>
        <w:t xml:space="preserve"> recent establishment of </w:t>
      </w:r>
      <w:r w:rsidRPr="00BB7569">
        <w:t>a Taumata group</w:t>
      </w:r>
      <w:r>
        <w:t xml:space="preserve"> to work with the Royal Commission is a significant milestone for the Inquiry</w:t>
      </w:r>
      <w:r w:rsidRPr="00BB7569">
        <w:t>.</w:t>
      </w:r>
      <w:r w:rsidRPr="00F03F39">
        <w:rPr>
          <w:b/>
        </w:rPr>
        <w:t xml:space="preserve"> </w:t>
      </w:r>
      <w:r>
        <w:t>The Taumata will seek to ensure the Commission implements an effective Treaty based approach informed by the articles of the Treaty, across the work of the Royal Commission. The Taumata will complement existing Māori expertise within the Royal Commission.</w:t>
      </w:r>
    </w:p>
    <w:p w14:paraId="00750E8F" w14:textId="77777777" w:rsidR="000C5D31" w:rsidRDefault="000C5D31" w:rsidP="000C5D31">
      <w:r>
        <w:t>The Taumata will also assist the Royal Commission by:</w:t>
      </w:r>
    </w:p>
    <w:p w14:paraId="25BC357B" w14:textId="77777777" w:rsidR="000C5D31" w:rsidRDefault="000C5D31" w:rsidP="000C5D31">
      <w:pPr>
        <w:pStyle w:val="ListParagraph"/>
        <w:numPr>
          <w:ilvl w:val="0"/>
          <w:numId w:val="35"/>
        </w:numPr>
      </w:pPr>
      <w:r>
        <w:t>providing guidance and support regarding the appropriate tikanga to be observed when engaging with Iwi, hapū and Māori organisations; and</w:t>
      </w:r>
    </w:p>
    <w:p w14:paraId="405C65A2" w14:textId="77777777" w:rsidR="000C5D31" w:rsidRDefault="000C5D31" w:rsidP="000C5D31">
      <w:pPr>
        <w:pStyle w:val="ListParagraph"/>
        <w:numPr>
          <w:ilvl w:val="0"/>
          <w:numId w:val="35"/>
        </w:numPr>
      </w:pPr>
      <w:r>
        <w:t>strengthening relationships with Māori to promote engagement with the Royal Commission.</w:t>
      </w:r>
    </w:p>
    <w:p w14:paraId="33B3D4CD" w14:textId="77777777" w:rsidR="000C5D31" w:rsidRDefault="000C5D31" w:rsidP="000C5D31">
      <w:r>
        <w:t xml:space="preserve">Iwi, hapū and Māori Entities will still be able to address the Royal Commission directly on matters that are important to them. </w:t>
      </w:r>
    </w:p>
    <w:p w14:paraId="14F78FA5" w14:textId="77777777" w:rsidR="000C5D31" w:rsidRPr="004652C3" w:rsidRDefault="000C5D31" w:rsidP="000C5D31">
      <w:pPr>
        <w:keepLines w:val="0"/>
        <w:autoSpaceDE w:val="0"/>
        <w:autoSpaceDN w:val="0"/>
        <w:adjustRightInd w:val="0"/>
        <w:spacing w:before="0" w:after="0"/>
        <w:rPr>
          <w:rFonts w:cs="Calibri"/>
          <w:lang w:eastAsia="en-NZ"/>
        </w:rPr>
      </w:pPr>
      <w:r w:rsidRPr="004652C3">
        <w:rPr>
          <w:rFonts w:cs="Calibri"/>
          <w:lang w:eastAsia="en-NZ"/>
        </w:rPr>
        <w:t>The Treaty Engagement team continue</w:t>
      </w:r>
      <w:r>
        <w:rPr>
          <w:rFonts w:cs="Calibri"/>
          <w:lang w:eastAsia="en-NZ"/>
        </w:rPr>
        <w:t>d</w:t>
      </w:r>
      <w:r w:rsidRPr="004652C3">
        <w:rPr>
          <w:rFonts w:cs="Calibri"/>
          <w:lang w:eastAsia="en-NZ"/>
        </w:rPr>
        <w:t xml:space="preserve"> </w:t>
      </w:r>
      <w:r>
        <w:rPr>
          <w:rFonts w:cs="Calibri"/>
          <w:lang w:eastAsia="en-NZ"/>
        </w:rPr>
        <w:t xml:space="preserve">their active engagement work during the 2019/20 year. </w:t>
      </w:r>
      <w:r w:rsidRPr="004652C3">
        <w:rPr>
          <w:rFonts w:cs="Calibri"/>
          <w:lang w:eastAsia="en-NZ"/>
        </w:rPr>
        <w:t>They have engaged with</w:t>
      </w:r>
      <w:r>
        <w:rPr>
          <w:rFonts w:cs="Calibri"/>
          <w:lang w:eastAsia="en-NZ"/>
        </w:rPr>
        <w:t>:</w:t>
      </w:r>
    </w:p>
    <w:p w14:paraId="784E783E" w14:textId="77777777" w:rsidR="000C5D31" w:rsidRPr="004652C3" w:rsidRDefault="000C5D31" w:rsidP="000C5D31">
      <w:pPr>
        <w:keepLines w:val="0"/>
        <w:autoSpaceDE w:val="0"/>
        <w:autoSpaceDN w:val="0"/>
        <w:adjustRightInd w:val="0"/>
        <w:spacing w:before="0" w:after="0"/>
        <w:rPr>
          <w:rFonts w:cs="Calibri"/>
          <w:lang w:eastAsia="en-NZ"/>
        </w:rPr>
      </w:pPr>
    </w:p>
    <w:p w14:paraId="7567D16A" w14:textId="77777777" w:rsidR="000C5D31" w:rsidRPr="004106E6" w:rsidRDefault="000C5D31" w:rsidP="000C5D31">
      <w:pPr>
        <w:pStyle w:val="ListParagraph"/>
        <w:keepLines w:val="0"/>
        <w:numPr>
          <w:ilvl w:val="0"/>
          <w:numId w:val="31"/>
        </w:numPr>
        <w:spacing w:before="0" w:after="0"/>
        <w:rPr>
          <w:rFonts w:eastAsia="Times New Roman" w:cs="Calibri"/>
        </w:rPr>
      </w:pPr>
      <w:r>
        <w:rPr>
          <w:rFonts w:eastAsia="Times New Roman" w:cs="Calibri"/>
        </w:rPr>
        <w:t xml:space="preserve">Survivors through </w:t>
      </w:r>
      <w:r w:rsidRPr="004652C3">
        <w:rPr>
          <w:rFonts w:cs="Calibri"/>
        </w:rPr>
        <w:t xml:space="preserve">survivor-led hui </w:t>
      </w:r>
    </w:p>
    <w:p w14:paraId="2AD9C91E" w14:textId="77777777" w:rsidR="000C5D31" w:rsidRPr="004652C3" w:rsidRDefault="000C5D31" w:rsidP="000C5D31">
      <w:pPr>
        <w:pStyle w:val="ListParagraph"/>
        <w:keepLines w:val="0"/>
        <w:numPr>
          <w:ilvl w:val="0"/>
          <w:numId w:val="31"/>
        </w:numPr>
        <w:spacing w:before="0" w:after="0"/>
        <w:rPr>
          <w:rFonts w:eastAsia="Times New Roman" w:cs="Calibri"/>
        </w:rPr>
      </w:pPr>
      <w:r w:rsidRPr="004652C3">
        <w:rPr>
          <w:rFonts w:eastAsia="Times New Roman" w:cs="Calibri"/>
        </w:rPr>
        <w:t>NGOs, some national and other local, regional entities.</w:t>
      </w:r>
    </w:p>
    <w:p w14:paraId="00055640" w14:textId="77777777" w:rsidR="000C5D31" w:rsidRPr="004652C3" w:rsidRDefault="000C5D31" w:rsidP="000C5D31">
      <w:pPr>
        <w:pStyle w:val="ListParagraph"/>
        <w:keepLines w:val="0"/>
        <w:numPr>
          <w:ilvl w:val="0"/>
          <w:numId w:val="31"/>
        </w:numPr>
        <w:spacing w:before="0" w:after="0"/>
        <w:rPr>
          <w:rFonts w:eastAsia="Times New Roman" w:cs="Calibri"/>
        </w:rPr>
      </w:pPr>
      <w:r w:rsidRPr="004652C3">
        <w:rPr>
          <w:rFonts w:eastAsia="Times New Roman" w:cs="Calibri"/>
        </w:rPr>
        <w:t xml:space="preserve">Māori leaders from across the country </w:t>
      </w:r>
    </w:p>
    <w:p w14:paraId="67CA7A43" w14:textId="77777777" w:rsidR="000C5D31" w:rsidRDefault="000C5D31" w:rsidP="000C5D31">
      <w:pPr>
        <w:pStyle w:val="ListParagraph"/>
        <w:keepLines w:val="0"/>
        <w:numPr>
          <w:ilvl w:val="0"/>
          <w:numId w:val="31"/>
        </w:numPr>
        <w:spacing w:before="0" w:after="0"/>
        <w:rPr>
          <w:rFonts w:eastAsia="Times New Roman" w:cs="Calibri"/>
        </w:rPr>
      </w:pPr>
      <w:r w:rsidRPr="004652C3">
        <w:rPr>
          <w:rFonts w:eastAsia="Times New Roman" w:cs="Calibri"/>
        </w:rPr>
        <w:t>Iwi organisations (</w:t>
      </w:r>
      <w:proofErr w:type="spellStart"/>
      <w:r>
        <w:rPr>
          <w:rFonts w:eastAsia="Times New Roman" w:cs="Calibri"/>
        </w:rPr>
        <w:t>Kīngitanga</w:t>
      </w:r>
      <w:proofErr w:type="spellEnd"/>
      <w:r>
        <w:rPr>
          <w:rFonts w:eastAsia="Times New Roman" w:cs="Calibri"/>
        </w:rPr>
        <w:t xml:space="preserve"> and Waikato, </w:t>
      </w:r>
      <w:proofErr w:type="spellStart"/>
      <w:r w:rsidRPr="004652C3">
        <w:rPr>
          <w:rFonts w:eastAsia="Times New Roman" w:cs="Calibri"/>
        </w:rPr>
        <w:t>Te</w:t>
      </w:r>
      <w:proofErr w:type="spellEnd"/>
      <w:r w:rsidRPr="004652C3">
        <w:rPr>
          <w:rFonts w:eastAsia="Times New Roman" w:cs="Calibri"/>
        </w:rPr>
        <w:t xml:space="preserve"> </w:t>
      </w:r>
      <w:proofErr w:type="spellStart"/>
      <w:r w:rsidRPr="004652C3">
        <w:rPr>
          <w:rFonts w:eastAsia="Times New Roman" w:cs="Calibri"/>
        </w:rPr>
        <w:t>Ātiawa</w:t>
      </w:r>
      <w:proofErr w:type="spellEnd"/>
      <w:r w:rsidRPr="004652C3">
        <w:rPr>
          <w:rFonts w:eastAsia="Times New Roman" w:cs="Calibri"/>
        </w:rPr>
        <w:t xml:space="preserve">, </w:t>
      </w:r>
      <w:proofErr w:type="spellStart"/>
      <w:r>
        <w:rPr>
          <w:rFonts w:eastAsia="Times New Roman" w:cs="Calibri"/>
        </w:rPr>
        <w:t>Te</w:t>
      </w:r>
      <w:proofErr w:type="spellEnd"/>
      <w:r w:rsidRPr="004652C3">
        <w:rPr>
          <w:rFonts w:eastAsia="Times New Roman" w:cs="Calibri"/>
        </w:rPr>
        <w:t xml:space="preserve"> </w:t>
      </w:r>
      <w:proofErr w:type="spellStart"/>
      <w:r w:rsidRPr="004652C3">
        <w:rPr>
          <w:rFonts w:eastAsia="Times New Roman" w:cs="Calibri"/>
        </w:rPr>
        <w:t>Muaupoko</w:t>
      </w:r>
      <w:proofErr w:type="spellEnd"/>
      <w:r w:rsidRPr="004652C3">
        <w:rPr>
          <w:rFonts w:eastAsia="Times New Roman" w:cs="Calibri"/>
        </w:rPr>
        <w:t xml:space="preserve">, </w:t>
      </w:r>
      <w:proofErr w:type="spellStart"/>
      <w:r w:rsidRPr="004652C3">
        <w:rPr>
          <w:rFonts w:eastAsia="Times New Roman" w:cs="Calibri"/>
        </w:rPr>
        <w:t>Ngāti</w:t>
      </w:r>
      <w:proofErr w:type="spellEnd"/>
      <w:r w:rsidRPr="004652C3">
        <w:rPr>
          <w:rFonts w:eastAsia="Times New Roman" w:cs="Calibri"/>
        </w:rPr>
        <w:t xml:space="preserve"> </w:t>
      </w:r>
      <w:proofErr w:type="spellStart"/>
      <w:r w:rsidRPr="004652C3">
        <w:rPr>
          <w:rFonts w:eastAsia="Times New Roman" w:cs="Calibri"/>
        </w:rPr>
        <w:t>Whātua</w:t>
      </w:r>
      <w:proofErr w:type="spellEnd"/>
      <w:r w:rsidRPr="004652C3">
        <w:rPr>
          <w:rFonts w:eastAsia="Times New Roman" w:cs="Calibri"/>
        </w:rPr>
        <w:t xml:space="preserve"> </w:t>
      </w:r>
      <w:proofErr w:type="spellStart"/>
      <w:r w:rsidRPr="004652C3">
        <w:rPr>
          <w:rFonts w:eastAsia="Times New Roman" w:cs="Calibri"/>
        </w:rPr>
        <w:t>kei</w:t>
      </w:r>
      <w:proofErr w:type="spellEnd"/>
      <w:r w:rsidRPr="004652C3">
        <w:rPr>
          <w:rFonts w:eastAsia="Times New Roman" w:cs="Calibri"/>
        </w:rPr>
        <w:t xml:space="preserve"> </w:t>
      </w:r>
      <w:proofErr w:type="spellStart"/>
      <w:r w:rsidRPr="004652C3">
        <w:rPr>
          <w:rFonts w:eastAsia="Times New Roman" w:cs="Calibri"/>
        </w:rPr>
        <w:t>Ōrākei</w:t>
      </w:r>
      <w:proofErr w:type="spellEnd"/>
      <w:r w:rsidRPr="004652C3">
        <w:rPr>
          <w:rFonts w:eastAsia="Times New Roman" w:cs="Calibri"/>
        </w:rPr>
        <w:t xml:space="preserve">, </w:t>
      </w:r>
      <w:proofErr w:type="spellStart"/>
      <w:r w:rsidRPr="004652C3">
        <w:rPr>
          <w:rFonts w:eastAsia="Times New Roman" w:cs="Calibri"/>
        </w:rPr>
        <w:t>Te</w:t>
      </w:r>
      <w:proofErr w:type="spellEnd"/>
      <w:r w:rsidRPr="004652C3">
        <w:rPr>
          <w:rFonts w:eastAsia="Times New Roman" w:cs="Calibri"/>
        </w:rPr>
        <w:t xml:space="preserve"> </w:t>
      </w:r>
      <w:proofErr w:type="spellStart"/>
      <w:r w:rsidRPr="004652C3">
        <w:rPr>
          <w:rFonts w:eastAsia="Times New Roman" w:cs="Calibri"/>
        </w:rPr>
        <w:t>Rarawa</w:t>
      </w:r>
      <w:proofErr w:type="spellEnd"/>
      <w:r w:rsidRPr="004652C3">
        <w:rPr>
          <w:rFonts w:eastAsia="Times New Roman" w:cs="Calibri"/>
        </w:rPr>
        <w:t xml:space="preserve">, </w:t>
      </w:r>
      <w:proofErr w:type="spellStart"/>
      <w:r w:rsidRPr="004652C3">
        <w:rPr>
          <w:rFonts w:eastAsia="Times New Roman" w:cs="Calibri"/>
        </w:rPr>
        <w:t>Ngāi</w:t>
      </w:r>
      <w:proofErr w:type="spellEnd"/>
      <w:r w:rsidRPr="004652C3">
        <w:rPr>
          <w:rFonts w:eastAsia="Times New Roman" w:cs="Calibri"/>
        </w:rPr>
        <w:t xml:space="preserve"> </w:t>
      </w:r>
      <w:proofErr w:type="spellStart"/>
      <w:r w:rsidRPr="004652C3">
        <w:rPr>
          <w:rFonts w:eastAsia="Times New Roman" w:cs="Calibri"/>
        </w:rPr>
        <w:t>Tahu</w:t>
      </w:r>
      <w:proofErr w:type="spellEnd"/>
      <w:r w:rsidRPr="004652C3">
        <w:rPr>
          <w:rFonts w:eastAsia="Times New Roman" w:cs="Calibri"/>
        </w:rPr>
        <w:t xml:space="preserve">, </w:t>
      </w:r>
      <w:proofErr w:type="spellStart"/>
      <w:r w:rsidRPr="004652C3">
        <w:rPr>
          <w:rFonts w:eastAsia="Times New Roman" w:cs="Calibri"/>
        </w:rPr>
        <w:t>Ngāti</w:t>
      </w:r>
      <w:proofErr w:type="spellEnd"/>
      <w:r w:rsidRPr="004652C3">
        <w:rPr>
          <w:rFonts w:eastAsia="Times New Roman" w:cs="Calibri"/>
        </w:rPr>
        <w:t xml:space="preserve"> </w:t>
      </w:r>
      <w:proofErr w:type="spellStart"/>
      <w:r w:rsidRPr="004652C3">
        <w:rPr>
          <w:rFonts w:eastAsia="Times New Roman" w:cs="Calibri"/>
        </w:rPr>
        <w:t>Whātua</w:t>
      </w:r>
      <w:proofErr w:type="spellEnd"/>
      <w:r w:rsidRPr="004652C3">
        <w:rPr>
          <w:rFonts w:eastAsia="Times New Roman" w:cs="Calibri"/>
        </w:rPr>
        <w:t xml:space="preserve">, Ngāti </w:t>
      </w:r>
      <w:proofErr w:type="spellStart"/>
      <w:r w:rsidRPr="004652C3">
        <w:rPr>
          <w:rFonts w:eastAsia="Times New Roman" w:cs="Calibri"/>
        </w:rPr>
        <w:t>Rangi</w:t>
      </w:r>
      <w:proofErr w:type="spellEnd"/>
      <w:r w:rsidRPr="004652C3">
        <w:rPr>
          <w:rFonts w:eastAsia="Times New Roman" w:cs="Calibri"/>
        </w:rPr>
        <w:t xml:space="preserve"> and </w:t>
      </w:r>
      <w:proofErr w:type="spellStart"/>
      <w:r w:rsidRPr="004652C3">
        <w:rPr>
          <w:rFonts w:eastAsia="Times New Roman" w:cs="Calibri"/>
        </w:rPr>
        <w:t>Te</w:t>
      </w:r>
      <w:proofErr w:type="spellEnd"/>
      <w:r w:rsidRPr="004652C3">
        <w:rPr>
          <w:rFonts w:eastAsia="Times New Roman" w:cs="Calibri"/>
        </w:rPr>
        <w:t xml:space="preserve"> </w:t>
      </w:r>
      <w:proofErr w:type="spellStart"/>
      <w:r w:rsidRPr="004652C3">
        <w:rPr>
          <w:rFonts w:eastAsia="Times New Roman" w:cs="Calibri"/>
        </w:rPr>
        <w:t>Arawa</w:t>
      </w:r>
      <w:proofErr w:type="spellEnd"/>
      <w:r>
        <w:rPr>
          <w:rFonts w:eastAsia="Times New Roman" w:cs="Calibri"/>
        </w:rPr>
        <w:t xml:space="preserve">, </w:t>
      </w:r>
      <w:proofErr w:type="spellStart"/>
      <w:r>
        <w:rPr>
          <w:rFonts w:eastAsia="Times New Roman" w:cs="Calibri"/>
        </w:rPr>
        <w:t>Ngāti</w:t>
      </w:r>
      <w:proofErr w:type="spellEnd"/>
      <w:r>
        <w:rPr>
          <w:rFonts w:eastAsia="Times New Roman" w:cs="Calibri"/>
        </w:rPr>
        <w:t xml:space="preserve"> </w:t>
      </w:r>
      <w:proofErr w:type="spellStart"/>
      <w:r>
        <w:rPr>
          <w:rFonts w:eastAsia="Times New Roman" w:cs="Calibri"/>
        </w:rPr>
        <w:t>Kahungunu</w:t>
      </w:r>
      <w:proofErr w:type="spellEnd"/>
      <w:r>
        <w:rPr>
          <w:rFonts w:eastAsia="Times New Roman" w:cs="Calibri"/>
        </w:rPr>
        <w:t xml:space="preserve">, </w:t>
      </w:r>
      <w:proofErr w:type="spellStart"/>
      <w:r>
        <w:rPr>
          <w:rFonts w:eastAsia="Times New Roman" w:cs="Calibri"/>
        </w:rPr>
        <w:t>Ngāti</w:t>
      </w:r>
      <w:proofErr w:type="spellEnd"/>
      <w:r>
        <w:rPr>
          <w:rFonts w:eastAsia="Times New Roman" w:cs="Calibri"/>
        </w:rPr>
        <w:t xml:space="preserve"> </w:t>
      </w:r>
      <w:proofErr w:type="spellStart"/>
      <w:r>
        <w:rPr>
          <w:rFonts w:eastAsia="Times New Roman" w:cs="Calibri"/>
        </w:rPr>
        <w:t>Porou</w:t>
      </w:r>
      <w:proofErr w:type="spellEnd"/>
      <w:r>
        <w:rPr>
          <w:rFonts w:eastAsia="Times New Roman" w:cs="Calibri"/>
        </w:rPr>
        <w:t xml:space="preserve">, </w:t>
      </w:r>
      <w:proofErr w:type="spellStart"/>
      <w:r>
        <w:rPr>
          <w:rFonts w:eastAsia="Times New Roman" w:cs="Calibri"/>
        </w:rPr>
        <w:t>Ngāti</w:t>
      </w:r>
      <w:proofErr w:type="spellEnd"/>
      <w:r>
        <w:rPr>
          <w:rFonts w:eastAsia="Times New Roman" w:cs="Calibri"/>
        </w:rPr>
        <w:t xml:space="preserve"> </w:t>
      </w:r>
      <w:proofErr w:type="spellStart"/>
      <w:r>
        <w:rPr>
          <w:rFonts w:eastAsia="Times New Roman" w:cs="Calibri"/>
        </w:rPr>
        <w:t>Mutunga</w:t>
      </w:r>
      <w:proofErr w:type="spellEnd"/>
      <w:r>
        <w:rPr>
          <w:rFonts w:eastAsia="Times New Roman" w:cs="Calibri"/>
        </w:rPr>
        <w:t xml:space="preserve">, </w:t>
      </w:r>
      <w:proofErr w:type="spellStart"/>
      <w:r>
        <w:rPr>
          <w:rFonts w:eastAsia="Times New Roman" w:cs="Calibri"/>
        </w:rPr>
        <w:t>Ngāti</w:t>
      </w:r>
      <w:proofErr w:type="spellEnd"/>
      <w:r>
        <w:rPr>
          <w:rFonts w:eastAsia="Times New Roman" w:cs="Calibri"/>
        </w:rPr>
        <w:t xml:space="preserve"> </w:t>
      </w:r>
      <w:proofErr w:type="spellStart"/>
      <w:r>
        <w:rPr>
          <w:rFonts w:eastAsia="Times New Roman" w:cs="Calibri"/>
        </w:rPr>
        <w:t>Apa</w:t>
      </w:r>
      <w:proofErr w:type="spellEnd"/>
      <w:r w:rsidRPr="004652C3">
        <w:rPr>
          <w:rFonts w:eastAsia="Times New Roman" w:cs="Calibri"/>
        </w:rPr>
        <w:t xml:space="preserve">). Some iwi </w:t>
      </w:r>
      <w:proofErr w:type="gramStart"/>
      <w:r w:rsidRPr="004652C3">
        <w:rPr>
          <w:rFonts w:eastAsia="Times New Roman" w:cs="Calibri"/>
        </w:rPr>
        <w:t>have</w:t>
      </w:r>
      <w:proofErr w:type="gramEnd"/>
      <w:r w:rsidRPr="004652C3">
        <w:rPr>
          <w:rFonts w:eastAsia="Times New Roman" w:cs="Calibri"/>
        </w:rPr>
        <w:t xml:space="preserve"> indicated high interest while others are a ‘wait and see’.</w:t>
      </w:r>
      <w:r>
        <w:rPr>
          <w:rFonts w:eastAsia="Times New Roman" w:cs="Calibri"/>
        </w:rPr>
        <w:t xml:space="preserve"> Ongoing engagement with iwi has been regular and we will continue to engage with all iwi throughout the life of the Commission.</w:t>
      </w:r>
    </w:p>
    <w:p w14:paraId="5DC15234" w14:textId="77777777" w:rsidR="000C5D31" w:rsidRDefault="000C5D31" w:rsidP="000C5D31">
      <w:pPr>
        <w:keepLines w:val="0"/>
        <w:spacing w:before="0" w:after="0"/>
        <w:rPr>
          <w:rFonts w:eastAsia="Times New Roman" w:cs="Calibri"/>
        </w:rPr>
      </w:pPr>
    </w:p>
    <w:p w14:paraId="5C7B71E0" w14:textId="77777777" w:rsidR="000C5D31" w:rsidRPr="00095773" w:rsidRDefault="000C5D31" w:rsidP="000C5D31">
      <w:pPr>
        <w:keepLines w:val="0"/>
        <w:spacing w:before="0" w:after="0"/>
        <w:rPr>
          <w:rFonts w:eastAsia="Times New Roman" w:cs="Calibri"/>
        </w:rPr>
      </w:pPr>
      <w:proofErr w:type="spellStart"/>
      <w:r>
        <w:rPr>
          <w:rFonts w:eastAsia="Times New Roman" w:cs="Calibri"/>
        </w:rPr>
        <w:t>Te</w:t>
      </w:r>
      <w:proofErr w:type="spellEnd"/>
      <w:r>
        <w:rPr>
          <w:rFonts w:eastAsia="Times New Roman" w:cs="Calibri"/>
        </w:rPr>
        <w:t xml:space="preserve"> </w:t>
      </w:r>
      <w:proofErr w:type="spellStart"/>
      <w:r>
        <w:rPr>
          <w:rFonts w:eastAsia="Times New Roman" w:cs="Calibri"/>
        </w:rPr>
        <w:t>Rōpu</w:t>
      </w:r>
      <w:proofErr w:type="spellEnd"/>
      <w:r>
        <w:rPr>
          <w:rFonts w:eastAsia="Times New Roman" w:cs="Calibri"/>
        </w:rPr>
        <w:t xml:space="preserve"> </w:t>
      </w:r>
      <w:proofErr w:type="spellStart"/>
      <w:r>
        <w:rPr>
          <w:rFonts w:eastAsia="Times New Roman" w:cs="Calibri"/>
        </w:rPr>
        <w:t>Kaupapa</w:t>
      </w:r>
      <w:proofErr w:type="spellEnd"/>
      <w:r>
        <w:rPr>
          <w:rFonts w:eastAsia="Times New Roman" w:cs="Calibri"/>
        </w:rPr>
        <w:t xml:space="preserve"> are a series of Māori survivor focus groups that will occur bi-monthly from September 2020. Each session will be shaped around key investigation areas and ensure that survivors are provide several opportunities to provide advice and care experience expertise into the work of the Commission.</w:t>
      </w:r>
    </w:p>
    <w:p w14:paraId="06CC882D" w14:textId="77777777" w:rsidR="000C5D31" w:rsidRDefault="000C5D31" w:rsidP="000C5D31">
      <w:pPr>
        <w:keepLines w:val="0"/>
        <w:spacing w:before="0" w:after="0"/>
        <w:rPr>
          <w:rFonts w:eastAsia="Times New Roman" w:cs="Calibri"/>
        </w:rPr>
      </w:pPr>
    </w:p>
    <w:p w14:paraId="03E341EE" w14:textId="5951E393" w:rsidR="00A46BF2" w:rsidRDefault="000C5D31" w:rsidP="00A46BF2">
      <w:pPr>
        <w:keepLines w:val="0"/>
        <w:spacing w:before="0" w:after="0"/>
        <w:rPr>
          <w:rFonts w:asciiTheme="minorHAnsi" w:hAnsiTheme="minorHAnsi" w:cstheme="minorHAnsi"/>
          <w:b/>
          <w:sz w:val="28"/>
          <w:szCs w:val="28"/>
        </w:rPr>
      </w:pPr>
      <w:r>
        <w:rPr>
          <w:rFonts w:eastAsia="Times New Roman" w:cs="Calibri"/>
        </w:rPr>
        <w:t xml:space="preserve">The Royal Commission has also arranged for </w:t>
      </w:r>
      <w:r w:rsidRPr="004652C3">
        <w:rPr>
          <w:rFonts w:cs="Calibri"/>
        </w:rPr>
        <w:t>English and Te Reo advertising on all Iwi radio stations</w:t>
      </w:r>
      <w:r>
        <w:rPr>
          <w:rFonts w:cs="Calibri"/>
        </w:rPr>
        <w:t xml:space="preserve"> by the Royal Commission</w:t>
      </w:r>
      <w:r w:rsidRPr="004652C3">
        <w:rPr>
          <w:rFonts w:cs="Calibri"/>
        </w:rPr>
        <w:t xml:space="preserve"> for a two-week period to drive interest in the Inquiry and registrations among both Māori </w:t>
      </w:r>
      <w:r>
        <w:rPr>
          <w:rFonts w:cs="Calibri"/>
        </w:rPr>
        <w:t>[</w:t>
      </w:r>
      <w:r w:rsidRPr="004652C3">
        <w:rPr>
          <w:rFonts w:cs="Calibri"/>
        </w:rPr>
        <w:t>and Pasefika</w:t>
      </w:r>
      <w:r>
        <w:rPr>
          <w:rFonts w:cs="Calibri"/>
        </w:rPr>
        <w:t>]</w:t>
      </w:r>
      <w:r w:rsidRPr="004652C3">
        <w:rPr>
          <w:rFonts w:cs="Calibri"/>
        </w:rPr>
        <w:t xml:space="preserve"> survivors.</w:t>
      </w:r>
    </w:p>
    <w:p w14:paraId="6A5DF90A" w14:textId="2821987A" w:rsidR="006E41FC" w:rsidRDefault="006E41FC">
      <w:pPr>
        <w:keepLines w:val="0"/>
        <w:rPr>
          <w:rFonts w:asciiTheme="minorHAnsi" w:hAnsiTheme="minorHAnsi" w:cstheme="minorHAnsi"/>
          <w:b/>
          <w:sz w:val="28"/>
          <w:szCs w:val="28"/>
        </w:rPr>
      </w:pPr>
    </w:p>
    <w:p w14:paraId="2BE355D1" w14:textId="77777777" w:rsidR="006E41FC" w:rsidRDefault="006E41FC">
      <w:pPr>
        <w:keepLines w:val="0"/>
        <w:rPr>
          <w:rFonts w:asciiTheme="minorHAnsi" w:hAnsiTheme="minorHAnsi" w:cstheme="minorHAnsi"/>
          <w:b/>
          <w:sz w:val="28"/>
          <w:szCs w:val="28"/>
        </w:rPr>
      </w:pPr>
    </w:p>
    <w:p w14:paraId="7942B079" w14:textId="77777777" w:rsidR="00852383" w:rsidRDefault="00852383" w:rsidP="00E26A33">
      <w:pPr>
        <w:rPr>
          <w:rFonts w:asciiTheme="minorHAnsi" w:hAnsiTheme="minorHAnsi" w:cstheme="minorHAnsi"/>
          <w:b/>
          <w:sz w:val="28"/>
          <w:szCs w:val="28"/>
        </w:rPr>
      </w:pPr>
    </w:p>
    <w:p w14:paraId="1C13C89B" w14:textId="68C25FD4" w:rsidR="00E26A33" w:rsidRPr="00517EB5" w:rsidRDefault="00E26A33" w:rsidP="00E26A33">
      <w:pPr>
        <w:rPr>
          <w:rFonts w:asciiTheme="minorHAnsi" w:hAnsiTheme="minorHAnsi" w:cstheme="minorHAnsi"/>
          <w:b/>
          <w:sz w:val="28"/>
          <w:szCs w:val="28"/>
        </w:rPr>
      </w:pPr>
      <w:r w:rsidRPr="00517EB5">
        <w:rPr>
          <w:rFonts w:asciiTheme="minorHAnsi" w:hAnsiTheme="minorHAnsi" w:cstheme="minorHAnsi"/>
          <w:b/>
          <w:sz w:val="28"/>
          <w:szCs w:val="28"/>
        </w:rPr>
        <w:lastRenderedPageBreak/>
        <w:t>Building a Solid Foundation</w:t>
      </w:r>
    </w:p>
    <w:p w14:paraId="3E039EC7" w14:textId="38A1B717" w:rsidR="00E26A33" w:rsidRDefault="00E26A33" w:rsidP="00E26A33">
      <w:pPr>
        <w:rPr>
          <w:rFonts w:asciiTheme="minorHAnsi" w:hAnsiTheme="minorHAnsi" w:cstheme="minorHAnsi"/>
        </w:rPr>
      </w:pPr>
      <w:r w:rsidRPr="0088067C">
        <w:rPr>
          <w:rFonts w:asciiTheme="minorHAnsi" w:hAnsiTheme="minorHAnsi" w:cstheme="minorHAnsi"/>
        </w:rPr>
        <w:t>During 2019/20 the R</w:t>
      </w:r>
      <w:r w:rsidR="00A170C1">
        <w:rPr>
          <w:rFonts w:asciiTheme="minorHAnsi" w:hAnsiTheme="minorHAnsi" w:cstheme="minorHAnsi"/>
        </w:rPr>
        <w:t xml:space="preserve">oyal </w:t>
      </w:r>
      <w:r w:rsidR="00BF6D17" w:rsidRPr="0088067C">
        <w:rPr>
          <w:rFonts w:asciiTheme="minorHAnsi" w:hAnsiTheme="minorHAnsi" w:cstheme="minorHAnsi"/>
        </w:rPr>
        <w:t>C</w:t>
      </w:r>
      <w:r w:rsidR="00BF6D17">
        <w:rPr>
          <w:rFonts w:asciiTheme="minorHAnsi" w:hAnsiTheme="minorHAnsi" w:cstheme="minorHAnsi"/>
        </w:rPr>
        <w:t>ommission</w:t>
      </w:r>
      <w:r w:rsidRPr="0088067C">
        <w:rPr>
          <w:rFonts w:asciiTheme="minorHAnsi" w:hAnsiTheme="minorHAnsi" w:cstheme="minorHAnsi"/>
        </w:rPr>
        <w:t xml:space="preserve"> continued to </w:t>
      </w:r>
      <w:r>
        <w:rPr>
          <w:rFonts w:asciiTheme="minorHAnsi" w:hAnsiTheme="minorHAnsi" w:cstheme="minorHAnsi"/>
        </w:rPr>
        <w:t xml:space="preserve">put the building blocks in place for a successful </w:t>
      </w:r>
      <w:r w:rsidRPr="001F11CD">
        <w:rPr>
          <w:rFonts w:asciiTheme="minorHAnsi" w:hAnsiTheme="minorHAnsi" w:cstheme="minorHAnsi"/>
        </w:rPr>
        <w:t>inquiry</w:t>
      </w:r>
      <w:r>
        <w:rPr>
          <w:rFonts w:asciiTheme="minorHAnsi" w:hAnsiTheme="minorHAnsi" w:cstheme="minorHAnsi"/>
        </w:rPr>
        <w:t xml:space="preserve">. Given the unique scale and complexity of the Inquiry, building the </w:t>
      </w:r>
      <w:r w:rsidR="004E14DD">
        <w:rPr>
          <w:rFonts w:asciiTheme="minorHAnsi" w:hAnsiTheme="minorHAnsi" w:cstheme="minorHAnsi"/>
        </w:rPr>
        <w:t xml:space="preserve">right </w:t>
      </w:r>
      <w:r>
        <w:rPr>
          <w:rFonts w:asciiTheme="minorHAnsi" w:hAnsiTheme="minorHAnsi" w:cstheme="minorHAnsi"/>
        </w:rPr>
        <w:t>foundations has been a critical component of the work. It has had to be accomplished alongside developing and executing the Inquiry’s core work</w:t>
      </w:r>
      <w:r w:rsidR="00A170C1">
        <w:rPr>
          <w:rFonts w:asciiTheme="minorHAnsi" w:hAnsiTheme="minorHAnsi" w:cstheme="minorHAnsi"/>
        </w:rPr>
        <w:t xml:space="preserve"> programme</w:t>
      </w:r>
      <w:r>
        <w:rPr>
          <w:rFonts w:asciiTheme="minorHAnsi" w:hAnsiTheme="minorHAnsi" w:cstheme="minorHAnsi"/>
        </w:rPr>
        <w:t>. Components of building foundations progressed over the last 12 months include:</w:t>
      </w:r>
    </w:p>
    <w:p w14:paraId="12FAB3DB" w14:textId="77777777" w:rsidR="004C2538" w:rsidRPr="004C2538" w:rsidRDefault="004C2538" w:rsidP="004C2538">
      <w:pPr>
        <w:rPr>
          <w:u w:val="single"/>
        </w:rPr>
      </w:pPr>
      <w:r w:rsidRPr="004C2538">
        <w:rPr>
          <w:u w:val="single"/>
        </w:rPr>
        <w:t>Governance and decision-making</w:t>
      </w:r>
    </w:p>
    <w:p w14:paraId="44AC4D21" w14:textId="42F64448" w:rsidR="00735F0F" w:rsidRDefault="004106E6" w:rsidP="004C2538">
      <w:r>
        <w:t xml:space="preserve">In parallel with commencing investigations and </w:t>
      </w:r>
      <w:r w:rsidR="00735F0F">
        <w:t xml:space="preserve">progressing the policy </w:t>
      </w:r>
      <w:r w:rsidR="00A36483">
        <w:t>&amp;</w:t>
      </w:r>
      <w:r w:rsidR="00735F0F">
        <w:t xml:space="preserve"> research work programme, w</w:t>
      </w:r>
      <w:r w:rsidRPr="004106E6">
        <w:t>ork has continued through the year to strengthen governance and decision</w:t>
      </w:r>
      <w:r w:rsidR="00735F0F">
        <w:t>-</w:t>
      </w:r>
      <w:r w:rsidRPr="004106E6">
        <w:t xml:space="preserve"> making processes </w:t>
      </w:r>
      <w:r w:rsidR="00735F0F">
        <w:t xml:space="preserve">over the Royal Commission’s operational work programme </w:t>
      </w:r>
      <w:r w:rsidRPr="004106E6">
        <w:t xml:space="preserve">and to ensure </w:t>
      </w:r>
      <w:r w:rsidR="004C2538" w:rsidRPr="004106E6">
        <w:t>clear roles and responsibilities have been identified</w:t>
      </w:r>
      <w:r w:rsidRPr="004106E6">
        <w:t xml:space="preserve"> and agreed</w:t>
      </w:r>
      <w:r w:rsidR="00735F0F">
        <w:t xml:space="preserve">. </w:t>
      </w:r>
      <w:r w:rsidR="004C2538" w:rsidRPr="004106E6">
        <w:t xml:space="preserve"> </w:t>
      </w:r>
      <w:r w:rsidR="00735F0F">
        <w:t>Two new governance committees have been established covering investigations and research &amp; policy, two</w:t>
      </w:r>
      <w:r w:rsidR="00A36483">
        <w:t xml:space="preserve"> of the three</w:t>
      </w:r>
      <w:r w:rsidR="00735F0F">
        <w:t xml:space="preserve"> key pillars of the Royal Commission’s operating model. The committees, each of which will have a Commissioner representative, will guide and oversee the work. Final decision making, however, remains with the full Commissioner panel.</w:t>
      </w:r>
    </w:p>
    <w:p w14:paraId="38849F68" w14:textId="25907765" w:rsidR="004C2538" w:rsidRPr="00A75DE3" w:rsidRDefault="004C2538" w:rsidP="004C2538">
      <w:pPr>
        <w:rPr>
          <w:u w:val="single"/>
        </w:rPr>
      </w:pPr>
      <w:r w:rsidRPr="00A75DE3">
        <w:rPr>
          <w:u w:val="single"/>
        </w:rPr>
        <w:t>Risk Management</w:t>
      </w:r>
    </w:p>
    <w:p w14:paraId="416DA492" w14:textId="77777777" w:rsidR="002B45EA" w:rsidRDefault="002B45EA" w:rsidP="004C2538">
      <w:r>
        <w:t>The inherent complexity and significant scale of the Royal Commission’s Terms of Reference, coupled with a finite timeframe to complete the work, means that by definition the Inquiry carries significant risk. Effective risk management is therefore critical. T</w:t>
      </w:r>
      <w:r w:rsidRPr="002B45EA">
        <w:t>he Royal Commission</w:t>
      </w:r>
      <w:r>
        <w:t xml:space="preserve"> has continued to build its maturity in this area through 2019/20. </w:t>
      </w:r>
      <w:r w:rsidRPr="002B45EA">
        <w:t xml:space="preserve"> </w:t>
      </w:r>
      <w:r>
        <w:t xml:space="preserve">Risk management policies and processes are now embedded. There is an ongoing programme of raising awareness of risk and how they can be mitigated and managed within the Royal Commission. High-level strategic risks are reported and discussed on a monthly basis with Commissioners. </w:t>
      </w:r>
    </w:p>
    <w:p w14:paraId="52E422E2" w14:textId="3B6917EB" w:rsidR="004C2538" w:rsidRDefault="000C2050" w:rsidP="004C2538">
      <w:r>
        <w:t xml:space="preserve">The Royal Commission has strong processes around assessment and management of conflicts of interest covering Commissioners, executive management and staff. These are reviewed and updated on a regular basis. </w:t>
      </w:r>
    </w:p>
    <w:p w14:paraId="22269737" w14:textId="77777777" w:rsidR="000C2050" w:rsidRPr="00E26A33" w:rsidRDefault="000C2050" w:rsidP="000C2050">
      <w:pPr>
        <w:rPr>
          <w:rFonts w:asciiTheme="minorHAnsi" w:hAnsiTheme="minorHAnsi" w:cstheme="minorHAnsi"/>
          <w:u w:val="single"/>
        </w:rPr>
      </w:pPr>
      <w:r w:rsidRPr="00E26A33">
        <w:rPr>
          <w:rFonts w:asciiTheme="minorHAnsi" w:hAnsiTheme="minorHAnsi" w:cstheme="minorHAnsi"/>
          <w:u w:val="single"/>
        </w:rPr>
        <w:t>Robust Information Systems</w:t>
      </w:r>
    </w:p>
    <w:p w14:paraId="635BDE4A" w14:textId="6390C166" w:rsidR="00FC1D00" w:rsidRDefault="00FC1D00" w:rsidP="00FC1D00">
      <w:r>
        <w:t xml:space="preserve">Having robust information and investigation systems in place to support the core work of the Inquiry is critical.  Privacy and security around the data we are collecting and creating is paramount in maintaining the relationships we are building with </w:t>
      </w:r>
      <w:r w:rsidR="00A36483">
        <w:t>s</w:t>
      </w:r>
      <w:r>
        <w:t xml:space="preserve">urvivors.  Overlaid across these needs is the importance of ensuring we meet our obligations to the Public Records Act 2005, not only from a statutory obligation but ensuring that there is a robust record behind the findings and recommendations that the </w:t>
      </w:r>
      <w:r w:rsidR="00A36483">
        <w:t xml:space="preserve">Royal </w:t>
      </w:r>
      <w:r>
        <w:t>Commission will make.</w:t>
      </w:r>
    </w:p>
    <w:p w14:paraId="7A1A3683" w14:textId="32412998" w:rsidR="00FC1D00" w:rsidRDefault="00FC1D00" w:rsidP="000C5D31">
      <w:r>
        <w:t xml:space="preserve">Information at </w:t>
      </w:r>
      <w:r w:rsidR="00A36483">
        <w:t>the</w:t>
      </w:r>
      <w:r>
        <w:t xml:space="preserve"> Royal Commission is stored in approved information systems that meet the mandatory requirements outlined in the Government’s Protective Security Requirements (PSR</w:t>
      </w:r>
      <w:r w:rsidR="00FD1A64">
        <w:t>) and</w:t>
      </w:r>
      <w:r>
        <w:t xml:space="preserve"> are certified to hold information with a security classification up to ‘IN-CONFIDENCE’ and ‘SENSITIVE’.</w:t>
      </w:r>
    </w:p>
    <w:p w14:paraId="08E58623" w14:textId="77777777" w:rsidR="00A46BF2" w:rsidRDefault="00A46BF2" w:rsidP="000C5D31"/>
    <w:p w14:paraId="30A92101" w14:textId="4FB98B20" w:rsidR="00FC1D00" w:rsidRDefault="00FC1D00" w:rsidP="000C5D31">
      <w:r>
        <w:lastRenderedPageBreak/>
        <w:t>Key areas of focus this year have been:</w:t>
      </w:r>
    </w:p>
    <w:p w14:paraId="6363E0E1" w14:textId="6C453DE1" w:rsidR="00FC1D00" w:rsidRDefault="00FC1D00" w:rsidP="00FC1D00">
      <w:pPr>
        <w:pStyle w:val="ListParagraph"/>
        <w:keepLines w:val="0"/>
        <w:numPr>
          <w:ilvl w:val="0"/>
          <w:numId w:val="36"/>
        </w:numPr>
        <w:spacing w:before="0" w:after="0"/>
        <w:ind w:left="993" w:hanging="567"/>
      </w:pPr>
      <w:r>
        <w:t xml:space="preserve">Establishing and implementing an Information Management Strategy, to be in place by the end of the 2020 calendar year.  This strategy will define how we will meet our obligations under the Public Records Act 2005 and in conjunction with the established policies drive rigour into the </w:t>
      </w:r>
      <w:r w:rsidR="00A36483">
        <w:t xml:space="preserve">Royal </w:t>
      </w:r>
      <w:r>
        <w:t>Commission</w:t>
      </w:r>
      <w:r w:rsidR="00A36483">
        <w:t>’</w:t>
      </w:r>
      <w:r>
        <w:t>s record keeping practices</w:t>
      </w:r>
      <w:r w:rsidR="00A36483">
        <w:t>;</w:t>
      </w:r>
    </w:p>
    <w:p w14:paraId="09B6F674" w14:textId="401D4736" w:rsidR="00FC1D00" w:rsidRDefault="00FC1D00" w:rsidP="00FC1D00">
      <w:pPr>
        <w:pStyle w:val="ListParagraph"/>
        <w:keepLines w:val="0"/>
        <w:numPr>
          <w:ilvl w:val="0"/>
          <w:numId w:val="36"/>
        </w:numPr>
        <w:spacing w:before="0" w:after="0"/>
        <w:ind w:left="993" w:hanging="567"/>
      </w:pPr>
      <w:r>
        <w:t>Implementing an electronic evidence management system, Relativity.  This system will be the repository of all evidential material that has been provided by agencies over the life of the</w:t>
      </w:r>
      <w:r w:rsidR="00A36483">
        <w:t xml:space="preserve"> Royal</w:t>
      </w:r>
      <w:r>
        <w:t xml:space="preserve"> Commission.  It also supports a workflow for the investigation workstreams of the </w:t>
      </w:r>
      <w:r w:rsidR="00A36483">
        <w:t xml:space="preserve">Royal </w:t>
      </w:r>
      <w:r>
        <w:t>Commission to sort, organise and analyse this material</w:t>
      </w:r>
      <w:r w:rsidR="00A36483">
        <w:t>;</w:t>
      </w:r>
    </w:p>
    <w:p w14:paraId="06926B78" w14:textId="225B0B8C" w:rsidR="000C5D31" w:rsidRPr="00A46BF2" w:rsidRDefault="00FC1D00" w:rsidP="00E26A33">
      <w:pPr>
        <w:pStyle w:val="ListParagraph"/>
        <w:keepLines w:val="0"/>
        <w:numPr>
          <w:ilvl w:val="0"/>
          <w:numId w:val="36"/>
        </w:numPr>
        <w:spacing w:before="0" w:after="0"/>
        <w:ind w:left="993" w:hanging="567"/>
      </w:pPr>
      <w:r>
        <w:t xml:space="preserve">Maintaining the central client relationship management system which is used for registration of all </w:t>
      </w:r>
      <w:r w:rsidR="00A36483">
        <w:t>s</w:t>
      </w:r>
      <w:r>
        <w:t xml:space="preserve">urvivors.  This holds the central record for all the information provided to us by </w:t>
      </w:r>
      <w:r w:rsidR="00A36483">
        <w:t>s</w:t>
      </w:r>
      <w:r>
        <w:t xml:space="preserve">urvivors and our interactions with them.  This system is not open by default to all staff due to the sensitivity of the records and enables the </w:t>
      </w:r>
      <w:r w:rsidR="00A36483">
        <w:t xml:space="preserve">Royal </w:t>
      </w:r>
      <w:r>
        <w:t>Commission to centrally secure and manage the Survivor records.</w:t>
      </w:r>
    </w:p>
    <w:p w14:paraId="2BEF022C" w14:textId="0D90C997" w:rsidR="00E26A33" w:rsidRPr="006830B4" w:rsidRDefault="00E26A33" w:rsidP="00E26A33">
      <w:pPr>
        <w:rPr>
          <w:rFonts w:asciiTheme="minorHAnsi" w:hAnsiTheme="minorHAnsi" w:cstheme="minorHAnsi"/>
          <w:u w:val="single"/>
        </w:rPr>
      </w:pPr>
      <w:r w:rsidRPr="006830B4">
        <w:rPr>
          <w:rFonts w:asciiTheme="minorHAnsi" w:hAnsiTheme="minorHAnsi" w:cstheme="minorHAnsi"/>
          <w:u w:val="single"/>
        </w:rPr>
        <w:t>Hearing Space in Auckland</w:t>
      </w:r>
    </w:p>
    <w:p w14:paraId="0B332F93" w14:textId="6913C866" w:rsidR="00E26A33" w:rsidRDefault="00E26A33" w:rsidP="00E26A33">
      <w:r>
        <w:t xml:space="preserve">The </w:t>
      </w:r>
      <w:r w:rsidR="00A36483">
        <w:t xml:space="preserve">Royal </w:t>
      </w:r>
      <w:r>
        <w:t>Commission took possession of Khyber Pass premises, incorporating a new, purpose built hearing space, on 1 October 2019. Cabinet agreement to funding to progress the fit out was obtained in September 2019.  Staff were able to be located on-site from mid-February 2020. The lockdown associated with COVID-19 delayed the completion of the fitout, but despite this work restarted promptly and the fitout work is now on-track for completion in August 2020 with a formal opening in early September. Public hearings will commence in the new facility in September 2020. Completion of the new Auckland premises is a key building block in the R</w:t>
      </w:r>
      <w:r w:rsidR="00A36483">
        <w:t xml:space="preserve">oyal </w:t>
      </w:r>
      <w:r>
        <w:t>C</w:t>
      </w:r>
      <w:r w:rsidR="00A36483">
        <w:t>ommission</w:t>
      </w:r>
      <w:r>
        <w:t>’s foundations for the Inquiry.</w:t>
      </w:r>
    </w:p>
    <w:p w14:paraId="45B4C8DC" w14:textId="24B72AD9" w:rsidR="00E26A33" w:rsidRPr="006830B4" w:rsidRDefault="00E26A33" w:rsidP="00E26A33">
      <w:pPr>
        <w:rPr>
          <w:u w:val="single"/>
        </w:rPr>
      </w:pPr>
      <w:r w:rsidRPr="006830B4">
        <w:rPr>
          <w:u w:val="single"/>
        </w:rPr>
        <w:t>Corporate Functions</w:t>
      </w:r>
    </w:p>
    <w:p w14:paraId="35CA0A13" w14:textId="1F669DC5" w:rsidR="00640B8B" w:rsidRDefault="00E26A33" w:rsidP="006E41FC">
      <w:pPr>
        <w:rPr>
          <w:rFonts w:asciiTheme="minorHAnsi" w:hAnsiTheme="minorHAnsi" w:cstheme="minorHAnsi"/>
        </w:rPr>
      </w:pPr>
      <w:r>
        <w:t>The R</w:t>
      </w:r>
      <w:r w:rsidR="00A170C1">
        <w:t>oyal Commis</w:t>
      </w:r>
      <w:r w:rsidR="00BF6D17">
        <w:t>s</w:t>
      </w:r>
      <w:r w:rsidR="00A170C1">
        <w:t>ion</w:t>
      </w:r>
      <w:r>
        <w:t xml:space="preserve"> has worked hard over the last 12 months to ensure its corporate functions are fit for purpose and well managed. An important part of that process has been working with the Departmen</w:t>
      </w:r>
      <w:r w:rsidR="00A170C1">
        <w:t>t</w:t>
      </w:r>
      <w:r>
        <w:t xml:space="preserve"> to ensure that for each of the corporate services provided by the Department that delivery expectations </w:t>
      </w:r>
      <w:r>
        <w:rPr>
          <w:iCs/>
          <w:color w:val="000000"/>
          <w:szCs w:val="22"/>
          <w:lang w:val="en"/>
        </w:rPr>
        <w:t>and the roles and responsibilities of each party are clear and well documented. The R</w:t>
      </w:r>
      <w:r w:rsidR="00A36483">
        <w:rPr>
          <w:iCs/>
          <w:color w:val="000000"/>
          <w:szCs w:val="22"/>
          <w:lang w:val="en"/>
        </w:rPr>
        <w:t xml:space="preserve">oyal Commission </w:t>
      </w:r>
      <w:r>
        <w:rPr>
          <w:iCs/>
          <w:color w:val="000000"/>
          <w:szCs w:val="22"/>
          <w:lang w:val="en"/>
        </w:rPr>
        <w:t>has also comp</w:t>
      </w:r>
      <w:r w:rsidR="00852383">
        <w:rPr>
          <w:iCs/>
          <w:color w:val="000000"/>
          <w:szCs w:val="22"/>
          <w:lang w:val="en"/>
        </w:rPr>
        <w:t>l</w:t>
      </w:r>
      <w:r>
        <w:rPr>
          <w:iCs/>
          <w:color w:val="000000"/>
          <w:szCs w:val="22"/>
          <w:lang w:val="en"/>
        </w:rPr>
        <w:t xml:space="preserve">eted and put in place </w:t>
      </w:r>
      <w:proofErr w:type="gramStart"/>
      <w:r>
        <w:rPr>
          <w:iCs/>
          <w:color w:val="000000"/>
          <w:szCs w:val="22"/>
          <w:lang w:val="en"/>
        </w:rPr>
        <w:t>a number of</w:t>
      </w:r>
      <w:proofErr w:type="gramEnd"/>
      <w:r>
        <w:rPr>
          <w:iCs/>
          <w:color w:val="000000"/>
          <w:szCs w:val="22"/>
          <w:lang w:val="en"/>
        </w:rPr>
        <w:t xml:space="preserve"> policies and processes, in the health and safety area in particular, </w:t>
      </w:r>
      <w:r w:rsidRPr="00B16228">
        <w:rPr>
          <w:rFonts w:asciiTheme="minorHAnsi" w:hAnsiTheme="minorHAnsi" w:cstheme="minorHAnsi"/>
        </w:rPr>
        <w:t xml:space="preserve">to </w:t>
      </w:r>
      <w:r>
        <w:rPr>
          <w:rFonts w:asciiTheme="minorHAnsi" w:hAnsiTheme="minorHAnsi" w:cstheme="minorHAnsi"/>
        </w:rPr>
        <w:t xml:space="preserve">ensure we </w:t>
      </w:r>
      <w:r w:rsidRPr="00B16228">
        <w:rPr>
          <w:rFonts w:asciiTheme="minorHAnsi" w:hAnsiTheme="minorHAnsi" w:cstheme="minorHAnsi"/>
        </w:rPr>
        <w:t>meet the Department’s financial and human resources obligations</w:t>
      </w:r>
      <w:r>
        <w:rPr>
          <w:rFonts w:asciiTheme="minorHAnsi" w:hAnsiTheme="minorHAnsi" w:cstheme="minorHAnsi"/>
        </w:rPr>
        <w:t>. The R</w:t>
      </w:r>
      <w:r w:rsidR="00A170C1">
        <w:rPr>
          <w:rFonts w:asciiTheme="minorHAnsi" w:hAnsiTheme="minorHAnsi" w:cstheme="minorHAnsi"/>
        </w:rPr>
        <w:t>oyal Commission</w:t>
      </w:r>
      <w:r>
        <w:rPr>
          <w:rFonts w:asciiTheme="minorHAnsi" w:hAnsiTheme="minorHAnsi" w:cstheme="minorHAnsi"/>
        </w:rPr>
        <w:t xml:space="preserve"> is aiming to have corporate services that are efficient, effective and proportionate in relation to the delivery functions of the Inquiry. </w:t>
      </w:r>
    </w:p>
    <w:p w14:paraId="3EBF6063" w14:textId="4EE19D4A" w:rsidR="006E41FC" w:rsidRDefault="006E41FC" w:rsidP="006E41FC">
      <w:pPr>
        <w:rPr>
          <w:rFonts w:asciiTheme="minorHAnsi" w:hAnsiTheme="minorHAnsi" w:cstheme="minorHAnsi"/>
        </w:rPr>
      </w:pPr>
    </w:p>
    <w:p w14:paraId="405C0C3B" w14:textId="264DFFF0" w:rsidR="006E41FC" w:rsidRDefault="006E41FC" w:rsidP="006E41FC">
      <w:pPr>
        <w:rPr>
          <w:rFonts w:asciiTheme="minorHAnsi" w:hAnsiTheme="minorHAnsi" w:cstheme="minorHAnsi"/>
        </w:rPr>
      </w:pPr>
    </w:p>
    <w:p w14:paraId="19605F20" w14:textId="212E064D" w:rsidR="006E41FC" w:rsidRDefault="006E41FC" w:rsidP="006E41FC">
      <w:pPr>
        <w:rPr>
          <w:rFonts w:asciiTheme="minorHAnsi" w:hAnsiTheme="minorHAnsi" w:cstheme="minorHAnsi"/>
        </w:rPr>
      </w:pPr>
    </w:p>
    <w:p w14:paraId="7DB469DF" w14:textId="77777777" w:rsidR="006E41FC" w:rsidRDefault="006E41FC" w:rsidP="006E41FC">
      <w:pPr>
        <w:rPr>
          <w:rFonts w:asciiTheme="minorHAnsi" w:hAnsiTheme="minorHAnsi" w:cstheme="minorHAnsi"/>
        </w:rPr>
      </w:pPr>
    </w:p>
    <w:p w14:paraId="31B33E04" w14:textId="22F14AB4" w:rsidR="00E26A33" w:rsidRPr="006830B4" w:rsidRDefault="00E26A33" w:rsidP="00E26A33">
      <w:pPr>
        <w:rPr>
          <w:rFonts w:asciiTheme="minorHAnsi" w:hAnsiTheme="minorHAnsi" w:cstheme="minorHAnsi"/>
          <w:u w:val="single"/>
        </w:rPr>
      </w:pPr>
      <w:r w:rsidRPr="006830B4">
        <w:rPr>
          <w:rFonts w:asciiTheme="minorHAnsi" w:hAnsiTheme="minorHAnsi" w:cstheme="minorHAnsi"/>
          <w:u w:val="single"/>
        </w:rPr>
        <w:lastRenderedPageBreak/>
        <w:t xml:space="preserve">Relationship with </w:t>
      </w:r>
      <w:r w:rsidR="00A170C1">
        <w:rPr>
          <w:rFonts w:asciiTheme="minorHAnsi" w:hAnsiTheme="minorHAnsi" w:cstheme="minorHAnsi"/>
          <w:u w:val="single"/>
        </w:rPr>
        <w:t>the Department</w:t>
      </w:r>
    </w:p>
    <w:p w14:paraId="445EF28C" w14:textId="503DFDFE" w:rsidR="00E26A33" w:rsidRDefault="00E26A33" w:rsidP="00E26A33">
      <w:pPr>
        <w:rPr>
          <w:rFonts w:asciiTheme="minorHAnsi" w:hAnsiTheme="minorHAnsi" w:cstheme="minorHAnsi"/>
        </w:rPr>
      </w:pPr>
      <w:r>
        <w:rPr>
          <w:rFonts w:asciiTheme="minorHAnsi" w:hAnsiTheme="minorHAnsi" w:cstheme="minorHAnsi"/>
        </w:rPr>
        <w:t>During the year the Department and the R</w:t>
      </w:r>
      <w:r w:rsidR="00A36483">
        <w:rPr>
          <w:rFonts w:asciiTheme="minorHAnsi" w:hAnsiTheme="minorHAnsi" w:cstheme="minorHAnsi"/>
        </w:rPr>
        <w:t xml:space="preserve">oyal </w:t>
      </w:r>
      <w:r>
        <w:rPr>
          <w:rFonts w:asciiTheme="minorHAnsi" w:hAnsiTheme="minorHAnsi" w:cstheme="minorHAnsi"/>
        </w:rPr>
        <w:t>C</w:t>
      </w:r>
      <w:r w:rsidR="00A36483">
        <w:rPr>
          <w:rFonts w:asciiTheme="minorHAnsi" w:hAnsiTheme="minorHAnsi" w:cstheme="minorHAnsi"/>
        </w:rPr>
        <w:t>ommission</w:t>
      </w:r>
      <w:r>
        <w:rPr>
          <w:rFonts w:asciiTheme="minorHAnsi" w:hAnsiTheme="minorHAnsi" w:cstheme="minorHAnsi"/>
        </w:rPr>
        <w:t xml:space="preserve"> mutually agreed to a ‘reset’ of their relationship </w:t>
      </w:r>
      <w:r>
        <w:rPr>
          <w:color w:val="000000"/>
          <w:szCs w:val="22"/>
          <w:lang w:val="en"/>
        </w:rPr>
        <w:t xml:space="preserve">to enable the </w:t>
      </w:r>
      <w:r w:rsidR="00A36483">
        <w:rPr>
          <w:color w:val="000000"/>
          <w:szCs w:val="22"/>
          <w:lang w:val="en"/>
        </w:rPr>
        <w:t xml:space="preserve">Royal </w:t>
      </w:r>
      <w:r>
        <w:rPr>
          <w:color w:val="000000"/>
          <w:szCs w:val="22"/>
          <w:lang w:val="en"/>
        </w:rPr>
        <w:t>Commission to operate independently, while ensuring the Department can fulfil its role and its obligations to the Minister. The resulting framework for the relationship that is now in place, is based on the tools used by the Crown to engage with and monitor independent Crown Entities (ICE). This reflects the unique size and scale of the R</w:t>
      </w:r>
      <w:r w:rsidR="00BF6D17">
        <w:rPr>
          <w:color w:val="000000"/>
          <w:szCs w:val="22"/>
          <w:lang w:val="en"/>
        </w:rPr>
        <w:t>oyal Commission</w:t>
      </w:r>
      <w:r>
        <w:rPr>
          <w:color w:val="000000"/>
          <w:szCs w:val="22"/>
          <w:lang w:val="en"/>
        </w:rPr>
        <w:t xml:space="preserve"> in comparison with other inquiries for which the Department is the administering agency. Both parties are committed to a productive and professional relationship that will last for the duration of the Inquiry.</w:t>
      </w:r>
    </w:p>
    <w:p w14:paraId="01383204" w14:textId="05B9989F" w:rsidR="009307AC" w:rsidRPr="004E14DD" w:rsidRDefault="009307AC" w:rsidP="009307AC">
      <w:pPr>
        <w:rPr>
          <w:rFonts w:asciiTheme="minorHAnsi" w:hAnsiTheme="minorHAnsi" w:cstheme="minorHAnsi"/>
          <w:b/>
          <w:sz w:val="28"/>
          <w:szCs w:val="28"/>
        </w:rPr>
      </w:pPr>
      <w:r w:rsidRPr="004E14DD">
        <w:rPr>
          <w:rFonts w:asciiTheme="minorHAnsi" w:hAnsiTheme="minorHAnsi" w:cstheme="minorHAnsi"/>
          <w:b/>
          <w:sz w:val="28"/>
          <w:szCs w:val="28"/>
        </w:rPr>
        <w:t>Financial summary to 3</w:t>
      </w:r>
      <w:r w:rsidR="004E14DD" w:rsidRPr="004E14DD">
        <w:rPr>
          <w:rFonts w:asciiTheme="minorHAnsi" w:hAnsiTheme="minorHAnsi" w:cstheme="minorHAnsi"/>
          <w:b/>
          <w:sz w:val="28"/>
          <w:szCs w:val="28"/>
        </w:rPr>
        <w:t>0</w:t>
      </w:r>
      <w:r w:rsidRPr="004E14DD">
        <w:rPr>
          <w:rFonts w:asciiTheme="minorHAnsi" w:hAnsiTheme="minorHAnsi" w:cstheme="minorHAnsi"/>
          <w:b/>
          <w:sz w:val="28"/>
          <w:szCs w:val="28"/>
        </w:rPr>
        <w:t xml:space="preserve"> </w:t>
      </w:r>
      <w:r w:rsidR="004E14DD" w:rsidRPr="004E14DD">
        <w:rPr>
          <w:rFonts w:asciiTheme="minorHAnsi" w:hAnsiTheme="minorHAnsi" w:cstheme="minorHAnsi"/>
          <w:b/>
          <w:sz w:val="28"/>
          <w:szCs w:val="28"/>
        </w:rPr>
        <w:t>June</w:t>
      </w:r>
      <w:r w:rsidRPr="004E14DD">
        <w:rPr>
          <w:rFonts w:asciiTheme="minorHAnsi" w:hAnsiTheme="minorHAnsi" w:cstheme="minorHAnsi"/>
          <w:b/>
          <w:sz w:val="28"/>
          <w:szCs w:val="28"/>
        </w:rPr>
        <w:t xml:space="preserve"> 2020</w:t>
      </w:r>
    </w:p>
    <w:p w14:paraId="25001BED" w14:textId="3726D060" w:rsidR="00A75DE3" w:rsidRPr="00573E36" w:rsidRDefault="00A75DE3" w:rsidP="00A75DE3">
      <w:pPr>
        <w:rPr>
          <w:rFonts w:cs="Calibri"/>
        </w:rPr>
      </w:pPr>
      <w:r w:rsidRPr="004652C3">
        <w:rPr>
          <w:rFonts w:cs="Calibri"/>
        </w:rPr>
        <w:t xml:space="preserve">The </w:t>
      </w:r>
      <w:r>
        <w:rPr>
          <w:rFonts w:cs="Calibri"/>
        </w:rPr>
        <w:t>full year</w:t>
      </w:r>
      <w:r w:rsidRPr="004652C3">
        <w:rPr>
          <w:rFonts w:cs="Calibri"/>
        </w:rPr>
        <w:t xml:space="preserve"> variance </w:t>
      </w:r>
      <w:r>
        <w:rPr>
          <w:rFonts w:cs="Calibri"/>
        </w:rPr>
        <w:t xml:space="preserve">of spending to budget for the year was an $15.256M </w:t>
      </w:r>
      <w:r w:rsidRPr="004652C3">
        <w:rPr>
          <w:rFonts w:cs="Calibri"/>
        </w:rPr>
        <w:t xml:space="preserve">underspend across all outputs. The second half of the year was expected to see an increase in </w:t>
      </w:r>
      <w:r>
        <w:rPr>
          <w:rFonts w:cs="Calibri"/>
        </w:rPr>
        <w:t xml:space="preserve">operating </w:t>
      </w:r>
      <w:r w:rsidRPr="004652C3">
        <w:rPr>
          <w:rFonts w:cs="Calibri"/>
        </w:rPr>
        <w:t>expenditure due to additional public hearings being planned and held, together with new operating systems coming on line and a further increase in FTE numbers.</w:t>
      </w:r>
      <w:r>
        <w:rPr>
          <w:rFonts w:cs="Calibri"/>
        </w:rPr>
        <w:t xml:space="preserve"> </w:t>
      </w:r>
      <w:r w:rsidRPr="004652C3">
        <w:rPr>
          <w:rFonts w:cs="Calibri"/>
        </w:rPr>
        <w:t xml:space="preserve"> The impact of Covid-19 and the measures taken by the Inquiry in response </w:t>
      </w:r>
      <w:r>
        <w:rPr>
          <w:rFonts w:cs="Calibri"/>
        </w:rPr>
        <w:t xml:space="preserve">contributed </w:t>
      </w:r>
      <w:r w:rsidR="00FD1A64">
        <w:rPr>
          <w:rFonts w:cs="Calibri"/>
        </w:rPr>
        <w:t xml:space="preserve">to </w:t>
      </w:r>
      <w:r>
        <w:rPr>
          <w:rFonts w:cs="Calibri"/>
        </w:rPr>
        <w:t>further underspending in the second half of the year.</w:t>
      </w:r>
      <w:r w:rsidRPr="004652C3">
        <w:rPr>
          <w:rFonts w:cs="Calibri"/>
        </w:rPr>
        <w:t xml:space="preserve"> </w:t>
      </w:r>
    </w:p>
    <w:p w14:paraId="103C1C9B" w14:textId="07426006" w:rsidR="00A75DE3" w:rsidRDefault="00A75DE3" w:rsidP="00A75DE3">
      <w:pPr>
        <w:rPr>
          <w:rFonts w:cs="Calibri"/>
          <w:i/>
        </w:rPr>
      </w:pPr>
      <w:r w:rsidRPr="004652C3">
        <w:rPr>
          <w:rFonts w:cs="Calibri"/>
          <w:i/>
        </w:rPr>
        <w:t>Departmental Output Expense: Royal Commission into Historical Abuse in State Care and in the Care of Faith-based Institutions.</w:t>
      </w:r>
    </w:p>
    <w:p w14:paraId="6D22210D" w14:textId="77777777" w:rsidR="00A75DE3" w:rsidRPr="009307AC" w:rsidRDefault="00A75DE3" w:rsidP="00A75DE3">
      <w:pPr>
        <w:rPr>
          <w:sz w:val="2"/>
          <w:szCs w:val="2"/>
        </w:rPr>
      </w:pPr>
    </w:p>
    <w:p w14:paraId="515AD925" w14:textId="77777777" w:rsidR="00A75DE3" w:rsidRPr="004652C3" w:rsidRDefault="00A75DE3" w:rsidP="00A75DE3">
      <w:pPr>
        <w:rPr>
          <w:rFonts w:cs="Calibri"/>
          <w:i/>
        </w:rPr>
      </w:pPr>
      <w:r>
        <w:rPr>
          <w:b/>
        </w:rPr>
        <w:t>Summary of</w:t>
      </w:r>
      <w:r w:rsidRPr="004874BA">
        <w:rPr>
          <w:b/>
        </w:rPr>
        <w:t xml:space="preserve"> expenditure </w:t>
      </w:r>
      <w:r>
        <w:rPr>
          <w:b/>
        </w:rPr>
        <w:t>by appropriation - 2019/20</w:t>
      </w:r>
    </w:p>
    <w:tbl>
      <w:tblPr>
        <w:tblStyle w:val="DIATable"/>
        <w:tblW w:w="9985" w:type="dxa"/>
        <w:tblLayout w:type="fixed"/>
        <w:tblLook w:val="04A0" w:firstRow="1" w:lastRow="0" w:firstColumn="1" w:lastColumn="0" w:noHBand="0" w:noVBand="1"/>
      </w:tblPr>
      <w:tblGrid>
        <w:gridCol w:w="1376"/>
        <w:gridCol w:w="834"/>
        <w:gridCol w:w="911"/>
        <w:gridCol w:w="867"/>
        <w:gridCol w:w="1134"/>
        <w:gridCol w:w="1182"/>
        <w:gridCol w:w="3681"/>
      </w:tblGrid>
      <w:tr w:rsidR="00A75DE3" w:rsidRPr="009307AC" w14:paraId="1338BA1A" w14:textId="77777777" w:rsidTr="00D17F82">
        <w:trPr>
          <w:cnfStyle w:val="100000000000" w:firstRow="1" w:lastRow="0" w:firstColumn="0" w:lastColumn="0" w:oddVBand="0" w:evenVBand="0" w:oddHBand="0" w:evenHBand="0" w:firstRowFirstColumn="0" w:firstRowLastColumn="0" w:lastRowFirstColumn="0" w:lastRowLastColumn="0"/>
          <w:trHeight w:val="1333"/>
        </w:trPr>
        <w:tc>
          <w:tcPr>
            <w:tcW w:w="1376" w:type="dxa"/>
          </w:tcPr>
          <w:p w14:paraId="25495029" w14:textId="77777777" w:rsidR="00A75DE3" w:rsidRPr="009307AC" w:rsidRDefault="00A75DE3" w:rsidP="00D17F82">
            <w:pPr>
              <w:ind w:right="-814"/>
              <w:rPr>
                <w:sz w:val="20"/>
                <w:szCs w:val="20"/>
              </w:rPr>
            </w:pPr>
            <w:r w:rsidRPr="009307AC">
              <w:rPr>
                <w:sz w:val="20"/>
                <w:szCs w:val="20"/>
              </w:rPr>
              <w:t>Output</w:t>
            </w:r>
          </w:p>
        </w:tc>
        <w:tc>
          <w:tcPr>
            <w:tcW w:w="834" w:type="dxa"/>
          </w:tcPr>
          <w:p w14:paraId="08950812" w14:textId="77777777" w:rsidR="00A75DE3" w:rsidRPr="009307AC" w:rsidRDefault="00A75DE3" w:rsidP="00D17F82">
            <w:pPr>
              <w:rPr>
                <w:sz w:val="20"/>
                <w:szCs w:val="20"/>
              </w:rPr>
            </w:pPr>
            <w:r>
              <w:rPr>
                <w:sz w:val="20"/>
                <w:szCs w:val="20"/>
              </w:rPr>
              <w:t>FY</w:t>
            </w:r>
            <w:r w:rsidRPr="009307AC">
              <w:rPr>
                <w:sz w:val="20"/>
                <w:szCs w:val="20"/>
              </w:rPr>
              <w:t xml:space="preserve">* Actual </w:t>
            </w:r>
          </w:p>
          <w:p w14:paraId="58633F7A" w14:textId="77777777" w:rsidR="00A75DE3" w:rsidRPr="009307AC" w:rsidRDefault="00A75DE3" w:rsidP="00D17F82">
            <w:pPr>
              <w:rPr>
                <w:sz w:val="20"/>
                <w:szCs w:val="20"/>
              </w:rPr>
            </w:pPr>
            <w:r w:rsidRPr="009307AC">
              <w:rPr>
                <w:sz w:val="20"/>
                <w:szCs w:val="20"/>
              </w:rPr>
              <w:t>($m)</w:t>
            </w:r>
          </w:p>
        </w:tc>
        <w:tc>
          <w:tcPr>
            <w:tcW w:w="911" w:type="dxa"/>
          </w:tcPr>
          <w:p w14:paraId="72871A36" w14:textId="77777777" w:rsidR="00A75DE3" w:rsidRPr="009307AC" w:rsidRDefault="00A75DE3" w:rsidP="00D17F82">
            <w:pPr>
              <w:rPr>
                <w:sz w:val="20"/>
                <w:szCs w:val="20"/>
              </w:rPr>
            </w:pPr>
            <w:r>
              <w:rPr>
                <w:sz w:val="20"/>
                <w:szCs w:val="20"/>
              </w:rPr>
              <w:t>FY</w:t>
            </w:r>
            <w:r w:rsidRPr="009307AC">
              <w:rPr>
                <w:sz w:val="20"/>
                <w:szCs w:val="20"/>
              </w:rPr>
              <w:t xml:space="preserve"> Budget</w:t>
            </w:r>
          </w:p>
          <w:p w14:paraId="4405833A" w14:textId="77777777" w:rsidR="00A75DE3" w:rsidRPr="009307AC" w:rsidRDefault="00A75DE3" w:rsidP="00D17F82">
            <w:pPr>
              <w:rPr>
                <w:sz w:val="20"/>
                <w:szCs w:val="20"/>
              </w:rPr>
            </w:pPr>
            <w:r w:rsidRPr="009307AC">
              <w:rPr>
                <w:sz w:val="20"/>
                <w:szCs w:val="20"/>
              </w:rPr>
              <w:t>($m)</w:t>
            </w:r>
          </w:p>
        </w:tc>
        <w:tc>
          <w:tcPr>
            <w:tcW w:w="867" w:type="dxa"/>
          </w:tcPr>
          <w:p w14:paraId="22881A6B" w14:textId="77777777" w:rsidR="00A75DE3" w:rsidRPr="009307AC" w:rsidRDefault="00A75DE3" w:rsidP="00D17F82">
            <w:pPr>
              <w:rPr>
                <w:b w:val="0"/>
                <w:sz w:val="20"/>
                <w:szCs w:val="20"/>
              </w:rPr>
            </w:pPr>
            <w:r>
              <w:rPr>
                <w:sz w:val="20"/>
                <w:szCs w:val="20"/>
              </w:rPr>
              <w:t>FY</w:t>
            </w:r>
            <w:r w:rsidRPr="009307AC">
              <w:rPr>
                <w:sz w:val="20"/>
                <w:szCs w:val="20"/>
              </w:rPr>
              <w:t xml:space="preserve"> Var</w:t>
            </w:r>
          </w:p>
          <w:p w14:paraId="5A6A463F" w14:textId="77777777" w:rsidR="00A75DE3" w:rsidRPr="009307AC" w:rsidRDefault="00A75DE3" w:rsidP="00D17F82">
            <w:pPr>
              <w:rPr>
                <w:sz w:val="20"/>
                <w:szCs w:val="20"/>
              </w:rPr>
            </w:pPr>
            <w:r w:rsidRPr="009307AC">
              <w:rPr>
                <w:sz w:val="20"/>
                <w:szCs w:val="20"/>
              </w:rPr>
              <w:t>($m)</w:t>
            </w:r>
          </w:p>
        </w:tc>
        <w:tc>
          <w:tcPr>
            <w:tcW w:w="1134" w:type="dxa"/>
          </w:tcPr>
          <w:p w14:paraId="3A15D4C0" w14:textId="77777777" w:rsidR="00A75DE3" w:rsidRPr="009307AC" w:rsidRDefault="00A75DE3" w:rsidP="00D17F82">
            <w:pPr>
              <w:rPr>
                <w:sz w:val="20"/>
                <w:szCs w:val="20"/>
              </w:rPr>
            </w:pPr>
            <w:r w:rsidRPr="009307AC">
              <w:rPr>
                <w:sz w:val="20"/>
                <w:szCs w:val="20"/>
              </w:rPr>
              <w:t xml:space="preserve">Total </w:t>
            </w:r>
            <w:r>
              <w:rPr>
                <w:sz w:val="20"/>
                <w:szCs w:val="20"/>
              </w:rPr>
              <w:t xml:space="preserve">Actual spend to </w:t>
            </w:r>
            <w:r w:rsidRPr="009307AC">
              <w:rPr>
                <w:sz w:val="20"/>
                <w:szCs w:val="20"/>
              </w:rPr>
              <w:t>appropriation #</w:t>
            </w:r>
          </w:p>
          <w:p w14:paraId="728F98DF" w14:textId="77777777" w:rsidR="00A75DE3" w:rsidRPr="009307AC" w:rsidRDefault="00A75DE3" w:rsidP="00D17F82">
            <w:pPr>
              <w:rPr>
                <w:sz w:val="20"/>
                <w:szCs w:val="20"/>
              </w:rPr>
            </w:pPr>
            <w:r w:rsidRPr="009307AC">
              <w:rPr>
                <w:sz w:val="20"/>
                <w:szCs w:val="20"/>
              </w:rPr>
              <w:t>($m)</w:t>
            </w:r>
          </w:p>
        </w:tc>
        <w:tc>
          <w:tcPr>
            <w:tcW w:w="1182" w:type="dxa"/>
          </w:tcPr>
          <w:p w14:paraId="09E89C06" w14:textId="77777777" w:rsidR="00A75DE3" w:rsidRPr="009307AC" w:rsidRDefault="00A75DE3" w:rsidP="00D17F82">
            <w:pPr>
              <w:rPr>
                <w:sz w:val="20"/>
                <w:szCs w:val="20"/>
              </w:rPr>
            </w:pPr>
            <w:r w:rsidRPr="009307AC">
              <w:rPr>
                <w:sz w:val="20"/>
                <w:szCs w:val="20"/>
              </w:rPr>
              <w:t>Duration Multi-year Approved Budget</w:t>
            </w:r>
          </w:p>
          <w:p w14:paraId="3BB65325" w14:textId="77777777" w:rsidR="00A75DE3" w:rsidRPr="009307AC" w:rsidRDefault="00A75DE3" w:rsidP="00D17F82">
            <w:pPr>
              <w:rPr>
                <w:sz w:val="20"/>
                <w:szCs w:val="20"/>
              </w:rPr>
            </w:pPr>
            <w:r w:rsidRPr="009307AC">
              <w:rPr>
                <w:sz w:val="20"/>
                <w:szCs w:val="20"/>
              </w:rPr>
              <w:t>($m)</w:t>
            </w:r>
          </w:p>
        </w:tc>
        <w:tc>
          <w:tcPr>
            <w:tcW w:w="3681" w:type="dxa"/>
          </w:tcPr>
          <w:p w14:paraId="5CA0786C" w14:textId="77777777" w:rsidR="00A75DE3" w:rsidRPr="009307AC" w:rsidRDefault="00A75DE3" w:rsidP="00D17F82">
            <w:pPr>
              <w:rPr>
                <w:sz w:val="20"/>
                <w:szCs w:val="20"/>
              </w:rPr>
            </w:pPr>
            <w:r>
              <w:rPr>
                <w:sz w:val="20"/>
                <w:szCs w:val="20"/>
              </w:rPr>
              <w:t xml:space="preserve">FY </w:t>
            </w:r>
            <w:r w:rsidRPr="009307AC">
              <w:rPr>
                <w:sz w:val="20"/>
                <w:szCs w:val="20"/>
              </w:rPr>
              <w:t>Comment</w:t>
            </w:r>
          </w:p>
        </w:tc>
      </w:tr>
      <w:tr w:rsidR="00A75DE3" w:rsidRPr="009307AC" w14:paraId="55413021" w14:textId="77777777" w:rsidTr="00D17F82">
        <w:trPr>
          <w:trHeight w:val="603"/>
        </w:trPr>
        <w:tc>
          <w:tcPr>
            <w:tcW w:w="1376" w:type="dxa"/>
          </w:tcPr>
          <w:p w14:paraId="02483C62" w14:textId="77777777" w:rsidR="00A75DE3" w:rsidRPr="009307AC" w:rsidRDefault="00A75DE3" w:rsidP="00D17F82">
            <w:pPr>
              <w:rPr>
                <w:sz w:val="20"/>
                <w:szCs w:val="20"/>
              </w:rPr>
            </w:pPr>
            <w:r w:rsidRPr="009307AC">
              <w:rPr>
                <w:sz w:val="20"/>
                <w:szCs w:val="20"/>
              </w:rPr>
              <w:t>Operating expenses</w:t>
            </w:r>
          </w:p>
        </w:tc>
        <w:tc>
          <w:tcPr>
            <w:tcW w:w="834" w:type="dxa"/>
          </w:tcPr>
          <w:p w14:paraId="28413346" w14:textId="77777777" w:rsidR="00A75DE3" w:rsidRPr="006B5453" w:rsidRDefault="00A75DE3" w:rsidP="00D17F82">
            <w:pPr>
              <w:jc w:val="right"/>
              <w:rPr>
                <w:sz w:val="20"/>
                <w:szCs w:val="20"/>
                <w:highlight w:val="green"/>
              </w:rPr>
            </w:pPr>
            <w:r>
              <w:rPr>
                <w:rFonts w:asciiTheme="minorHAnsi" w:hAnsiTheme="minorHAnsi" w:cstheme="minorHAnsi"/>
                <w:iCs/>
                <w:szCs w:val="22"/>
              </w:rPr>
              <w:t>23.013</w:t>
            </w:r>
          </w:p>
        </w:tc>
        <w:tc>
          <w:tcPr>
            <w:tcW w:w="911" w:type="dxa"/>
          </w:tcPr>
          <w:p w14:paraId="6858DCB2" w14:textId="77777777" w:rsidR="00A75DE3" w:rsidRPr="009307AC" w:rsidRDefault="00A75DE3" w:rsidP="00D17F82">
            <w:pPr>
              <w:jc w:val="right"/>
              <w:rPr>
                <w:sz w:val="20"/>
                <w:szCs w:val="20"/>
                <w:highlight w:val="yellow"/>
              </w:rPr>
            </w:pPr>
            <w:r>
              <w:rPr>
                <w:rFonts w:asciiTheme="minorHAnsi" w:hAnsiTheme="minorHAnsi" w:cstheme="minorHAnsi"/>
                <w:iCs/>
                <w:szCs w:val="22"/>
              </w:rPr>
              <w:t>28.699</w:t>
            </w:r>
          </w:p>
        </w:tc>
        <w:tc>
          <w:tcPr>
            <w:tcW w:w="867" w:type="dxa"/>
          </w:tcPr>
          <w:p w14:paraId="34178875" w14:textId="77777777" w:rsidR="00A75DE3" w:rsidRPr="009307AC" w:rsidRDefault="00A75DE3" w:rsidP="00D17F82">
            <w:pPr>
              <w:jc w:val="right"/>
              <w:rPr>
                <w:rFonts w:cs="Calibri"/>
                <w:color w:val="000000"/>
                <w:sz w:val="20"/>
                <w:szCs w:val="20"/>
                <w:highlight w:val="yellow"/>
              </w:rPr>
            </w:pPr>
            <w:r>
              <w:rPr>
                <w:rFonts w:asciiTheme="minorHAnsi" w:hAnsiTheme="minorHAnsi" w:cstheme="minorHAnsi"/>
                <w:iCs/>
                <w:szCs w:val="22"/>
              </w:rPr>
              <w:t>5.686</w:t>
            </w:r>
          </w:p>
        </w:tc>
        <w:tc>
          <w:tcPr>
            <w:tcW w:w="1134" w:type="dxa"/>
          </w:tcPr>
          <w:p w14:paraId="05DACAA6" w14:textId="77777777" w:rsidR="00A75DE3" w:rsidRPr="00525A2E" w:rsidRDefault="00A75DE3" w:rsidP="00D17F82">
            <w:pPr>
              <w:jc w:val="right"/>
              <w:rPr>
                <w:sz w:val="20"/>
                <w:szCs w:val="20"/>
              </w:rPr>
            </w:pPr>
            <w:r w:rsidRPr="00525A2E">
              <w:rPr>
                <w:rFonts w:asciiTheme="minorHAnsi" w:hAnsiTheme="minorHAnsi" w:cstheme="minorHAnsi"/>
                <w:iCs/>
                <w:szCs w:val="22"/>
              </w:rPr>
              <w:t>30.785</w:t>
            </w:r>
          </w:p>
        </w:tc>
        <w:tc>
          <w:tcPr>
            <w:tcW w:w="1182" w:type="dxa"/>
          </w:tcPr>
          <w:p w14:paraId="359CE320" w14:textId="77777777" w:rsidR="00A75DE3" w:rsidRPr="00525A2E" w:rsidRDefault="00A75DE3" w:rsidP="00D17F82">
            <w:pPr>
              <w:jc w:val="right"/>
              <w:rPr>
                <w:sz w:val="20"/>
                <w:szCs w:val="20"/>
              </w:rPr>
            </w:pPr>
            <w:r w:rsidRPr="00525A2E">
              <w:rPr>
                <w:rFonts w:asciiTheme="minorHAnsi" w:hAnsiTheme="minorHAnsi" w:cstheme="minorHAnsi"/>
                <w:iCs/>
                <w:szCs w:val="22"/>
              </w:rPr>
              <w:t>44.108</w:t>
            </w:r>
          </w:p>
        </w:tc>
        <w:tc>
          <w:tcPr>
            <w:tcW w:w="3681" w:type="dxa"/>
          </w:tcPr>
          <w:p w14:paraId="5EC20B87" w14:textId="351728F6" w:rsidR="00A75DE3" w:rsidRPr="009307AC" w:rsidRDefault="001F11CD" w:rsidP="00D17F82">
            <w:pPr>
              <w:rPr>
                <w:rFonts w:eastAsia="Times New Roman"/>
                <w:sz w:val="20"/>
                <w:szCs w:val="20"/>
              </w:rPr>
            </w:pPr>
            <w:r>
              <w:rPr>
                <w:rFonts w:asciiTheme="minorHAnsi" w:hAnsiTheme="minorHAnsi" w:cstheme="minorHAnsi"/>
                <w:iCs/>
                <w:szCs w:val="22"/>
              </w:rPr>
              <w:t>The anticipated increase in expenditure driven mainly by personnel and public hearings costs has not occurred due to COVID-19.</w:t>
            </w:r>
          </w:p>
        </w:tc>
      </w:tr>
      <w:tr w:rsidR="00A75DE3" w:rsidRPr="009307AC" w14:paraId="23C036DC" w14:textId="77777777" w:rsidTr="00D17F82">
        <w:trPr>
          <w:trHeight w:val="797"/>
        </w:trPr>
        <w:tc>
          <w:tcPr>
            <w:tcW w:w="1376" w:type="dxa"/>
          </w:tcPr>
          <w:p w14:paraId="40E04605" w14:textId="77777777" w:rsidR="00A75DE3" w:rsidRPr="009307AC" w:rsidRDefault="00A75DE3" w:rsidP="00D17F82">
            <w:pPr>
              <w:rPr>
                <w:sz w:val="20"/>
                <w:szCs w:val="20"/>
              </w:rPr>
            </w:pPr>
            <w:r w:rsidRPr="009307AC">
              <w:rPr>
                <w:sz w:val="20"/>
                <w:szCs w:val="20"/>
              </w:rPr>
              <w:t>Commissioner fees</w:t>
            </w:r>
          </w:p>
        </w:tc>
        <w:tc>
          <w:tcPr>
            <w:tcW w:w="834" w:type="dxa"/>
          </w:tcPr>
          <w:p w14:paraId="76EAF419" w14:textId="77777777" w:rsidR="00A75DE3" w:rsidRPr="009307AC" w:rsidRDefault="00A75DE3" w:rsidP="00D17F82">
            <w:pPr>
              <w:jc w:val="right"/>
              <w:rPr>
                <w:sz w:val="20"/>
                <w:szCs w:val="20"/>
                <w:highlight w:val="yellow"/>
              </w:rPr>
            </w:pPr>
            <w:r>
              <w:rPr>
                <w:rFonts w:asciiTheme="minorHAnsi" w:hAnsiTheme="minorHAnsi" w:cstheme="minorHAnsi"/>
                <w:iCs/>
                <w:szCs w:val="22"/>
              </w:rPr>
              <w:t>1.243</w:t>
            </w:r>
          </w:p>
        </w:tc>
        <w:tc>
          <w:tcPr>
            <w:tcW w:w="911" w:type="dxa"/>
          </w:tcPr>
          <w:p w14:paraId="2EA34B75" w14:textId="77777777" w:rsidR="00A75DE3" w:rsidRPr="009307AC" w:rsidRDefault="00A75DE3" w:rsidP="00D17F82">
            <w:pPr>
              <w:jc w:val="right"/>
              <w:rPr>
                <w:sz w:val="20"/>
                <w:szCs w:val="20"/>
                <w:highlight w:val="yellow"/>
              </w:rPr>
            </w:pPr>
            <w:r>
              <w:rPr>
                <w:rFonts w:asciiTheme="minorHAnsi" w:hAnsiTheme="minorHAnsi" w:cstheme="minorHAnsi"/>
                <w:iCs/>
                <w:szCs w:val="22"/>
              </w:rPr>
              <w:t>1.891</w:t>
            </w:r>
          </w:p>
        </w:tc>
        <w:tc>
          <w:tcPr>
            <w:tcW w:w="867" w:type="dxa"/>
          </w:tcPr>
          <w:p w14:paraId="4992A264" w14:textId="77777777" w:rsidR="00A75DE3" w:rsidRPr="009307AC" w:rsidRDefault="00A75DE3" w:rsidP="00D17F82">
            <w:pPr>
              <w:jc w:val="right"/>
              <w:rPr>
                <w:sz w:val="20"/>
                <w:szCs w:val="20"/>
                <w:highlight w:val="yellow"/>
              </w:rPr>
            </w:pPr>
            <w:r w:rsidRPr="009307AC">
              <w:rPr>
                <w:rFonts w:asciiTheme="minorHAnsi" w:hAnsiTheme="minorHAnsi" w:cstheme="minorHAnsi"/>
                <w:iCs/>
                <w:szCs w:val="22"/>
              </w:rPr>
              <w:t>0.</w:t>
            </w:r>
            <w:r>
              <w:rPr>
                <w:rFonts w:asciiTheme="minorHAnsi" w:hAnsiTheme="minorHAnsi" w:cstheme="minorHAnsi"/>
                <w:iCs/>
                <w:szCs w:val="22"/>
              </w:rPr>
              <w:t>649</w:t>
            </w:r>
          </w:p>
        </w:tc>
        <w:tc>
          <w:tcPr>
            <w:tcW w:w="1134" w:type="dxa"/>
          </w:tcPr>
          <w:p w14:paraId="196CBCD5" w14:textId="77777777" w:rsidR="00A75DE3" w:rsidRPr="009307AC" w:rsidRDefault="00A75DE3" w:rsidP="00D17F82">
            <w:pPr>
              <w:jc w:val="right"/>
              <w:rPr>
                <w:sz w:val="20"/>
                <w:szCs w:val="20"/>
                <w:highlight w:val="yellow"/>
              </w:rPr>
            </w:pPr>
            <w:r w:rsidRPr="009307AC">
              <w:rPr>
                <w:rFonts w:asciiTheme="minorHAnsi" w:hAnsiTheme="minorHAnsi" w:cstheme="minorHAnsi"/>
                <w:iCs/>
                <w:szCs w:val="22"/>
              </w:rPr>
              <w:t>1.</w:t>
            </w:r>
            <w:r>
              <w:rPr>
                <w:rFonts w:asciiTheme="minorHAnsi" w:hAnsiTheme="minorHAnsi" w:cstheme="minorHAnsi"/>
                <w:iCs/>
                <w:szCs w:val="22"/>
              </w:rPr>
              <w:t>826</w:t>
            </w:r>
          </w:p>
        </w:tc>
        <w:tc>
          <w:tcPr>
            <w:tcW w:w="1182" w:type="dxa"/>
          </w:tcPr>
          <w:p w14:paraId="7B94FD6F" w14:textId="77777777" w:rsidR="00A75DE3" w:rsidRPr="009307AC" w:rsidRDefault="00A75DE3" w:rsidP="00D17F82">
            <w:pPr>
              <w:jc w:val="right"/>
              <w:rPr>
                <w:sz w:val="20"/>
                <w:szCs w:val="20"/>
                <w:highlight w:val="yellow"/>
              </w:rPr>
            </w:pPr>
            <w:r w:rsidRPr="009307AC">
              <w:rPr>
                <w:rFonts w:asciiTheme="minorHAnsi" w:hAnsiTheme="minorHAnsi" w:cstheme="minorHAnsi"/>
                <w:iCs/>
                <w:szCs w:val="22"/>
              </w:rPr>
              <w:t>6.122</w:t>
            </w:r>
          </w:p>
        </w:tc>
        <w:tc>
          <w:tcPr>
            <w:tcW w:w="3681" w:type="dxa"/>
          </w:tcPr>
          <w:p w14:paraId="1DCB8529" w14:textId="77777777" w:rsidR="00A75DE3" w:rsidRPr="009307AC" w:rsidRDefault="00A75DE3" w:rsidP="00D17F82">
            <w:pPr>
              <w:rPr>
                <w:sz w:val="20"/>
                <w:szCs w:val="20"/>
              </w:rPr>
            </w:pPr>
            <w:r w:rsidRPr="009307AC">
              <w:rPr>
                <w:rFonts w:asciiTheme="minorHAnsi" w:hAnsiTheme="minorHAnsi" w:cstheme="minorHAnsi"/>
                <w:iCs/>
                <w:szCs w:val="22"/>
              </w:rPr>
              <w:t xml:space="preserve">The average days worked </w:t>
            </w:r>
            <w:r>
              <w:rPr>
                <w:rFonts w:asciiTheme="minorHAnsi" w:hAnsiTheme="minorHAnsi" w:cstheme="minorHAnsi"/>
                <w:iCs/>
                <w:szCs w:val="22"/>
              </w:rPr>
              <w:t xml:space="preserve">by Commissioners </w:t>
            </w:r>
            <w:r w:rsidRPr="009307AC">
              <w:rPr>
                <w:rFonts w:asciiTheme="minorHAnsi" w:hAnsiTheme="minorHAnsi" w:cstheme="minorHAnsi"/>
                <w:iCs/>
                <w:szCs w:val="22"/>
              </w:rPr>
              <w:t>has been impacted by the Commission running 1 Commissioner down since Sir Anand Satyanand's retirement.</w:t>
            </w:r>
          </w:p>
        </w:tc>
      </w:tr>
      <w:tr w:rsidR="00A75DE3" w:rsidRPr="009307AC" w14:paraId="112584C8" w14:textId="77777777" w:rsidTr="00D17F82">
        <w:trPr>
          <w:trHeight w:val="1184"/>
        </w:trPr>
        <w:tc>
          <w:tcPr>
            <w:tcW w:w="1376" w:type="dxa"/>
          </w:tcPr>
          <w:p w14:paraId="20055BE8" w14:textId="77777777" w:rsidR="00A75DE3" w:rsidRPr="009307AC" w:rsidRDefault="00A75DE3" w:rsidP="00D17F82">
            <w:pPr>
              <w:rPr>
                <w:sz w:val="20"/>
                <w:szCs w:val="20"/>
              </w:rPr>
            </w:pPr>
            <w:r w:rsidRPr="009307AC">
              <w:rPr>
                <w:sz w:val="20"/>
                <w:szCs w:val="20"/>
              </w:rPr>
              <w:t>Counselling costs</w:t>
            </w:r>
          </w:p>
        </w:tc>
        <w:tc>
          <w:tcPr>
            <w:tcW w:w="834" w:type="dxa"/>
          </w:tcPr>
          <w:p w14:paraId="08A39FC9" w14:textId="77777777" w:rsidR="00A75DE3" w:rsidRPr="009307AC" w:rsidRDefault="00A75DE3" w:rsidP="00D17F82">
            <w:pPr>
              <w:jc w:val="right"/>
              <w:rPr>
                <w:sz w:val="20"/>
                <w:szCs w:val="20"/>
                <w:highlight w:val="yellow"/>
              </w:rPr>
            </w:pPr>
            <w:r w:rsidRPr="009307AC">
              <w:rPr>
                <w:rFonts w:asciiTheme="minorHAnsi" w:hAnsiTheme="minorHAnsi" w:cstheme="minorHAnsi"/>
                <w:iCs/>
                <w:szCs w:val="22"/>
              </w:rPr>
              <w:t>0.</w:t>
            </w:r>
            <w:r>
              <w:rPr>
                <w:rFonts w:asciiTheme="minorHAnsi" w:hAnsiTheme="minorHAnsi" w:cstheme="minorHAnsi"/>
                <w:iCs/>
                <w:szCs w:val="22"/>
              </w:rPr>
              <w:t>203</w:t>
            </w:r>
          </w:p>
        </w:tc>
        <w:tc>
          <w:tcPr>
            <w:tcW w:w="911" w:type="dxa"/>
          </w:tcPr>
          <w:p w14:paraId="0835A6F5" w14:textId="77777777" w:rsidR="00A75DE3" w:rsidRPr="009307AC" w:rsidRDefault="00A75DE3" w:rsidP="00D17F82">
            <w:pPr>
              <w:jc w:val="right"/>
              <w:rPr>
                <w:sz w:val="20"/>
                <w:szCs w:val="20"/>
                <w:highlight w:val="yellow"/>
              </w:rPr>
            </w:pPr>
            <w:r>
              <w:rPr>
                <w:rFonts w:asciiTheme="minorHAnsi" w:hAnsiTheme="minorHAnsi" w:cstheme="minorHAnsi"/>
                <w:iCs/>
                <w:szCs w:val="22"/>
              </w:rPr>
              <w:t>3.697</w:t>
            </w:r>
          </w:p>
        </w:tc>
        <w:tc>
          <w:tcPr>
            <w:tcW w:w="867" w:type="dxa"/>
          </w:tcPr>
          <w:p w14:paraId="0D52BCAE" w14:textId="77777777" w:rsidR="00A75DE3" w:rsidRPr="009307AC" w:rsidRDefault="00A75DE3" w:rsidP="00D17F82">
            <w:pPr>
              <w:jc w:val="right"/>
              <w:rPr>
                <w:sz w:val="20"/>
                <w:szCs w:val="20"/>
                <w:highlight w:val="yellow"/>
              </w:rPr>
            </w:pPr>
            <w:r>
              <w:rPr>
                <w:rFonts w:asciiTheme="minorHAnsi" w:hAnsiTheme="minorHAnsi" w:cstheme="minorHAnsi"/>
                <w:iCs/>
                <w:szCs w:val="22"/>
              </w:rPr>
              <w:t>3.495</w:t>
            </w:r>
          </w:p>
        </w:tc>
        <w:tc>
          <w:tcPr>
            <w:tcW w:w="1134" w:type="dxa"/>
          </w:tcPr>
          <w:p w14:paraId="3A1D111D" w14:textId="77777777" w:rsidR="00A75DE3" w:rsidRPr="009307AC" w:rsidRDefault="00A75DE3" w:rsidP="00D17F82">
            <w:pPr>
              <w:jc w:val="right"/>
              <w:rPr>
                <w:sz w:val="20"/>
                <w:szCs w:val="20"/>
                <w:highlight w:val="yellow"/>
              </w:rPr>
            </w:pPr>
            <w:r w:rsidRPr="009307AC">
              <w:rPr>
                <w:rFonts w:asciiTheme="minorHAnsi" w:hAnsiTheme="minorHAnsi" w:cstheme="minorHAnsi"/>
                <w:iCs/>
                <w:szCs w:val="22"/>
              </w:rPr>
              <w:t>0.</w:t>
            </w:r>
            <w:r>
              <w:rPr>
                <w:rFonts w:asciiTheme="minorHAnsi" w:hAnsiTheme="minorHAnsi" w:cstheme="minorHAnsi"/>
                <w:iCs/>
                <w:szCs w:val="22"/>
              </w:rPr>
              <w:t>203</w:t>
            </w:r>
          </w:p>
        </w:tc>
        <w:tc>
          <w:tcPr>
            <w:tcW w:w="1182" w:type="dxa"/>
          </w:tcPr>
          <w:p w14:paraId="08265E54" w14:textId="77777777" w:rsidR="00A75DE3" w:rsidRPr="009307AC" w:rsidRDefault="00A75DE3" w:rsidP="00D17F82">
            <w:pPr>
              <w:jc w:val="right"/>
              <w:rPr>
                <w:sz w:val="20"/>
                <w:szCs w:val="20"/>
                <w:highlight w:val="yellow"/>
              </w:rPr>
            </w:pPr>
            <w:r w:rsidRPr="009307AC">
              <w:rPr>
                <w:rFonts w:asciiTheme="minorHAnsi" w:hAnsiTheme="minorHAnsi" w:cstheme="minorHAnsi"/>
                <w:iCs/>
                <w:szCs w:val="22"/>
              </w:rPr>
              <w:t>15.335</w:t>
            </w:r>
          </w:p>
        </w:tc>
        <w:tc>
          <w:tcPr>
            <w:tcW w:w="3681" w:type="dxa"/>
          </w:tcPr>
          <w:p w14:paraId="42FD795C" w14:textId="12AFB05A" w:rsidR="00A75DE3" w:rsidRPr="009307AC" w:rsidRDefault="001F11CD" w:rsidP="00D17F82">
            <w:pPr>
              <w:rPr>
                <w:sz w:val="20"/>
                <w:szCs w:val="20"/>
              </w:rPr>
            </w:pPr>
            <w:r w:rsidRPr="009307AC">
              <w:rPr>
                <w:rFonts w:asciiTheme="minorHAnsi" w:hAnsiTheme="minorHAnsi" w:cstheme="minorHAnsi"/>
                <w:iCs/>
                <w:szCs w:val="22"/>
              </w:rPr>
              <w:t xml:space="preserve">The underspend </w:t>
            </w:r>
            <w:r>
              <w:rPr>
                <w:rFonts w:asciiTheme="minorHAnsi" w:hAnsiTheme="minorHAnsi" w:cstheme="minorHAnsi"/>
                <w:iCs/>
                <w:szCs w:val="22"/>
              </w:rPr>
              <w:t>is due to the slowdown in the Inquiry work programme due to COVID-19. The new model for counselling and associated costs will be implemented from the beginning of the next financial year.</w:t>
            </w:r>
          </w:p>
        </w:tc>
      </w:tr>
      <w:tr w:rsidR="00A75DE3" w:rsidRPr="009307AC" w14:paraId="19A67EE9" w14:textId="77777777" w:rsidTr="00D17F82">
        <w:trPr>
          <w:trHeight w:val="1985"/>
        </w:trPr>
        <w:tc>
          <w:tcPr>
            <w:tcW w:w="1376" w:type="dxa"/>
          </w:tcPr>
          <w:p w14:paraId="6763B5A2" w14:textId="77777777" w:rsidR="00A75DE3" w:rsidRPr="009307AC" w:rsidRDefault="00A75DE3" w:rsidP="00D17F82">
            <w:pPr>
              <w:rPr>
                <w:sz w:val="20"/>
                <w:szCs w:val="20"/>
              </w:rPr>
            </w:pPr>
            <w:r w:rsidRPr="009307AC">
              <w:rPr>
                <w:sz w:val="20"/>
                <w:szCs w:val="20"/>
              </w:rPr>
              <w:lastRenderedPageBreak/>
              <w:t>Legal Assistance</w:t>
            </w:r>
          </w:p>
        </w:tc>
        <w:tc>
          <w:tcPr>
            <w:tcW w:w="834" w:type="dxa"/>
          </w:tcPr>
          <w:p w14:paraId="773C04E7" w14:textId="77777777" w:rsidR="00A75DE3" w:rsidRPr="009307AC" w:rsidRDefault="00A75DE3" w:rsidP="00D17F82">
            <w:pPr>
              <w:jc w:val="right"/>
              <w:rPr>
                <w:sz w:val="20"/>
                <w:szCs w:val="20"/>
                <w:highlight w:val="yellow"/>
              </w:rPr>
            </w:pPr>
            <w:r w:rsidRPr="009307AC">
              <w:rPr>
                <w:rFonts w:asciiTheme="minorHAnsi" w:hAnsiTheme="minorHAnsi" w:cstheme="minorHAnsi"/>
                <w:iCs/>
                <w:szCs w:val="22"/>
              </w:rPr>
              <w:t>0</w:t>
            </w:r>
            <w:r>
              <w:rPr>
                <w:rFonts w:asciiTheme="minorHAnsi" w:hAnsiTheme="minorHAnsi" w:cstheme="minorHAnsi"/>
                <w:iCs/>
                <w:szCs w:val="22"/>
              </w:rPr>
              <w:t>.121</w:t>
            </w:r>
          </w:p>
        </w:tc>
        <w:tc>
          <w:tcPr>
            <w:tcW w:w="911" w:type="dxa"/>
          </w:tcPr>
          <w:p w14:paraId="54951830" w14:textId="77777777" w:rsidR="00A75DE3" w:rsidRPr="009307AC" w:rsidRDefault="00A75DE3" w:rsidP="00D17F82">
            <w:pPr>
              <w:jc w:val="right"/>
              <w:rPr>
                <w:sz w:val="20"/>
                <w:szCs w:val="20"/>
                <w:highlight w:val="yellow"/>
              </w:rPr>
            </w:pPr>
            <w:r>
              <w:rPr>
                <w:rFonts w:asciiTheme="minorHAnsi" w:hAnsiTheme="minorHAnsi" w:cstheme="minorHAnsi"/>
                <w:iCs/>
                <w:szCs w:val="22"/>
              </w:rPr>
              <w:t>4.395</w:t>
            </w:r>
          </w:p>
        </w:tc>
        <w:tc>
          <w:tcPr>
            <w:tcW w:w="867" w:type="dxa"/>
          </w:tcPr>
          <w:p w14:paraId="76CDD675" w14:textId="77777777" w:rsidR="00A75DE3" w:rsidRPr="009307AC" w:rsidRDefault="00A75DE3" w:rsidP="00D17F82">
            <w:pPr>
              <w:jc w:val="right"/>
              <w:rPr>
                <w:sz w:val="20"/>
                <w:szCs w:val="20"/>
                <w:highlight w:val="yellow"/>
              </w:rPr>
            </w:pPr>
            <w:r>
              <w:rPr>
                <w:rFonts w:asciiTheme="minorHAnsi" w:hAnsiTheme="minorHAnsi" w:cstheme="minorHAnsi"/>
                <w:iCs/>
                <w:szCs w:val="22"/>
              </w:rPr>
              <w:t>4.274</w:t>
            </w:r>
          </w:p>
        </w:tc>
        <w:tc>
          <w:tcPr>
            <w:tcW w:w="1134" w:type="dxa"/>
          </w:tcPr>
          <w:p w14:paraId="51A92B5B" w14:textId="77777777" w:rsidR="00A75DE3" w:rsidRPr="009307AC" w:rsidRDefault="00A75DE3" w:rsidP="00D17F82">
            <w:pPr>
              <w:jc w:val="right"/>
              <w:rPr>
                <w:sz w:val="20"/>
                <w:szCs w:val="20"/>
                <w:highlight w:val="yellow"/>
              </w:rPr>
            </w:pPr>
            <w:r w:rsidRPr="009307AC">
              <w:rPr>
                <w:rFonts w:asciiTheme="minorHAnsi" w:hAnsiTheme="minorHAnsi" w:cstheme="minorHAnsi"/>
                <w:iCs/>
                <w:szCs w:val="22"/>
              </w:rPr>
              <w:t>0</w:t>
            </w:r>
            <w:r>
              <w:rPr>
                <w:rFonts w:asciiTheme="minorHAnsi" w:hAnsiTheme="minorHAnsi" w:cstheme="minorHAnsi"/>
                <w:iCs/>
                <w:szCs w:val="22"/>
              </w:rPr>
              <w:t>.121</w:t>
            </w:r>
          </w:p>
        </w:tc>
        <w:tc>
          <w:tcPr>
            <w:tcW w:w="1182" w:type="dxa"/>
          </w:tcPr>
          <w:p w14:paraId="61F12EC7" w14:textId="77777777" w:rsidR="00A75DE3" w:rsidRPr="009307AC" w:rsidRDefault="00A75DE3" w:rsidP="00D17F82">
            <w:pPr>
              <w:jc w:val="right"/>
              <w:rPr>
                <w:sz w:val="20"/>
                <w:szCs w:val="20"/>
                <w:highlight w:val="yellow"/>
              </w:rPr>
            </w:pPr>
            <w:r w:rsidRPr="009307AC">
              <w:rPr>
                <w:rFonts w:asciiTheme="minorHAnsi" w:hAnsiTheme="minorHAnsi" w:cstheme="minorHAnsi"/>
                <w:iCs/>
                <w:szCs w:val="22"/>
              </w:rPr>
              <w:t>8.79</w:t>
            </w:r>
            <w:r>
              <w:rPr>
                <w:rFonts w:asciiTheme="minorHAnsi" w:hAnsiTheme="minorHAnsi" w:cstheme="minorHAnsi"/>
                <w:iCs/>
                <w:szCs w:val="22"/>
              </w:rPr>
              <w:t>0</w:t>
            </w:r>
          </w:p>
        </w:tc>
        <w:tc>
          <w:tcPr>
            <w:tcW w:w="3681" w:type="dxa"/>
          </w:tcPr>
          <w:p w14:paraId="7C9C77A2" w14:textId="4CCE01CF" w:rsidR="00A75DE3" w:rsidRPr="009307AC" w:rsidRDefault="00A75DE3" w:rsidP="00D17F82">
            <w:pPr>
              <w:rPr>
                <w:sz w:val="20"/>
                <w:szCs w:val="20"/>
              </w:rPr>
            </w:pPr>
            <w:r>
              <w:rPr>
                <w:rFonts w:asciiTheme="minorHAnsi" w:hAnsiTheme="minorHAnsi" w:cstheme="minorHAnsi"/>
                <w:iCs/>
                <w:szCs w:val="22"/>
              </w:rPr>
              <w:t>Reflects a slowing in the anticipated schedule of Public Hearings impacted by COVID</w:t>
            </w:r>
            <w:r w:rsidR="00414D22" w:rsidRPr="001F11CD">
              <w:rPr>
                <w:rFonts w:asciiTheme="minorHAnsi" w:hAnsiTheme="minorHAnsi" w:cstheme="minorHAnsi"/>
                <w:iCs/>
                <w:szCs w:val="22"/>
              </w:rPr>
              <w:t>-19</w:t>
            </w:r>
            <w:r>
              <w:rPr>
                <w:rFonts w:asciiTheme="minorHAnsi" w:hAnsiTheme="minorHAnsi" w:cstheme="minorHAnsi"/>
                <w:iCs/>
                <w:szCs w:val="22"/>
              </w:rPr>
              <w:t>. An uplift in Public Hearings is planned for 2020/21.</w:t>
            </w:r>
          </w:p>
        </w:tc>
      </w:tr>
      <w:tr w:rsidR="00A75DE3" w:rsidRPr="009307AC" w14:paraId="422E58A5" w14:textId="77777777" w:rsidTr="00D17F82">
        <w:trPr>
          <w:trHeight w:val="2452"/>
        </w:trPr>
        <w:tc>
          <w:tcPr>
            <w:tcW w:w="1376" w:type="dxa"/>
          </w:tcPr>
          <w:p w14:paraId="235F6A44" w14:textId="77777777" w:rsidR="00A75DE3" w:rsidRPr="009307AC" w:rsidRDefault="00A75DE3" w:rsidP="00D17F82">
            <w:pPr>
              <w:rPr>
                <w:sz w:val="20"/>
                <w:szCs w:val="20"/>
              </w:rPr>
            </w:pPr>
            <w:r w:rsidRPr="009307AC">
              <w:rPr>
                <w:sz w:val="20"/>
                <w:szCs w:val="20"/>
              </w:rPr>
              <w:t xml:space="preserve">Capital </w:t>
            </w:r>
          </w:p>
        </w:tc>
        <w:tc>
          <w:tcPr>
            <w:tcW w:w="834" w:type="dxa"/>
          </w:tcPr>
          <w:p w14:paraId="1E7C8055" w14:textId="77777777" w:rsidR="00A75DE3" w:rsidRPr="009307AC" w:rsidRDefault="00A75DE3" w:rsidP="00D17F82">
            <w:pPr>
              <w:jc w:val="right"/>
              <w:rPr>
                <w:sz w:val="20"/>
                <w:szCs w:val="20"/>
                <w:highlight w:val="yellow"/>
              </w:rPr>
            </w:pPr>
            <w:r>
              <w:rPr>
                <w:rFonts w:asciiTheme="minorHAnsi" w:hAnsiTheme="minorHAnsi" w:cstheme="minorHAnsi"/>
                <w:iCs/>
                <w:szCs w:val="22"/>
              </w:rPr>
              <w:t>3.049</w:t>
            </w:r>
          </w:p>
        </w:tc>
        <w:tc>
          <w:tcPr>
            <w:tcW w:w="911" w:type="dxa"/>
          </w:tcPr>
          <w:p w14:paraId="2953F740" w14:textId="77777777" w:rsidR="00A75DE3" w:rsidRPr="009307AC" w:rsidRDefault="00A75DE3" w:rsidP="00D17F82">
            <w:pPr>
              <w:jc w:val="right"/>
              <w:rPr>
                <w:sz w:val="20"/>
                <w:szCs w:val="20"/>
                <w:highlight w:val="yellow"/>
              </w:rPr>
            </w:pPr>
            <w:r w:rsidRPr="0060238D">
              <w:rPr>
                <w:rFonts w:asciiTheme="minorHAnsi" w:hAnsiTheme="minorHAnsi" w:cstheme="minorHAnsi"/>
                <w:iCs/>
                <w:szCs w:val="22"/>
              </w:rPr>
              <w:t>4.203</w:t>
            </w:r>
          </w:p>
        </w:tc>
        <w:tc>
          <w:tcPr>
            <w:tcW w:w="867" w:type="dxa"/>
          </w:tcPr>
          <w:p w14:paraId="154118D6" w14:textId="77777777" w:rsidR="00A75DE3" w:rsidRPr="009307AC" w:rsidRDefault="00A75DE3" w:rsidP="00D17F82">
            <w:pPr>
              <w:jc w:val="right"/>
              <w:rPr>
                <w:sz w:val="20"/>
                <w:szCs w:val="20"/>
                <w:highlight w:val="yellow"/>
              </w:rPr>
            </w:pPr>
            <w:r>
              <w:rPr>
                <w:rFonts w:asciiTheme="minorHAnsi" w:hAnsiTheme="minorHAnsi" w:cstheme="minorHAnsi"/>
                <w:iCs/>
                <w:szCs w:val="22"/>
              </w:rPr>
              <w:t>1.154</w:t>
            </w:r>
          </w:p>
        </w:tc>
        <w:tc>
          <w:tcPr>
            <w:tcW w:w="1134" w:type="dxa"/>
          </w:tcPr>
          <w:p w14:paraId="7D628143" w14:textId="77777777" w:rsidR="00A75DE3" w:rsidRPr="009307AC" w:rsidRDefault="00A75DE3" w:rsidP="00D17F82">
            <w:pPr>
              <w:jc w:val="right"/>
              <w:rPr>
                <w:sz w:val="20"/>
                <w:szCs w:val="20"/>
                <w:highlight w:val="yellow"/>
              </w:rPr>
            </w:pPr>
            <w:r>
              <w:rPr>
                <w:rFonts w:asciiTheme="minorHAnsi" w:hAnsiTheme="minorHAnsi" w:cstheme="minorHAnsi"/>
                <w:iCs/>
                <w:szCs w:val="22"/>
              </w:rPr>
              <w:t>3.339</w:t>
            </w:r>
          </w:p>
        </w:tc>
        <w:tc>
          <w:tcPr>
            <w:tcW w:w="1182" w:type="dxa"/>
          </w:tcPr>
          <w:p w14:paraId="4705D808" w14:textId="77777777" w:rsidR="00A75DE3" w:rsidRPr="009307AC" w:rsidRDefault="00A75DE3" w:rsidP="00D17F82">
            <w:pPr>
              <w:jc w:val="right"/>
              <w:rPr>
                <w:sz w:val="20"/>
                <w:szCs w:val="20"/>
                <w:highlight w:val="yellow"/>
              </w:rPr>
            </w:pPr>
            <w:r w:rsidRPr="009307AC">
              <w:rPr>
                <w:rFonts w:asciiTheme="minorHAnsi" w:hAnsiTheme="minorHAnsi" w:cstheme="minorHAnsi"/>
                <w:iCs/>
                <w:szCs w:val="22"/>
              </w:rPr>
              <w:t>4.493</w:t>
            </w:r>
          </w:p>
        </w:tc>
        <w:tc>
          <w:tcPr>
            <w:tcW w:w="3681" w:type="dxa"/>
          </w:tcPr>
          <w:p w14:paraId="463D8BF0" w14:textId="77777777" w:rsidR="00A75DE3" w:rsidRPr="009307AC" w:rsidRDefault="00A75DE3" w:rsidP="00D17F82">
            <w:pPr>
              <w:rPr>
                <w:sz w:val="20"/>
                <w:szCs w:val="20"/>
              </w:rPr>
            </w:pPr>
            <w:r>
              <w:rPr>
                <w:rFonts w:asciiTheme="minorHAnsi" w:hAnsiTheme="minorHAnsi" w:cstheme="minorHAnsi"/>
                <w:iCs/>
                <w:szCs w:val="22"/>
              </w:rPr>
              <w:t>The</w:t>
            </w:r>
            <w:r w:rsidRPr="009307AC">
              <w:rPr>
                <w:rFonts w:asciiTheme="minorHAnsi" w:hAnsiTheme="minorHAnsi" w:cstheme="minorHAnsi"/>
                <w:iCs/>
                <w:szCs w:val="22"/>
              </w:rPr>
              <w:t xml:space="preserve"> underspend of $</w:t>
            </w:r>
            <w:r>
              <w:rPr>
                <w:rFonts w:asciiTheme="minorHAnsi" w:hAnsiTheme="minorHAnsi" w:cstheme="minorHAnsi"/>
                <w:iCs/>
                <w:szCs w:val="22"/>
              </w:rPr>
              <w:t>1.154</w:t>
            </w:r>
            <w:r w:rsidRPr="009307AC">
              <w:rPr>
                <w:rFonts w:asciiTheme="minorHAnsi" w:hAnsiTheme="minorHAnsi" w:cstheme="minorHAnsi"/>
                <w:iCs/>
                <w:szCs w:val="22"/>
              </w:rPr>
              <w:t xml:space="preserve">m </w:t>
            </w:r>
            <w:r>
              <w:rPr>
                <w:rFonts w:asciiTheme="minorHAnsi" w:hAnsiTheme="minorHAnsi" w:cstheme="minorHAnsi"/>
                <w:iCs/>
                <w:szCs w:val="22"/>
              </w:rPr>
              <w:t xml:space="preserve">reflects delays in </w:t>
            </w:r>
            <w:r w:rsidRPr="009307AC">
              <w:rPr>
                <w:rFonts w:asciiTheme="minorHAnsi" w:hAnsiTheme="minorHAnsi" w:cstheme="minorHAnsi"/>
                <w:iCs/>
                <w:szCs w:val="22"/>
              </w:rPr>
              <w:t xml:space="preserve">construction progress on the Auckland public hearing space. Construction was shut down Wednesday 25 March in response to the Government Alert Level 4 announcement. </w:t>
            </w:r>
            <w:r>
              <w:rPr>
                <w:rFonts w:asciiTheme="minorHAnsi" w:hAnsiTheme="minorHAnsi" w:cstheme="minorHAnsi"/>
                <w:iCs/>
                <w:szCs w:val="22"/>
              </w:rPr>
              <w:t>The Auckland public hearing space is now scheduled to complete in Quarter 1 of the new financial year.</w:t>
            </w:r>
          </w:p>
        </w:tc>
      </w:tr>
      <w:tr w:rsidR="00A75DE3" w:rsidRPr="009307AC" w14:paraId="1F7575A8" w14:textId="77777777" w:rsidTr="00D17F82">
        <w:trPr>
          <w:trHeight w:val="1685"/>
        </w:trPr>
        <w:tc>
          <w:tcPr>
            <w:tcW w:w="1376" w:type="dxa"/>
          </w:tcPr>
          <w:p w14:paraId="070B7F59" w14:textId="77777777" w:rsidR="00A75DE3" w:rsidRPr="009307AC" w:rsidRDefault="00A75DE3" w:rsidP="00D17F82">
            <w:pPr>
              <w:rPr>
                <w:sz w:val="20"/>
                <w:szCs w:val="20"/>
              </w:rPr>
            </w:pPr>
            <w:r>
              <w:rPr>
                <w:sz w:val="20"/>
                <w:szCs w:val="20"/>
              </w:rPr>
              <w:t>Total</w:t>
            </w:r>
          </w:p>
        </w:tc>
        <w:tc>
          <w:tcPr>
            <w:tcW w:w="834" w:type="dxa"/>
          </w:tcPr>
          <w:p w14:paraId="5F211ECB" w14:textId="77777777" w:rsidR="00A75DE3" w:rsidRDefault="00A75DE3" w:rsidP="00D17F82">
            <w:pPr>
              <w:jc w:val="right"/>
              <w:rPr>
                <w:rFonts w:asciiTheme="minorHAnsi" w:hAnsiTheme="minorHAnsi" w:cstheme="minorHAnsi"/>
                <w:iCs/>
                <w:szCs w:val="22"/>
              </w:rPr>
            </w:pPr>
            <w:r>
              <w:rPr>
                <w:rFonts w:asciiTheme="minorHAnsi" w:hAnsiTheme="minorHAnsi" w:cstheme="minorHAnsi"/>
                <w:iCs/>
                <w:szCs w:val="22"/>
              </w:rPr>
              <w:t>27.629</w:t>
            </w:r>
          </w:p>
        </w:tc>
        <w:tc>
          <w:tcPr>
            <w:tcW w:w="911" w:type="dxa"/>
          </w:tcPr>
          <w:p w14:paraId="14A74B0F" w14:textId="77777777" w:rsidR="00A75DE3" w:rsidRDefault="00A75DE3" w:rsidP="00D17F82">
            <w:pPr>
              <w:jc w:val="right"/>
              <w:rPr>
                <w:rFonts w:asciiTheme="minorHAnsi" w:hAnsiTheme="minorHAnsi" w:cstheme="minorHAnsi"/>
                <w:iCs/>
                <w:szCs w:val="22"/>
              </w:rPr>
            </w:pPr>
            <w:r>
              <w:rPr>
                <w:rFonts w:asciiTheme="minorHAnsi" w:hAnsiTheme="minorHAnsi" w:cstheme="minorHAnsi"/>
                <w:iCs/>
                <w:szCs w:val="22"/>
              </w:rPr>
              <w:t>42.885</w:t>
            </w:r>
          </w:p>
        </w:tc>
        <w:tc>
          <w:tcPr>
            <w:tcW w:w="867" w:type="dxa"/>
          </w:tcPr>
          <w:p w14:paraId="70F734D8" w14:textId="77777777" w:rsidR="00A75DE3" w:rsidRDefault="00A75DE3" w:rsidP="00D17F82">
            <w:pPr>
              <w:jc w:val="right"/>
              <w:rPr>
                <w:rFonts w:asciiTheme="minorHAnsi" w:hAnsiTheme="minorHAnsi" w:cstheme="minorHAnsi"/>
                <w:iCs/>
                <w:szCs w:val="22"/>
              </w:rPr>
            </w:pPr>
            <w:r>
              <w:rPr>
                <w:rFonts w:asciiTheme="minorHAnsi" w:hAnsiTheme="minorHAnsi" w:cstheme="minorHAnsi"/>
                <w:iCs/>
                <w:szCs w:val="22"/>
              </w:rPr>
              <w:t>15.256</w:t>
            </w:r>
          </w:p>
        </w:tc>
        <w:tc>
          <w:tcPr>
            <w:tcW w:w="1134" w:type="dxa"/>
          </w:tcPr>
          <w:p w14:paraId="56B33DBA" w14:textId="77777777" w:rsidR="00A75DE3" w:rsidRDefault="00A75DE3" w:rsidP="00D17F82">
            <w:pPr>
              <w:jc w:val="right"/>
              <w:rPr>
                <w:rFonts w:asciiTheme="minorHAnsi" w:hAnsiTheme="minorHAnsi" w:cstheme="minorHAnsi"/>
                <w:iCs/>
                <w:szCs w:val="22"/>
              </w:rPr>
            </w:pPr>
            <w:r>
              <w:rPr>
                <w:rFonts w:asciiTheme="minorHAnsi" w:hAnsiTheme="minorHAnsi" w:cstheme="minorHAnsi"/>
                <w:iCs/>
                <w:szCs w:val="22"/>
              </w:rPr>
              <w:t>36.274</w:t>
            </w:r>
          </w:p>
        </w:tc>
        <w:tc>
          <w:tcPr>
            <w:tcW w:w="1182" w:type="dxa"/>
          </w:tcPr>
          <w:p w14:paraId="3553DAC5" w14:textId="77777777" w:rsidR="00A75DE3" w:rsidRPr="009307AC" w:rsidRDefault="00A75DE3" w:rsidP="00D17F82">
            <w:pPr>
              <w:jc w:val="right"/>
              <w:rPr>
                <w:rFonts w:asciiTheme="minorHAnsi" w:hAnsiTheme="minorHAnsi" w:cstheme="minorHAnsi"/>
                <w:iCs/>
                <w:szCs w:val="22"/>
              </w:rPr>
            </w:pPr>
            <w:r>
              <w:rPr>
                <w:rFonts w:asciiTheme="minorHAnsi" w:hAnsiTheme="minorHAnsi" w:cstheme="minorHAnsi"/>
                <w:iCs/>
                <w:szCs w:val="22"/>
              </w:rPr>
              <w:t>78.848</w:t>
            </w:r>
          </w:p>
        </w:tc>
        <w:tc>
          <w:tcPr>
            <w:tcW w:w="3681" w:type="dxa"/>
          </w:tcPr>
          <w:p w14:paraId="6CFC7501" w14:textId="77777777" w:rsidR="00A75DE3" w:rsidRDefault="00A75DE3" w:rsidP="00D17F82">
            <w:pPr>
              <w:rPr>
                <w:rFonts w:asciiTheme="minorHAnsi" w:hAnsiTheme="minorHAnsi" w:cstheme="minorHAnsi"/>
                <w:iCs/>
                <w:szCs w:val="22"/>
              </w:rPr>
            </w:pPr>
            <w:r>
              <w:rPr>
                <w:rFonts w:asciiTheme="minorHAnsi" w:hAnsiTheme="minorHAnsi" w:cstheme="minorHAnsi"/>
                <w:iCs/>
                <w:szCs w:val="22"/>
              </w:rPr>
              <w:t>Total underspend to budget of $15.256m in financial year 2019/20</w:t>
            </w:r>
          </w:p>
          <w:p w14:paraId="2C21A578" w14:textId="77777777" w:rsidR="00A75DE3" w:rsidRDefault="00A75DE3" w:rsidP="00D17F82">
            <w:pPr>
              <w:rPr>
                <w:rFonts w:asciiTheme="minorHAnsi" w:hAnsiTheme="minorHAnsi" w:cstheme="minorHAnsi"/>
                <w:iCs/>
                <w:szCs w:val="22"/>
              </w:rPr>
            </w:pPr>
          </w:p>
          <w:p w14:paraId="21D5BB0C" w14:textId="77777777" w:rsidR="00A75DE3" w:rsidRDefault="00A75DE3" w:rsidP="00D17F82">
            <w:pPr>
              <w:rPr>
                <w:rFonts w:asciiTheme="minorHAnsi" w:hAnsiTheme="minorHAnsi" w:cstheme="minorHAnsi"/>
                <w:iCs/>
                <w:szCs w:val="22"/>
              </w:rPr>
            </w:pPr>
            <w:r>
              <w:rPr>
                <w:rFonts w:asciiTheme="minorHAnsi" w:hAnsiTheme="minorHAnsi" w:cstheme="minorHAnsi"/>
                <w:iCs/>
                <w:szCs w:val="22"/>
              </w:rPr>
              <w:t>Total Whole of life spend of $36.274m at financial year end 2019/20</w:t>
            </w:r>
          </w:p>
        </w:tc>
      </w:tr>
    </w:tbl>
    <w:p w14:paraId="782F6DA4" w14:textId="77777777" w:rsidR="00A75DE3" w:rsidRPr="009307AC" w:rsidRDefault="00A75DE3" w:rsidP="00A75DE3">
      <w:pPr>
        <w:spacing w:before="0" w:after="120"/>
        <w:rPr>
          <w:sz w:val="20"/>
          <w:szCs w:val="20"/>
        </w:rPr>
      </w:pPr>
      <w:r w:rsidRPr="009307AC">
        <w:rPr>
          <w:sz w:val="20"/>
          <w:szCs w:val="20"/>
        </w:rPr>
        <w:t>*</w:t>
      </w:r>
      <w:r>
        <w:rPr>
          <w:sz w:val="20"/>
          <w:szCs w:val="20"/>
        </w:rPr>
        <w:t>FY = Full Year</w:t>
      </w:r>
      <w:r w:rsidRPr="009307AC">
        <w:rPr>
          <w:sz w:val="20"/>
          <w:szCs w:val="20"/>
        </w:rPr>
        <w:t xml:space="preserve"> (1 July 2019 to 3</w:t>
      </w:r>
      <w:r>
        <w:rPr>
          <w:sz w:val="20"/>
          <w:szCs w:val="20"/>
        </w:rPr>
        <w:t>0</w:t>
      </w:r>
      <w:r w:rsidRPr="009307AC">
        <w:rPr>
          <w:sz w:val="20"/>
          <w:szCs w:val="20"/>
        </w:rPr>
        <w:t xml:space="preserve"> </w:t>
      </w:r>
      <w:r>
        <w:rPr>
          <w:sz w:val="20"/>
          <w:szCs w:val="20"/>
        </w:rPr>
        <w:t>June</w:t>
      </w:r>
      <w:r w:rsidRPr="009307AC">
        <w:rPr>
          <w:sz w:val="20"/>
          <w:szCs w:val="20"/>
        </w:rPr>
        <w:t xml:space="preserve"> 2020)</w:t>
      </w:r>
    </w:p>
    <w:p w14:paraId="4E8E34F2" w14:textId="77777777" w:rsidR="00A75DE3" w:rsidRPr="009307AC" w:rsidRDefault="00A75DE3" w:rsidP="00A75DE3">
      <w:pPr>
        <w:spacing w:before="0" w:after="120"/>
        <w:rPr>
          <w:sz w:val="20"/>
          <w:szCs w:val="20"/>
        </w:rPr>
      </w:pPr>
      <w:r w:rsidRPr="009307AC">
        <w:rPr>
          <w:sz w:val="20"/>
          <w:szCs w:val="20"/>
        </w:rPr>
        <w:t># Whole of life costs from inception of the Royal Commission Inquiry</w:t>
      </w:r>
    </w:p>
    <w:p w14:paraId="4092183B" w14:textId="77777777" w:rsidR="00A75DE3" w:rsidRPr="009307AC" w:rsidRDefault="00A75DE3" w:rsidP="00A75DE3">
      <w:pPr>
        <w:rPr>
          <w:sz w:val="2"/>
          <w:szCs w:val="2"/>
        </w:rPr>
      </w:pPr>
    </w:p>
    <w:bookmarkEnd w:id="1"/>
    <w:sectPr w:rsidR="00A75DE3" w:rsidRPr="009307AC" w:rsidSect="00CF4BE3">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9A599" w14:textId="77777777" w:rsidR="00E24D54" w:rsidRDefault="00E24D54">
      <w:r>
        <w:separator/>
      </w:r>
    </w:p>
    <w:p w14:paraId="72E29A99" w14:textId="77777777" w:rsidR="00E24D54" w:rsidRDefault="00E24D54"/>
    <w:p w14:paraId="7A51CC60" w14:textId="77777777" w:rsidR="00E24D54" w:rsidRDefault="00E24D54"/>
  </w:endnote>
  <w:endnote w:type="continuationSeparator" w:id="0">
    <w:p w14:paraId="250E8516" w14:textId="77777777" w:rsidR="00E24D54" w:rsidRDefault="00E24D54">
      <w:r>
        <w:continuationSeparator/>
      </w:r>
    </w:p>
    <w:p w14:paraId="39145DE1" w14:textId="77777777" w:rsidR="00E24D54" w:rsidRDefault="00E24D54"/>
    <w:p w14:paraId="5D62661D" w14:textId="77777777" w:rsidR="00E24D54" w:rsidRDefault="00E24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638C" w14:textId="77777777" w:rsidR="005B46E9" w:rsidRDefault="005B4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69208" w14:textId="77777777"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8F6AA9">
      <w:rPr>
        <w:noProof/>
      </w:rPr>
      <w:t>1</w:t>
    </w:r>
    <w:r>
      <w:fldChar w:fldCharType="end"/>
    </w:r>
    <w:r>
      <w:t xml:space="preserve"> of </w:t>
    </w:r>
    <w:r w:rsidR="00DF316C">
      <w:rPr>
        <w:noProof/>
      </w:rPr>
      <w:fldChar w:fldCharType="begin"/>
    </w:r>
    <w:r w:rsidR="00DF316C">
      <w:rPr>
        <w:noProof/>
      </w:rPr>
      <w:instrText xml:space="preserve"> NUMPAGES   \* MERGEFORMAT </w:instrText>
    </w:r>
    <w:r w:rsidR="00DF316C">
      <w:rPr>
        <w:noProof/>
      </w:rPr>
      <w:fldChar w:fldCharType="separate"/>
    </w:r>
    <w:r w:rsidR="008F6AA9">
      <w:rPr>
        <w:noProof/>
      </w:rPr>
      <w:t>4</w:t>
    </w:r>
    <w:r w:rsidR="00DF316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4DF17" w14:textId="77777777" w:rsidR="005B46E9" w:rsidRDefault="005B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BE5AB" w14:textId="77777777" w:rsidR="00E24D54" w:rsidRDefault="00E24D54" w:rsidP="00FB1990">
      <w:pPr>
        <w:pStyle w:val="Spacer"/>
      </w:pPr>
      <w:r>
        <w:separator/>
      </w:r>
    </w:p>
    <w:p w14:paraId="3486B095" w14:textId="77777777" w:rsidR="00E24D54" w:rsidRDefault="00E24D54" w:rsidP="00FB1990">
      <w:pPr>
        <w:pStyle w:val="Spacer"/>
      </w:pPr>
    </w:p>
  </w:footnote>
  <w:footnote w:type="continuationSeparator" w:id="0">
    <w:p w14:paraId="29F36BD3" w14:textId="77777777" w:rsidR="00E24D54" w:rsidRDefault="00E24D54">
      <w:r>
        <w:continuationSeparator/>
      </w:r>
    </w:p>
    <w:p w14:paraId="7A7C419C" w14:textId="77777777" w:rsidR="00E24D54" w:rsidRDefault="00E24D54"/>
    <w:p w14:paraId="0BEDF436" w14:textId="77777777" w:rsidR="00E24D54" w:rsidRDefault="00E24D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C9B6" w14:textId="77777777" w:rsidR="005B46E9" w:rsidRDefault="005B4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E72AC" w14:textId="54818F02" w:rsidR="006130AF" w:rsidRDefault="00754080" w:rsidP="00754080">
    <w:pPr>
      <w:pStyle w:val="Header"/>
      <w:ind w:left="2268" w:firstLine="567"/>
    </w:pPr>
    <w:r>
      <w:rPr>
        <w:noProof/>
        <w:lang w:eastAsia="en-NZ"/>
      </w:rPr>
      <w:drawing>
        <wp:inline distT="0" distB="0" distL="0" distR="0" wp14:anchorId="3183A1EF" wp14:editId="21E822CC">
          <wp:extent cx="3552825" cy="762000"/>
          <wp:effectExtent l="0" t="0" r="9525" b="0"/>
          <wp:docPr id="1" name="Picture 1" descr="cid:image003.jpg@01D530DE.11DFF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530DE.11DFF2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52825" cy="762000"/>
                  </a:xfrm>
                  <a:prstGeom prst="rect">
                    <a:avLst/>
                  </a:prstGeom>
                  <a:noFill/>
                  <a:ln>
                    <a:noFill/>
                  </a:ln>
                </pic:spPr>
              </pic:pic>
            </a:graphicData>
          </a:graphic>
        </wp:inline>
      </w:drawing>
    </w:r>
  </w:p>
  <w:p w14:paraId="02B1F25A"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AD45" w14:textId="77777777" w:rsidR="005B46E9" w:rsidRDefault="005B4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9"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0" w15:restartNumberingAfterBreak="0">
    <w:nsid w:val="222108BB"/>
    <w:multiLevelType w:val="hybridMultilevel"/>
    <w:tmpl w:val="497ECF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256B2B3F"/>
    <w:multiLevelType w:val="hybridMultilevel"/>
    <w:tmpl w:val="71AAF09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2D3E721F"/>
    <w:multiLevelType w:val="hybridMultilevel"/>
    <w:tmpl w:val="CA024D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A70243"/>
    <w:multiLevelType w:val="hybridMultilevel"/>
    <w:tmpl w:val="E8245F4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2F435B08"/>
    <w:multiLevelType w:val="hybridMultilevel"/>
    <w:tmpl w:val="113A29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3">
      <w:start w:val="1"/>
      <w:numFmt w:val="bullet"/>
      <w:lvlText w:val="o"/>
      <w:lvlJc w:val="left"/>
      <w:pPr>
        <w:ind w:left="2160" w:hanging="360"/>
      </w:pPr>
      <w:rPr>
        <w:rFonts w:ascii="Courier New" w:hAnsi="Courier New" w:cs="Courier New"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C83BCC"/>
    <w:multiLevelType w:val="multilevel"/>
    <w:tmpl w:val="C25E4C4E"/>
    <w:lvl w:ilvl="0">
      <w:start w:val="1"/>
      <w:numFmt w:val="bullet"/>
      <w:lvlText w:val=""/>
      <w:lvlJc w:val="left"/>
      <w:pPr>
        <w:ind w:left="720" w:hanging="360"/>
      </w:pPr>
      <w:rPr>
        <w:rFonts w:ascii="Symbol" w:hAnsi="Symbol" w:hint="default"/>
      </w:rPr>
    </w:lvl>
    <w:lvl w:ilvl="1">
      <w:start w:val="1"/>
      <w:numFmt w:val="decimal"/>
      <w:lvlRestart w:val="0"/>
      <w:lvlText w:val="%1.%2."/>
      <w:lvlJc w:val="left"/>
      <w:pPr>
        <w:ind w:left="1152" w:hanging="432"/>
      </w:pPr>
    </w:lvl>
    <w:lvl w:ilvl="2">
      <w:start w:val="1"/>
      <w:numFmt w:val="decimal"/>
      <w:lvlText w:val="%1.%2.%3."/>
      <w:lvlJc w:val="left"/>
      <w:pPr>
        <w:ind w:left="1584" w:hanging="504"/>
      </w:pPr>
      <w:rPr>
        <w:b/>
        <w:i w:val="0"/>
        <w:color w:val="000000" w:themeColor="text1"/>
        <w:sz w:val="22"/>
      </w:rPr>
    </w:lvl>
    <w:lvl w:ilvl="3">
      <w:start w:val="1"/>
      <w:numFmt w:val="lowerLetter"/>
      <w:lvlText w:val="%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309B5F99"/>
    <w:multiLevelType w:val="hybridMultilevel"/>
    <w:tmpl w:val="541E97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36A2134B"/>
    <w:multiLevelType w:val="multilevel"/>
    <w:tmpl w:val="C25E4C4E"/>
    <w:lvl w:ilvl="0">
      <w:start w:val="1"/>
      <w:numFmt w:val="bullet"/>
      <w:lvlText w:val=""/>
      <w:lvlJc w:val="left"/>
      <w:pPr>
        <w:ind w:left="720" w:hanging="360"/>
      </w:pPr>
      <w:rPr>
        <w:rFonts w:ascii="Symbol" w:hAnsi="Symbol" w:hint="default"/>
      </w:rPr>
    </w:lvl>
    <w:lvl w:ilvl="1">
      <w:start w:val="1"/>
      <w:numFmt w:val="decimal"/>
      <w:lvlRestart w:val="0"/>
      <w:lvlText w:val="%1.%2."/>
      <w:lvlJc w:val="left"/>
      <w:pPr>
        <w:ind w:left="1152" w:hanging="432"/>
      </w:pPr>
    </w:lvl>
    <w:lvl w:ilvl="2">
      <w:start w:val="1"/>
      <w:numFmt w:val="decimal"/>
      <w:lvlText w:val="%1.%2.%3."/>
      <w:lvlJc w:val="left"/>
      <w:pPr>
        <w:ind w:left="1584" w:hanging="504"/>
      </w:pPr>
      <w:rPr>
        <w:b/>
        <w:i w:val="0"/>
        <w:color w:val="000000" w:themeColor="text1"/>
        <w:sz w:val="22"/>
      </w:rPr>
    </w:lvl>
    <w:lvl w:ilvl="3">
      <w:start w:val="1"/>
      <w:numFmt w:val="lowerLetter"/>
      <w:lvlText w:val="%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8BD4A1C"/>
    <w:multiLevelType w:val="multilevel"/>
    <w:tmpl w:val="B86C853A"/>
    <w:lvl w:ilvl="0">
      <w:start w:val="1"/>
      <w:numFmt w:val="decimal"/>
      <w:lvlText w:val="%1."/>
      <w:lvlJc w:val="left"/>
      <w:pPr>
        <w:ind w:left="720" w:hanging="360"/>
      </w:pPr>
    </w:lvl>
    <w:lvl w:ilvl="1">
      <w:start w:val="1"/>
      <w:numFmt w:val="decimal"/>
      <w:lvlRestart w:val="0"/>
      <w:lvlText w:val="%1.%2."/>
      <w:lvlJc w:val="left"/>
      <w:pPr>
        <w:ind w:left="1152" w:hanging="432"/>
      </w:pPr>
    </w:lvl>
    <w:lvl w:ilvl="2">
      <w:start w:val="1"/>
      <w:numFmt w:val="decimal"/>
      <w:lvlText w:val="%1.%2.%3."/>
      <w:lvlJc w:val="left"/>
      <w:pPr>
        <w:ind w:left="1584" w:hanging="504"/>
      </w:pPr>
      <w:rPr>
        <w:b/>
        <w:i w:val="0"/>
        <w:color w:val="000000" w:themeColor="text1"/>
        <w:sz w:val="22"/>
      </w:rPr>
    </w:lvl>
    <w:lvl w:ilvl="3">
      <w:start w:val="1"/>
      <w:numFmt w:val="lowerLetter"/>
      <w:lvlText w:val="%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AE91B12"/>
    <w:multiLevelType w:val="hybridMultilevel"/>
    <w:tmpl w:val="950A37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84757E7"/>
    <w:multiLevelType w:val="hybridMultilevel"/>
    <w:tmpl w:val="E102C496"/>
    <w:lvl w:ilvl="0" w:tplc="14090001">
      <w:start w:val="1"/>
      <w:numFmt w:val="bullet"/>
      <w:lvlText w:val=""/>
      <w:lvlJc w:val="left"/>
      <w:pPr>
        <w:ind w:left="2880" w:hanging="360"/>
      </w:pPr>
      <w:rPr>
        <w:rFonts w:ascii="Symbol" w:hAnsi="Symbol" w:hint="default"/>
      </w:rPr>
    </w:lvl>
    <w:lvl w:ilvl="1" w:tplc="14090003">
      <w:start w:val="1"/>
      <w:numFmt w:val="bullet"/>
      <w:lvlText w:val="o"/>
      <w:lvlJc w:val="left"/>
      <w:pPr>
        <w:ind w:left="3600" w:hanging="360"/>
      </w:pPr>
      <w:rPr>
        <w:rFonts w:ascii="Courier New" w:hAnsi="Courier New" w:cs="Courier New" w:hint="default"/>
      </w:rPr>
    </w:lvl>
    <w:lvl w:ilvl="2" w:tplc="14090005">
      <w:start w:val="1"/>
      <w:numFmt w:val="bullet"/>
      <w:lvlText w:val=""/>
      <w:lvlJc w:val="left"/>
      <w:pPr>
        <w:ind w:left="4320" w:hanging="360"/>
      </w:pPr>
      <w:rPr>
        <w:rFonts w:ascii="Wingdings" w:hAnsi="Wingdings" w:hint="default"/>
      </w:rPr>
    </w:lvl>
    <w:lvl w:ilvl="3" w:tplc="14090001">
      <w:start w:val="1"/>
      <w:numFmt w:val="bullet"/>
      <w:lvlText w:val=""/>
      <w:lvlJc w:val="left"/>
      <w:pPr>
        <w:ind w:left="5040" w:hanging="360"/>
      </w:pPr>
      <w:rPr>
        <w:rFonts w:ascii="Symbol" w:hAnsi="Symbol" w:hint="default"/>
      </w:rPr>
    </w:lvl>
    <w:lvl w:ilvl="4" w:tplc="14090003">
      <w:start w:val="1"/>
      <w:numFmt w:val="bullet"/>
      <w:lvlText w:val="o"/>
      <w:lvlJc w:val="left"/>
      <w:pPr>
        <w:ind w:left="5760" w:hanging="360"/>
      </w:pPr>
      <w:rPr>
        <w:rFonts w:ascii="Courier New" w:hAnsi="Courier New" w:cs="Courier New" w:hint="default"/>
      </w:rPr>
    </w:lvl>
    <w:lvl w:ilvl="5" w:tplc="14090005">
      <w:start w:val="1"/>
      <w:numFmt w:val="bullet"/>
      <w:lvlText w:val=""/>
      <w:lvlJc w:val="left"/>
      <w:pPr>
        <w:ind w:left="6480" w:hanging="360"/>
      </w:pPr>
      <w:rPr>
        <w:rFonts w:ascii="Wingdings" w:hAnsi="Wingdings" w:hint="default"/>
      </w:rPr>
    </w:lvl>
    <w:lvl w:ilvl="6" w:tplc="14090001">
      <w:start w:val="1"/>
      <w:numFmt w:val="bullet"/>
      <w:lvlText w:val=""/>
      <w:lvlJc w:val="left"/>
      <w:pPr>
        <w:ind w:left="7200" w:hanging="360"/>
      </w:pPr>
      <w:rPr>
        <w:rFonts w:ascii="Symbol" w:hAnsi="Symbol" w:hint="default"/>
      </w:rPr>
    </w:lvl>
    <w:lvl w:ilvl="7" w:tplc="14090003">
      <w:start w:val="1"/>
      <w:numFmt w:val="bullet"/>
      <w:lvlText w:val="o"/>
      <w:lvlJc w:val="left"/>
      <w:pPr>
        <w:ind w:left="7920" w:hanging="360"/>
      </w:pPr>
      <w:rPr>
        <w:rFonts w:ascii="Courier New" w:hAnsi="Courier New" w:cs="Courier New" w:hint="default"/>
      </w:rPr>
    </w:lvl>
    <w:lvl w:ilvl="8" w:tplc="14090005">
      <w:start w:val="1"/>
      <w:numFmt w:val="bullet"/>
      <w:lvlText w:val=""/>
      <w:lvlJc w:val="left"/>
      <w:pPr>
        <w:ind w:left="8640" w:hanging="360"/>
      </w:pPr>
      <w:rPr>
        <w:rFonts w:ascii="Wingdings" w:hAnsi="Wingdings" w:hint="default"/>
      </w:rPr>
    </w:lvl>
  </w:abstractNum>
  <w:abstractNum w:abstractNumId="25"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96F4342"/>
    <w:multiLevelType w:val="hybridMultilevel"/>
    <w:tmpl w:val="E5D8488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0"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1"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2" w15:restartNumberingAfterBreak="0">
    <w:nsid w:val="700546C4"/>
    <w:multiLevelType w:val="hybridMultilevel"/>
    <w:tmpl w:val="125E0D7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3" w15:restartNumberingAfterBreak="0">
    <w:nsid w:val="700B1649"/>
    <w:multiLevelType w:val="hybridMultilevel"/>
    <w:tmpl w:val="21DC474E"/>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501"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4" w15:restartNumberingAfterBreak="0">
    <w:nsid w:val="751579F9"/>
    <w:multiLevelType w:val="hybridMultilevel"/>
    <w:tmpl w:val="423A2E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5"/>
  </w:num>
  <w:num w:numId="8">
    <w:abstractNumId w:val="27"/>
  </w:num>
  <w:num w:numId="9">
    <w:abstractNumId w:val="20"/>
  </w:num>
  <w:num w:numId="10">
    <w:abstractNumId w:val="9"/>
  </w:num>
  <w:num w:numId="11">
    <w:abstractNumId w:val="28"/>
  </w:num>
  <w:num w:numId="12">
    <w:abstractNumId w:val="29"/>
  </w:num>
  <w:num w:numId="13">
    <w:abstractNumId w:val="31"/>
  </w:num>
  <w:num w:numId="14">
    <w:abstractNumId w:val="7"/>
  </w:num>
  <w:num w:numId="15">
    <w:abstractNumId w:val="17"/>
  </w:num>
  <w:num w:numId="16">
    <w:abstractNumId w:val="35"/>
  </w:num>
  <w:num w:numId="17">
    <w:abstractNumId w:val="30"/>
  </w:num>
  <w:num w:numId="18">
    <w:abstractNumId w:val="22"/>
  </w:num>
  <w:num w:numId="19">
    <w:abstractNumId w:val="19"/>
  </w:num>
  <w:num w:numId="20">
    <w:abstractNumId w:val="8"/>
  </w:num>
  <w:num w:numId="21">
    <w:abstractNumId w:val="6"/>
  </w:num>
  <w:num w:numId="22">
    <w:abstractNumId w:val="34"/>
  </w:num>
  <w:num w:numId="23">
    <w:abstractNumId w:val="32"/>
  </w:num>
  <w:num w:numId="24">
    <w:abstractNumId w:val="13"/>
  </w:num>
  <w:num w:numId="25">
    <w:abstractNumId w:val="33"/>
  </w:num>
  <w:num w:numId="26">
    <w:abstractNumId w:val="2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4"/>
  </w:num>
  <w:num w:numId="31">
    <w:abstractNumId w:val="10"/>
  </w:num>
  <w:num w:numId="32">
    <w:abstractNumId w:val="18"/>
  </w:num>
  <w:num w:numId="33">
    <w:abstractNumId w:val="12"/>
  </w:num>
  <w:num w:numId="34">
    <w:abstractNumId w:val="23"/>
  </w:num>
  <w:num w:numId="35">
    <w:abstractNumId w:val="15"/>
  </w:num>
  <w:num w:numId="36">
    <w:abstractNumId w:val="24"/>
  </w:num>
  <w:num w:numId="37">
    <w:abstractNumId w:val="16"/>
  </w:num>
  <w:num w:numId="38">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18785"/>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84"/>
    <w:rsid w:val="0000195F"/>
    <w:rsid w:val="00003360"/>
    <w:rsid w:val="00003FC7"/>
    <w:rsid w:val="00005919"/>
    <w:rsid w:val="00007C42"/>
    <w:rsid w:val="00013FB7"/>
    <w:rsid w:val="00015020"/>
    <w:rsid w:val="0001647B"/>
    <w:rsid w:val="00020010"/>
    <w:rsid w:val="00023CC1"/>
    <w:rsid w:val="0002629F"/>
    <w:rsid w:val="00034673"/>
    <w:rsid w:val="00036671"/>
    <w:rsid w:val="00037226"/>
    <w:rsid w:val="000409E2"/>
    <w:rsid w:val="00042821"/>
    <w:rsid w:val="00044EA1"/>
    <w:rsid w:val="0004671C"/>
    <w:rsid w:val="00053CC5"/>
    <w:rsid w:val="00054574"/>
    <w:rsid w:val="0005649A"/>
    <w:rsid w:val="000638B2"/>
    <w:rsid w:val="00063BB2"/>
    <w:rsid w:val="00065F18"/>
    <w:rsid w:val="00067005"/>
    <w:rsid w:val="00076035"/>
    <w:rsid w:val="00077013"/>
    <w:rsid w:val="000816E2"/>
    <w:rsid w:val="00091C3A"/>
    <w:rsid w:val="00093499"/>
    <w:rsid w:val="000954A8"/>
    <w:rsid w:val="000A4B2E"/>
    <w:rsid w:val="000C2050"/>
    <w:rsid w:val="000C5D31"/>
    <w:rsid w:val="000D06A7"/>
    <w:rsid w:val="000D61F6"/>
    <w:rsid w:val="000D71AF"/>
    <w:rsid w:val="000E3240"/>
    <w:rsid w:val="000E677B"/>
    <w:rsid w:val="000E78B0"/>
    <w:rsid w:val="000F4ADF"/>
    <w:rsid w:val="000F61AF"/>
    <w:rsid w:val="0010171C"/>
    <w:rsid w:val="00102FAD"/>
    <w:rsid w:val="0010647D"/>
    <w:rsid w:val="001106DD"/>
    <w:rsid w:val="00111501"/>
    <w:rsid w:val="0011328A"/>
    <w:rsid w:val="00121870"/>
    <w:rsid w:val="00123182"/>
    <w:rsid w:val="00126FDE"/>
    <w:rsid w:val="0013703F"/>
    <w:rsid w:val="00140ED2"/>
    <w:rsid w:val="00143E7C"/>
    <w:rsid w:val="0014415C"/>
    <w:rsid w:val="0014565E"/>
    <w:rsid w:val="00145F91"/>
    <w:rsid w:val="001536C9"/>
    <w:rsid w:val="00157200"/>
    <w:rsid w:val="0016433D"/>
    <w:rsid w:val="00167C16"/>
    <w:rsid w:val="00172CA9"/>
    <w:rsid w:val="001778CF"/>
    <w:rsid w:val="00184C0F"/>
    <w:rsid w:val="00192291"/>
    <w:rsid w:val="001A2EDE"/>
    <w:rsid w:val="001A5F55"/>
    <w:rsid w:val="001B1BB2"/>
    <w:rsid w:val="001B1F63"/>
    <w:rsid w:val="001C0031"/>
    <w:rsid w:val="001C0C30"/>
    <w:rsid w:val="001D0111"/>
    <w:rsid w:val="001D7EAE"/>
    <w:rsid w:val="001E12DB"/>
    <w:rsid w:val="001E64FC"/>
    <w:rsid w:val="001F0724"/>
    <w:rsid w:val="001F11CD"/>
    <w:rsid w:val="002007DF"/>
    <w:rsid w:val="00205FE8"/>
    <w:rsid w:val="0020698B"/>
    <w:rsid w:val="00206BA3"/>
    <w:rsid w:val="002116A3"/>
    <w:rsid w:val="00215160"/>
    <w:rsid w:val="00221AE4"/>
    <w:rsid w:val="002224B4"/>
    <w:rsid w:val="00225539"/>
    <w:rsid w:val="0022568E"/>
    <w:rsid w:val="00226D5E"/>
    <w:rsid w:val="00237A3D"/>
    <w:rsid w:val="00240E83"/>
    <w:rsid w:val="00241577"/>
    <w:rsid w:val="002502D1"/>
    <w:rsid w:val="00260A17"/>
    <w:rsid w:val="00270EEC"/>
    <w:rsid w:val="00271F0B"/>
    <w:rsid w:val="002777D8"/>
    <w:rsid w:val="002806A2"/>
    <w:rsid w:val="00297CC7"/>
    <w:rsid w:val="002A07C1"/>
    <w:rsid w:val="002A194F"/>
    <w:rsid w:val="002A4BD9"/>
    <w:rsid w:val="002A4FE7"/>
    <w:rsid w:val="002A66DC"/>
    <w:rsid w:val="002B1CEB"/>
    <w:rsid w:val="002B2295"/>
    <w:rsid w:val="002B45EA"/>
    <w:rsid w:val="002B56D5"/>
    <w:rsid w:val="002B6DB4"/>
    <w:rsid w:val="002C1C69"/>
    <w:rsid w:val="002D3125"/>
    <w:rsid w:val="002D4F42"/>
    <w:rsid w:val="002E3F33"/>
    <w:rsid w:val="002E4B4B"/>
    <w:rsid w:val="002F346D"/>
    <w:rsid w:val="003001C4"/>
    <w:rsid w:val="0030084C"/>
    <w:rsid w:val="003039E1"/>
    <w:rsid w:val="0031147C"/>
    <w:rsid w:val="003129BA"/>
    <w:rsid w:val="003148FC"/>
    <w:rsid w:val="0032132E"/>
    <w:rsid w:val="00321FE5"/>
    <w:rsid w:val="00330820"/>
    <w:rsid w:val="003465C8"/>
    <w:rsid w:val="003670B5"/>
    <w:rsid w:val="0037016B"/>
    <w:rsid w:val="00370FC0"/>
    <w:rsid w:val="00373206"/>
    <w:rsid w:val="003737ED"/>
    <w:rsid w:val="00375B80"/>
    <w:rsid w:val="00376C08"/>
    <w:rsid w:val="00377352"/>
    <w:rsid w:val="003827BD"/>
    <w:rsid w:val="003845B1"/>
    <w:rsid w:val="00392FB7"/>
    <w:rsid w:val="003A10DA"/>
    <w:rsid w:val="003A12C8"/>
    <w:rsid w:val="003A642B"/>
    <w:rsid w:val="003A6FFE"/>
    <w:rsid w:val="003A7695"/>
    <w:rsid w:val="003B3A23"/>
    <w:rsid w:val="003B6592"/>
    <w:rsid w:val="003C772C"/>
    <w:rsid w:val="003D3124"/>
    <w:rsid w:val="003E6B40"/>
    <w:rsid w:val="003F15BD"/>
    <w:rsid w:val="003F1A1F"/>
    <w:rsid w:val="003F2B58"/>
    <w:rsid w:val="003F5886"/>
    <w:rsid w:val="0040020C"/>
    <w:rsid w:val="00401CA0"/>
    <w:rsid w:val="0040700B"/>
    <w:rsid w:val="00407F54"/>
    <w:rsid w:val="004106E6"/>
    <w:rsid w:val="00410AF5"/>
    <w:rsid w:val="00410D80"/>
    <w:rsid w:val="00411341"/>
    <w:rsid w:val="00413095"/>
    <w:rsid w:val="00413966"/>
    <w:rsid w:val="00414502"/>
    <w:rsid w:val="00414D22"/>
    <w:rsid w:val="00415015"/>
    <w:rsid w:val="00415CDB"/>
    <w:rsid w:val="004231DC"/>
    <w:rsid w:val="00424C4E"/>
    <w:rsid w:val="0042551E"/>
    <w:rsid w:val="00433AD8"/>
    <w:rsid w:val="00437A53"/>
    <w:rsid w:val="00441DD0"/>
    <w:rsid w:val="004552A0"/>
    <w:rsid w:val="00457545"/>
    <w:rsid w:val="00457E34"/>
    <w:rsid w:val="00460A83"/>
    <w:rsid w:val="00460B3F"/>
    <w:rsid w:val="00464752"/>
    <w:rsid w:val="004652C3"/>
    <w:rsid w:val="0047259A"/>
    <w:rsid w:val="00472A55"/>
    <w:rsid w:val="0047374C"/>
    <w:rsid w:val="00475FF4"/>
    <w:rsid w:val="00476068"/>
    <w:rsid w:val="004763B3"/>
    <w:rsid w:val="0047737C"/>
    <w:rsid w:val="00477619"/>
    <w:rsid w:val="00477D24"/>
    <w:rsid w:val="00486E6E"/>
    <w:rsid w:val="004875DF"/>
    <w:rsid w:val="00487C1D"/>
    <w:rsid w:val="00493F15"/>
    <w:rsid w:val="00494C6F"/>
    <w:rsid w:val="00495DD3"/>
    <w:rsid w:val="004A199A"/>
    <w:rsid w:val="004A5823"/>
    <w:rsid w:val="004B0AAF"/>
    <w:rsid w:val="004B214C"/>
    <w:rsid w:val="004B3924"/>
    <w:rsid w:val="004B49FF"/>
    <w:rsid w:val="004C19F1"/>
    <w:rsid w:val="004C2538"/>
    <w:rsid w:val="004C4DDD"/>
    <w:rsid w:val="004C5F40"/>
    <w:rsid w:val="004C6953"/>
    <w:rsid w:val="004C7001"/>
    <w:rsid w:val="004C798E"/>
    <w:rsid w:val="004D1706"/>
    <w:rsid w:val="004D243F"/>
    <w:rsid w:val="004D4EBA"/>
    <w:rsid w:val="004D7473"/>
    <w:rsid w:val="004E14DD"/>
    <w:rsid w:val="004E4303"/>
    <w:rsid w:val="004F11C0"/>
    <w:rsid w:val="004F2E8A"/>
    <w:rsid w:val="004F4ED0"/>
    <w:rsid w:val="004F55E1"/>
    <w:rsid w:val="004F733D"/>
    <w:rsid w:val="0050147F"/>
    <w:rsid w:val="00501C4B"/>
    <w:rsid w:val="005028A7"/>
    <w:rsid w:val="005078B7"/>
    <w:rsid w:val="00510D73"/>
    <w:rsid w:val="00512ACB"/>
    <w:rsid w:val="00517EB5"/>
    <w:rsid w:val="0052216D"/>
    <w:rsid w:val="00526115"/>
    <w:rsid w:val="00533FAF"/>
    <w:rsid w:val="005366B6"/>
    <w:rsid w:val="00543B7A"/>
    <w:rsid w:val="00554BCD"/>
    <w:rsid w:val="00555F60"/>
    <w:rsid w:val="00560161"/>
    <w:rsid w:val="005605A5"/>
    <w:rsid w:val="00560B3C"/>
    <w:rsid w:val="00561A97"/>
    <w:rsid w:val="00563DAC"/>
    <w:rsid w:val="00565AF2"/>
    <w:rsid w:val="005675E0"/>
    <w:rsid w:val="00570103"/>
    <w:rsid w:val="00570A71"/>
    <w:rsid w:val="00570C00"/>
    <w:rsid w:val="00575727"/>
    <w:rsid w:val="00576AAA"/>
    <w:rsid w:val="00580533"/>
    <w:rsid w:val="00581CF4"/>
    <w:rsid w:val="0058206B"/>
    <w:rsid w:val="005850AF"/>
    <w:rsid w:val="00585690"/>
    <w:rsid w:val="00585751"/>
    <w:rsid w:val="005869DE"/>
    <w:rsid w:val="00591BDC"/>
    <w:rsid w:val="00594AAA"/>
    <w:rsid w:val="00595B33"/>
    <w:rsid w:val="0059662F"/>
    <w:rsid w:val="005A3D59"/>
    <w:rsid w:val="005B1658"/>
    <w:rsid w:val="005B46E9"/>
    <w:rsid w:val="005B7254"/>
    <w:rsid w:val="005C0CD3"/>
    <w:rsid w:val="005C29C5"/>
    <w:rsid w:val="005D3066"/>
    <w:rsid w:val="005D6FA3"/>
    <w:rsid w:val="005E4B13"/>
    <w:rsid w:val="005E4C02"/>
    <w:rsid w:val="005F01DF"/>
    <w:rsid w:val="005F76CC"/>
    <w:rsid w:val="005F7FF8"/>
    <w:rsid w:val="006004C4"/>
    <w:rsid w:val="00600CA4"/>
    <w:rsid w:val="00602416"/>
    <w:rsid w:val="006025CE"/>
    <w:rsid w:val="00603635"/>
    <w:rsid w:val="006041F2"/>
    <w:rsid w:val="006050AA"/>
    <w:rsid w:val="006064F5"/>
    <w:rsid w:val="006130AF"/>
    <w:rsid w:val="00617298"/>
    <w:rsid w:val="00622DA4"/>
    <w:rsid w:val="006262D4"/>
    <w:rsid w:val="00627309"/>
    <w:rsid w:val="00637753"/>
    <w:rsid w:val="00640B8B"/>
    <w:rsid w:val="00645DD1"/>
    <w:rsid w:val="006528FE"/>
    <w:rsid w:val="00660CE4"/>
    <w:rsid w:val="00660F62"/>
    <w:rsid w:val="00662716"/>
    <w:rsid w:val="00674E08"/>
    <w:rsid w:val="00676615"/>
    <w:rsid w:val="00676C9F"/>
    <w:rsid w:val="00677B13"/>
    <w:rsid w:val="00677C11"/>
    <w:rsid w:val="00677F4E"/>
    <w:rsid w:val="00677F8A"/>
    <w:rsid w:val="00681A08"/>
    <w:rsid w:val="006830B4"/>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17F5"/>
    <w:rsid w:val="006D638F"/>
    <w:rsid w:val="006D7384"/>
    <w:rsid w:val="006E2FC3"/>
    <w:rsid w:val="006E41FC"/>
    <w:rsid w:val="006E4881"/>
    <w:rsid w:val="006E7BF7"/>
    <w:rsid w:val="006F2A81"/>
    <w:rsid w:val="00702F2C"/>
    <w:rsid w:val="0070521B"/>
    <w:rsid w:val="007068C8"/>
    <w:rsid w:val="00715B8F"/>
    <w:rsid w:val="007165E2"/>
    <w:rsid w:val="0073106E"/>
    <w:rsid w:val="00735F0F"/>
    <w:rsid w:val="00743F39"/>
    <w:rsid w:val="00750D66"/>
    <w:rsid w:val="00752D54"/>
    <w:rsid w:val="00752E8C"/>
    <w:rsid w:val="00754080"/>
    <w:rsid w:val="00755142"/>
    <w:rsid w:val="00756BB7"/>
    <w:rsid w:val="0075764B"/>
    <w:rsid w:val="00760C01"/>
    <w:rsid w:val="00761293"/>
    <w:rsid w:val="00764A6A"/>
    <w:rsid w:val="00767C04"/>
    <w:rsid w:val="007736A2"/>
    <w:rsid w:val="007824E9"/>
    <w:rsid w:val="00793B79"/>
    <w:rsid w:val="007A00BC"/>
    <w:rsid w:val="007A40FA"/>
    <w:rsid w:val="007A5A49"/>
    <w:rsid w:val="007A6226"/>
    <w:rsid w:val="007A66A4"/>
    <w:rsid w:val="007B35AD"/>
    <w:rsid w:val="007B3C61"/>
    <w:rsid w:val="007B5376"/>
    <w:rsid w:val="007C573E"/>
    <w:rsid w:val="007D1918"/>
    <w:rsid w:val="007E0BB1"/>
    <w:rsid w:val="007E2BAE"/>
    <w:rsid w:val="007E351D"/>
    <w:rsid w:val="007E35FC"/>
    <w:rsid w:val="007F03F2"/>
    <w:rsid w:val="007F0C3F"/>
    <w:rsid w:val="007F1A71"/>
    <w:rsid w:val="007F4D6E"/>
    <w:rsid w:val="008004CB"/>
    <w:rsid w:val="008031DF"/>
    <w:rsid w:val="008065D7"/>
    <w:rsid w:val="008108AA"/>
    <w:rsid w:val="008111A3"/>
    <w:rsid w:val="00813003"/>
    <w:rsid w:val="00816E30"/>
    <w:rsid w:val="00817109"/>
    <w:rsid w:val="0082264B"/>
    <w:rsid w:val="0082765B"/>
    <w:rsid w:val="008352B1"/>
    <w:rsid w:val="008353E7"/>
    <w:rsid w:val="00835BD7"/>
    <w:rsid w:val="008368E5"/>
    <w:rsid w:val="008428E8"/>
    <w:rsid w:val="00843D71"/>
    <w:rsid w:val="00846F11"/>
    <w:rsid w:val="0084745A"/>
    <w:rsid w:val="008504D0"/>
    <w:rsid w:val="00852383"/>
    <w:rsid w:val="00864121"/>
    <w:rsid w:val="0086430A"/>
    <w:rsid w:val="00870045"/>
    <w:rsid w:val="0087022E"/>
    <w:rsid w:val="0087028C"/>
    <w:rsid w:val="00876E5F"/>
    <w:rsid w:val="0088067C"/>
    <w:rsid w:val="00884A12"/>
    <w:rsid w:val="00890CE4"/>
    <w:rsid w:val="00891ED7"/>
    <w:rsid w:val="008B7B54"/>
    <w:rsid w:val="008C3187"/>
    <w:rsid w:val="008C5B28"/>
    <w:rsid w:val="008C5E4F"/>
    <w:rsid w:val="008D63B7"/>
    <w:rsid w:val="008D6A03"/>
    <w:rsid w:val="008D6CA7"/>
    <w:rsid w:val="008E1A2D"/>
    <w:rsid w:val="008E3F3C"/>
    <w:rsid w:val="008E508C"/>
    <w:rsid w:val="008E7FEE"/>
    <w:rsid w:val="008F1E73"/>
    <w:rsid w:val="008F2F06"/>
    <w:rsid w:val="008F31F5"/>
    <w:rsid w:val="008F67F5"/>
    <w:rsid w:val="008F6AA9"/>
    <w:rsid w:val="008F6BCE"/>
    <w:rsid w:val="00900D4B"/>
    <w:rsid w:val="00902F24"/>
    <w:rsid w:val="00903440"/>
    <w:rsid w:val="00905F9B"/>
    <w:rsid w:val="00912B02"/>
    <w:rsid w:val="00913767"/>
    <w:rsid w:val="00913E95"/>
    <w:rsid w:val="00915019"/>
    <w:rsid w:val="009170B9"/>
    <w:rsid w:val="00922A53"/>
    <w:rsid w:val="00923A87"/>
    <w:rsid w:val="00927482"/>
    <w:rsid w:val="009307AC"/>
    <w:rsid w:val="00936FF5"/>
    <w:rsid w:val="00940D8F"/>
    <w:rsid w:val="00941AA2"/>
    <w:rsid w:val="0094654B"/>
    <w:rsid w:val="0094765A"/>
    <w:rsid w:val="0095112B"/>
    <w:rsid w:val="0095712A"/>
    <w:rsid w:val="009644BA"/>
    <w:rsid w:val="00973A6D"/>
    <w:rsid w:val="009804E0"/>
    <w:rsid w:val="00983735"/>
    <w:rsid w:val="00985C80"/>
    <w:rsid w:val="009865AA"/>
    <w:rsid w:val="00987080"/>
    <w:rsid w:val="0098765A"/>
    <w:rsid w:val="00987E5B"/>
    <w:rsid w:val="009908AC"/>
    <w:rsid w:val="00991620"/>
    <w:rsid w:val="009968B0"/>
    <w:rsid w:val="009A13AC"/>
    <w:rsid w:val="009A6CB2"/>
    <w:rsid w:val="009B0982"/>
    <w:rsid w:val="009B13DB"/>
    <w:rsid w:val="009B4C99"/>
    <w:rsid w:val="009C11AE"/>
    <w:rsid w:val="009C13FB"/>
    <w:rsid w:val="009D28CF"/>
    <w:rsid w:val="009E10BE"/>
    <w:rsid w:val="009E27B3"/>
    <w:rsid w:val="009E41AF"/>
    <w:rsid w:val="009E5D36"/>
    <w:rsid w:val="009E6375"/>
    <w:rsid w:val="009E7CA0"/>
    <w:rsid w:val="009F1946"/>
    <w:rsid w:val="009F4484"/>
    <w:rsid w:val="009F7D62"/>
    <w:rsid w:val="00A04392"/>
    <w:rsid w:val="00A04860"/>
    <w:rsid w:val="00A069CE"/>
    <w:rsid w:val="00A109D8"/>
    <w:rsid w:val="00A16003"/>
    <w:rsid w:val="00A167D7"/>
    <w:rsid w:val="00A170C1"/>
    <w:rsid w:val="00A23D39"/>
    <w:rsid w:val="00A23EC2"/>
    <w:rsid w:val="00A24FBB"/>
    <w:rsid w:val="00A27021"/>
    <w:rsid w:val="00A3453E"/>
    <w:rsid w:val="00A34E70"/>
    <w:rsid w:val="00A34F24"/>
    <w:rsid w:val="00A36483"/>
    <w:rsid w:val="00A42ED2"/>
    <w:rsid w:val="00A44B33"/>
    <w:rsid w:val="00A45CC4"/>
    <w:rsid w:val="00A465F7"/>
    <w:rsid w:val="00A46BF2"/>
    <w:rsid w:val="00A47CA9"/>
    <w:rsid w:val="00A50E00"/>
    <w:rsid w:val="00A52529"/>
    <w:rsid w:val="00A53624"/>
    <w:rsid w:val="00A545EB"/>
    <w:rsid w:val="00A55EAF"/>
    <w:rsid w:val="00A56F1F"/>
    <w:rsid w:val="00A5766B"/>
    <w:rsid w:val="00A61E5B"/>
    <w:rsid w:val="00A6341F"/>
    <w:rsid w:val="00A6426B"/>
    <w:rsid w:val="00A65FAB"/>
    <w:rsid w:val="00A66632"/>
    <w:rsid w:val="00A73D07"/>
    <w:rsid w:val="00A75DE3"/>
    <w:rsid w:val="00A75F29"/>
    <w:rsid w:val="00A77512"/>
    <w:rsid w:val="00A863E3"/>
    <w:rsid w:val="00A9244A"/>
    <w:rsid w:val="00A94161"/>
    <w:rsid w:val="00A97BFB"/>
    <w:rsid w:val="00AA5E8C"/>
    <w:rsid w:val="00AA7469"/>
    <w:rsid w:val="00AB0BBC"/>
    <w:rsid w:val="00AB2274"/>
    <w:rsid w:val="00AB3A92"/>
    <w:rsid w:val="00AB3F61"/>
    <w:rsid w:val="00AB478B"/>
    <w:rsid w:val="00AB47AC"/>
    <w:rsid w:val="00AB4AD9"/>
    <w:rsid w:val="00AB4E51"/>
    <w:rsid w:val="00AB7701"/>
    <w:rsid w:val="00AD1823"/>
    <w:rsid w:val="00AD1C86"/>
    <w:rsid w:val="00AD6E77"/>
    <w:rsid w:val="00AD7A25"/>
    <w:rsid w:val="00AE2666"/>
    <w:rsid w:val="00AE478C"/>
    <w:rsid w:val="00AE751C"/>
    <w:rsid w:val="00AF0992"/>
    <w:rsid w:val="00AF3A5A"/>
    <w:rsid w:val="00AF3E15"/>
    <w:rsid w:val="00AF510B"/>
    <w:rsid w:val="00AF5218"/>
    <w:rsid w:val="00AF60A0"/>
    <w:rsid w:val="00B01A6F"/>
    <w:rsid w:val="00B0480E"/>
    <w:rsid w:val="00B1026A"/>
    <w:rsid w:val="00B21166"/>
    <w:rsid w:val="00B263AE"/>
    <w:rsid w:val="00B31E2C"/>
    <w:rsid w:val="00B31F44"/>
    <w:rsid w:val="00B33A6C"/>
    <w:rsid w:val="00B34318"/>
    <w:rsid w:val="00B36C8E"/>
    <w:rsid w:val="00B40BC0"/>
    <w:rsid w:val="00B419BF"/>
    <w:rsid w:val="00B42F17"/>
    <w:rsid w:val="00B43A02"/>
    <w:rsid w:val="00B47091"/>
    <w:rsid w:val="00B56534"/>
    <w:rsid w:val="00B57A21"/>
    <w:rsid w:val="00B62C3E"/>
    <w:rsid w:val="00B645DE"/>
    <w:rsid w:val="00B65857"/>
    <w:rsid w:val="00B66698"/>
    <w:rsid w:val="00B67566"/>
    <w:rsid w:val="00B745DC"/>
    <w:rsid w:val="00B84350"/>
    <w:rsid w:val="00B855A6"/>
    <w:rsid w:val="00B91098"/>
    <w:rsid w:val="00B91904"/>
    <w:rsid w:val="00B919E4"/>
    <w:rsid w:val="00B92735"/>
    <w:rsid w:val="00B969ED"/>
    <w:rsid w:val="00B97DB2"/>
    <w:rsid w:val="00BA384F"/>
    <w:rsid w:val="00BA77F1"/>
    <w:rsid w:val="00BA7BB6"/>
    <w:rsid w:val="00BB0D90"/>
    <w:rsid w:val="00BB60C6"/>
    <w:rsid w:val="00BB7984"/>
    <w:rsid w:val="00BB7E05"/>
    <w:rsid w:val="00BC04FF"/>
    <w:rsid w:val="00BC2B32"/>
    <w:rsid w:val="00BC45F7"/>
    <w:rsid w:val="00BC6A06"/>
    <w:rsid w:val="00BD137C"/>
    <w:rsid w:val="00BD3187"/>
    <w:rsid w:val="00BE3BC7"/>
    <w:rsid w:val="00BE5190"/>
    <w:rsid w:val="00BE761A"/>
    <w:rsid w:val="00BE7911"/>
    <w:rsid w:val="00BF1AB7"/>
    <w:rsid w:val="00BF2033"/>
    <w:rsid w:val="00BF26EE"/>
    <w:rsid w:val="00BF6D17"/>
    <w:rsid w:val="00BF7FE9"/>
    <w:rsid w:val="00C03596"/>
    <w:rsid w:val="00C05EEC"/>
    <w:rsid w:val="00C15A13"/>
    <w:rsid w:val="00C2376C"/>
    <w:rsid w:val="00C238D9"/>
    <w:rsid w:val="00C24A9D"/>
    <w:rsid w:val="00C2629A"/>
    <w:rsid w:val="00C2677E"/>
    <w:rsid w:val="00C31542"/>
    <w:rsid w:val="00C35706"/>
    <w:rsid w:val="00C359D8"/>
    <w:rsid w:val="00C37CBB"/>
    <w:rsid w:val="00C45B12"/>
    <w:rsid w:val="00C5028E"/>
    <w:rsid w:val="00C54E78"/>
    <w:rsid w:val="00C57811"/>
    <w:rsid w:val="00C6078D"/>
    <w:rsid w:val="00C657CF"/>
    <w:rsid w:val="00C80D62"/>
    <w:rsid w:val="00C81A92"/>
    <w:rsid w:val="00C8388B"/>
    <w:rsid w:val="00C84944"/>
    <w:rsid w:val="00C90217"/>
    <w:rsid w:val="00C96BFD"/>
    <w:rsid w:val="00C96C98"/>
    <w:rsid w:val="00CA0261"/>
    <w:rsid w:val="00CA5358"/>
    <w:rsid w:val="00CB0B17"/>
    <w:rsid w:val="00CB1DCA"/>
    <w:rsid w:val="00CB2238"/>
    <w:rsid w:val="00CB6786"/>
    <w:rsid w:val="00CC4DAF"/>
    <w:rsid w:val="00CD05A7"/>
    <w:rsid w:val="00CD502A"/>
    <w:rsid w:val="00CE2B28"/>
    <w:rsid w:val="00CF12CF"/>
    <w:rsid w:val="00CF26D5"/>
    <w:rsid w:val="00CF48BF"/>
    <w:rsid w:val="00CF4BD0"/>
    <w:rsid w:val="00CF4BE3"/>
    <w:rsid w:val="00D02C48"/>
    <w:rsid w:val="00D060D2"/>
    <w:rsid w:val="00D064AB"/>
    <w:rsid w:val="00D07B72"/>
    <w:rsid w:val="00D111C1"/>
    <w:rsid w:val="00D13E2D"/>
    <w:rsid w:val="00D14394"/>
    <w:rsid w:val="00D242CD"/>
    <w:rsid w:val="00D26F74"/>
    <w:rsid w:val="00D27B2C"/>
    <w:rsid w:val="00D341C3"/>
    <w:rsid w:val="00D42843"/>
    <w:rsid w:val="00D46684"/>
    <w:rsid w:val="00D5152A"/>
    <w:rsid w:val="00D560EB"/>
    <w:rsid w:val="00D65145"/>
    <w:rsid w:val="00D70300"/>
    <w:rsid w:val="00D73D87"/>
    <w:rsid w:val="00D74314"/>
    <w:rsid w:val="00D81410"/>
    <w:rsid w:val="00D91845"/>
    <w:rsid w:val="00D92505"/>
    <w:rsid w:val="00DA267C"/>
    <w:rsid w:val="00DA27B3"/>
    <w:rsid w:val="00DA3344"/>
    <w:rsid w:val="00DA34E9"/>
    <w:rsid w:val="00DA5101"/>
    <w:rsid w:val="00DA79EF"/>
    <w:rsid w:val="00DB0C0B"/>
    <w:rsid w:val="00DB0C7F"/>
    <w:rsid w:val="00DB305D"/>
    <w:rsid w:val="00DB3B74"/>
    <w:rsid w:val="00DC144A"/>
    <w:rsid w:val="00DC2EDC"/>
    <w:rsid w:val="00DC5870"/>
    <w:rsid w:val="00DD0384"/>
    <w:rsid w:val="00DD04AA"/>
    <w:rsid w:val="00DD0901"/>
    <w:rsid w:val="00DD4AB0"/>
    <w:rsid w:val="00DE16B6"/>
    <w:rsid w:val="00DE3323"/>
    <w:rsid w:val="00DE36CA"/>
    <w:rsid w:val="00DE7E63"/>
    <w:rsid w:val="00DF23A9"/>
    <w:rsid w:val="00DF316C"/>
    <w:rsid w:val="00DF77A2"/>
    <w:rsid w:val="00E05F9B"/>
    <w:rsid w:val="00E0608F"/>
    <w:rsid w:val="00E07288"/>
    <w:rsid w:val="00E24D54"/>
    <w:rsid w:val="00E26A33"/>
    <w:rsid w:val="00E32B16"/>
    <w:rsid w:val="00E367C5"/>
    <w:rsid w:val="00E37E71"/>
    <w:rsid w:val="00E42486"/>
    <w:rsid w:val="00E42847"/>
    <w:rsid w:val="00E44BAA"/>
    <w:rsid w:val="00E46064"/>
    <w:rsid w:val="00E57AD3"/>
    <w:rsid w:val="00E604A1"/>
    <w:rsid w:val="00E619A4"/>
    <w:rsid w:val="00E628B9"/>
    <w:rsid w:val="00E7293C"/>
    <w:rsid w:val="00E73AA8"/>
    <w:rsid w:val="00E73B2E"/>
    <w:rsid w:val="00E76812"/>
    <w:rsid w:val="00E80228"/>
    <w:rsid w:val="00E85872"/>
    <w:rsid w:val="00E86D2A"/>
    <w:rsid w:val="00E8711A"/>
    <w:rsid w:val="00EA2ED4"/>
    <w:rsid w:val="00EA491A"/>
    <w:rsid w:val="00EB1583"/>
    <w:rsid w:val="00EB54A9"/>
    <w:rsid w:val="00EC23FB"/>
    <w:rsid w:val="00EC7017"/>
    <w:rsid w:val="00ED2AD4"/>
    <w:rsid w:val="00ED30E1"/>
    <w:rsid w:val="00ED42A9"/>
    <w:rsid w:val="00ED4356"/>
    <w:rsid w:val="00ED7681"/>
    <w:rsid w:val="00EE243C"/>
    <w:rsid w:val="00EF63C6"/>
    <w:rsid w:val="00F034FB"/>
    <w:rsid w:val="00F03F39"/>
    <w:rsid w:val="00F05606"/>
    <w:rsid w:val="00F105F5"/>
    <w:rsid w:val="00F1075A"/>
    <w:rsid w:val="00F11C89"/>
    <w:rsid w:val="00F14CFC"/>
    <w:rsid w:val="00F17A9E"/>
    <w:rsid w:val="00F22E82"/>
    <w:rsid w:val="00F2483A"/>
    <w:rsid w:val="00F31C3E"/>
    <w:rsid w:val="00F337BF"/>
    <w:rsid w:val="00F33D14"/>
    <w:rsid w:val="00F473B6"/>
    <w:rsid w:val="00F52E57"/>
    <w:rsid w:val="00F53E06"/>
    <w:rsid w:val="00F54188"/>
    <w:rsid w:val="00F54CC0"/>
    <w:rsid w:val="00F71E43"/>
    <w:rsid w:val="00F727A5"/>
    <w:rsid w:val="00F7759C"/>
    <w:rsid w:val="00F847A9"/>
    <w:rsid w:val="00FA3F6A"/>
    <w:rsid w:val="00FA5FE9"/>
    <w:rsid w:val="00FA67D2"/>
    <w:rsid w:val="00FB1990"/>
    <w:rsid w:val="00FB302F"/>
    <w:rsid w:val="00FB5A92"/>
    <w:rsid w:val="00FC1C69"/>
    <w:rsid w:val="00FC1D00"/>
    <w:rsid w:val="00FC3739"/>
    <w:rsid w:val="00FC5AB3"/>
    <w:rsid w:val="00FD1A64"/>
    <w:rsid w:val="00FD23AB"/>
    <w:rsid w:val="00FE5AD9"/>
    <w:rsid w:val="00FE7A33"/>
    <w:rsid w:val="00FF3414"/>
    <w:rsid w:val="00FF44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7072CA70"/>
  <w15:docId w15:val="{518FFDFD-75ED-4F2D-A189-10B631AD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20"/>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22"/>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link w:val="ListParagraphChar"/>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Default">
    <w:name w:val="Default"/>
    <w:rsid w:val="00C35706"/>
    <w:pPr>
      <w:autoSpaceDE w:val="0"/>
      <w:autoSpaceDN w:val="0"/>
      <w:adjustRightInd w:val="0"/>
      <w:spacing w:before="0" w:after="0"/>
    </w:pPr>
    <w:rPr>
      <w:rFonts w:cs="Calibri"/>
      <w:color w:val="000000"/>
    </w:rPr>
  </w:style>
  <w:style w:type="paragraph" w:styleId="CommentText">
    <w:name w:val="annotation text"/>
    <w:basedOn w:val="Normal"/>
    <w:link w:val="CommentTextChar"/>
    <w:uiPriority w:val="99"/>
    <w:semiHidden/>
    <w:unhideWhenUsed/>
    <w:rsid w:val="00E05F9B"/>
    <w:rPr>
      <w:sz w:val="20"/>
      <w:szCs w:val="20"/>
    </w:rPr>
  </w:style>
  <w:style w:type="character" w:customStyle="1" w:styleId="CommentTextChar">
    <w:name w:val="Comment Text Char"/>
    <w:basedOn w:val="DefaultParagraphFont"/>
    <w:link w:val="CommentText"/>
    <w:uiPriority w:val="99"/>
    <w:semiHidden/>
    <w:rsid w:val="00E05F9B"/>
    <w:rPr>
      <w:sz w:val="20"/>
      <w:szCs w:val="20"/>
      <w:lang w:eastAsia="en-US"/>
    </w:rPr>
  </w:style>
  <w:style w:type="paragraph" w:styleId="CommentSubject">
    <w:name w:val="annotation subject"/>
    <w:basedOn w:val="CommentText"/>
    <w:next w:val="CommentText"/>
    <w:link w:val="CommentSubjectChar"/>
    <w:uiPriority w:val="99"/>
    <w:semiHidden/>
    <w:unhideWhenUsed/>
    <w:rsid w:val="00E05F9B"/>
    <w:rPr>
      <w:b/>
      <w:bCs/>
    </w:rPr>
  </w:style>
  <w:style w:type="character" w:customStyle="1" w:styleId="CommentSubjectChar">
    <w:name w:val="Comment Subject Char"/>
    <w:basedOn w:val="CommentTextChar"/>
    <w:link w:val="CommentSubject"/>
    <w:uiPriority w:val="99"/>
    <w:semiHidden/>
    <w:rsid w:val="00E05F9B"/>
    <w:rPr>
      <w:b/>
      <w:bCs/>
      <w:sz w:val="20"/>
      <w:szCs w:val="20"/>
      <w:lang w:eastAsia="en-US"/>
    </w:rPr>
  </w:style>
  <w:style w:type="character" w:customStyle="1" w:styleId="ListParagraphChar">
    <w:name w:val="List Paragraph Char"/>
    <w:basedOn w:val="DefaultParagraphFont"/>
    <w:link w:val="ListParagraph"/>
    <w:uiPriority w:val="34"/>
    <w:locked/>
    <w:rsid w:val="009E41A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3162">
      <w:bodyDiv w:val="1"/>
      <w:marLeft w:val="0"/>
      <w:marRight w:val="0"/>
      <w:marTop w:val="0"/>
      <w:marBottom w:val="0"/>
      <w:divBdr>
        <w:top w:val="none" w:sz="0" w:space="0" w:color="auto"/>
        <w:left w:val="none" w:sz="0" w:space="0" w:color="auto"/>
        <w:bottom w:val="none" w:sz="0" w:space="0" w:color="auto"/>
        <w:right w:val="none" w:sz="0" w:space="0" w:color="auto"/>
      </w:divBdr>
    </w:div>
    <w:div w:id="270474269">
      <w:bodyDiv w:val="1"/>
      <w:marLeft w:val="0"/>
      <w:marRight w:val="0"/>
      <w:marTop w:val="0"/>
      <w:marBottom w:val="0"/>
      <w:divBdr>
        <w:top w:val="none" w:sz="0" w:space="0" w:color="auto"/>
        <w:left w:val="none" w:sz="0" w:space="0" w:color="auto"/>
        <w:bottom w:val="none" w:sz="0" w:space="0" w:color="auto"/>
        <w:right w:val="none" w:sz="0" w:space="0" w:color="auto"/>
      </w:divBdr>
    </w:div>
    <w:div w:id="349916458">
      <w:bodyDiv w:val="1"/>
      <w:marLeft w:val="0"/>
      <w:marRight w:val="0"/>
      <w:marTop w:val="0"/>
      <w:marBottom w:val="0"/>
      <w:divBdr>
        <w:top w:val="none" w:sz="0" w:space="0" w:color="auto"/>
        <w:left w:val="none" w:sz="0" w:space="0" w:color="auto"/>
        <w:bottom w:val="none" w:sz="0" w:space="0" w:color="auto"/>
        <w:right w:val="none" w:sz="0" w:space="0" w:color="auto"/>
      </w:divBdr>
    </w:div>
    <w:div w:id="359287612">
      <w:bodyDiv w:val="1"/>
      <w:marLeft w:val="0"/>
      <w:marRight w:val="0"/>
      <w:marTop w:val="0"/>
      <w:marBottom w:val="0"/>
      <w:divBdr>
        <w:top w:val="none" w:sz="0" w:space="0" w:color="auto"/>
        <w:left w:val="none" w:sz="0" w:space="0" w:color="auto"/>
        <w:bottom w:val="none" w:sz="0" w:space="0" w:color="auto"/>
        <w:right w:val="none" w:sz="0" w:space="0" w:color="auto"/>
      </w:divBdr>
    </w:div>
    <w:div w:id="419717029">
      <w:bodyDiv w:val="1"/>
      <w:marLeft w:val="0"/>
      <w:marRight w:val="0"/>
      <w:marTop w:val="0"/>
      <w:marBottom w:val="0"/>
      <w:divBdr>
        <w:top w:val="none" w:sz="0" w:space="0" w:color="auto"/>
        <w:left w:val="none" w:sz="0" w:space="0" w:color="auto"/>
        <w:bottom w:val="none" w:sz="0" w:space="0" w:color="auto"/>
        <w:right w:val="none" w:sz="0" w:space="0" w:color="auto"/>
      </w:divBdr>
    </w:div>
    <w:div w:id="419913882">
      <w:bodyDiv w:val="1"/>
      <w:marLeft w:val="0"/>
      <w:marRight w:val="0"/>
      <w:marTop w:val="0"/>
      <w:marBottom w:val="0"/>
      <w:divBdr>
        <w:top w:val="none" w:sz="0" w:space="0" w:color="auto"/>
        <w:left w:val="none" w:sz="0" w:space="0" w:color="auto"/>
        <w:bottom w:val="none" w:sz="0" w:space="0" w:color="auto"/>
        <w:right w:val="none" w:sz="0" w:space="0" w:color="auto"/>
      </w:divBdr>
    </w:div>
    <w:div w:id="584416795">
      <w:bodyDiv w:val="1"/>
      <w:marLeft w:val="0"/>
      <w:marRight w:val="0"/>
      <w:marTop w:val="0"/>
      <w:marBottom w:val="0"/>
      <w:divBdr>
        <w:top w:val="none" w:sz="0" w:space="0" w:color="auto"/>
        <w:left w:val="none" w:sz="0" w:space="0" w:color="auto"/>
        <w:bottom w:val="none" w:sz="0" w:space="0" w:color="auto"/>
        <w:right w:val="none" w:sz="0" w:space="0" w:color="auto"/>
      </w:divBdr>
      <w:divsChild>
        <w:div w:id="631859925">
          <w:marLeft w:val="720"/>
          <w:marRight w:val="0"/>
          <w:marTop w:val="0"/>
          <w:marBottom w:val="0"/>
          <w:divBdr>
            <w:top w:val="none" w:sz="0" w:space="0" w:color="auto"/>
            <w:left w:val="none" w:sz="0" w:space="0" w:color="auto"/>
            <w:bottom w:val="none" w:sz="0" w:space="0" w:color="auto"/>
            <w:right w:val="none" w:sz="0" w:space="0" w:color="auto"/>
          </w:divBdr>
        </w:div>
      </w:divsChild>
    </w:div>
    <w:div w:id="629238945">
      <w:bodyDiv w:val="1"/>
      <w:marLeft w:val="0"/>
      <w:marRight w:val="0"/>
      <w:marTop w:val="0"/>
      <w:marBottom w:val="0"/>
      <w:divBdr>
        <w:top w:val="none" w:sz="0" w:space="0" w:color="auto"/>
        <w:left w:val="none" w:sz="0" w:space="0" w:color="auto"/>
        <w:bottom w:val="none" w:sz="0" w:space="0" w:color="auto"/>
        <w:right w:val="none" w:sz="0" w:space="0" w:color="auto"/>
      </w:divBdr>
    </w:div>
    <w:div w:id="696010315">
      <w:bodyDiv w:val="1"/>
      <w:marLeft w:val="0"/>
      <w:marRight w:val="0"/>
      <w:marTop w:val="0"/>
      <w:marBottom w:val="0"/>
      <w:divBdr>
        <w:top w:val="none" w:sz="0" w:space="0" w:color="auto"/>
        <w:left w:val="none" w:sz="0" w:space="0" w:color="auto"/>
        <w:bottom w:val="none" w:sz="0" w:space="0" w:color="auto"/>
        <w:right w:val="none" w:sz="0" w:space="0" w:color="auto"/>
      </w:divBdr>
    </w:div>
    <w:div w:id="710883002">
      <w:bodyDiv w:val="1"/>
      <w:marLeft w:val="0"/>
      <w:marRight w:val="0"/>
      <w:marTop w:val="0"/>
      <w:marBottom w:val="0"/>
      <w:divBdr>
        <w:top w:val="none" w:sz="0" w:space="0" w:color="auto"/>
        <w:left w:val="none" w:sz="0" w:space="0" w:color="auto"/>
        <w:bottom w:val="none" w:sz="0" w:space="0" w:color="auto"/>
        <w:right w:val="none" w:sz="0" w:space="0" w:color="auto"/>
      </w:divBdr>
      <w:divsChild>
        <w:div w:id="1607813967">
          <w:marLeft w:val="0"/>
          <w:marRight w:val="0"/>
          <w:marTop w:val="0"/>
          <w:marBottom w:val="0"/>
          <w:divBdr>
            <w:top w:val="none" w:sz="0" w:space="0" w:color="auto"/>
            <w:left w:val="none" w:sz="0" w:space="0" w:color="auto"/>
            <w:bottom w:val="none" w:sz="0" w:space="0" w:color="auto"/>
            <w:right w:val="none" w:sz="0" w:space="0" w:color="auto"/>
          </w:divBdr>
          <w:divsChild>
            <w:div w:id="861014783">
              <w:marLeft w:val="0"/>
              <w:marRight w:val="0"/>
              <w:marTop w:val="0"/>
              <w:marBottom w:val="0"/>
              <w:divBdr>
                <w:top w:val="none" w:sz="0" w:space="0" w:color="auto"/>
                <w:left w:val="none" w:sz="0" w:space="0" w:color="auto"/>
                <w:bottom w:val="none" w:sz="0" w:space="0" w:color="auto"/>
                <w:right w:val="none" w:sz="0" w:space="0" w:color="auto"/>
              </w:divBdr>
              <w:divsChild>
                <w:div w:id="360055829">
                  <w:marLeft w:val="0"/>
                  <w:marRight w:val="0"/>
                  <w:marTop w:val="0"/>
                  <w:marBottom w:val="0"/>
                  <w:divBdr>
                    <w:top w:val="single" w:sz="6" w:space="0" w:color="6B9060"/>
                    <w:left w:val="single" w:sz="6" w:space="0" w:color="6B9060"/>
                    <w:bottom w:val="single" w:sz="6" w:space="0" w:color="6B9060"/>
                    <w:right w:val="single" w:sz="6" w:space="0" w:color="6B9060"/>
                  </w:divBdr>
                  <w:divsChild>
                    <w:div w:id="25983142">
                      <w:marLeft w:val="300"/>
                      <w:marRight w:val="300"/>
                      <w:marTop w:val="0"/>
                      <w:marBottom w:val="0"/>
                      <w:divBdr>
                        <w:top w:val="none" w:sz="0" w:space="0" w:color="auto"/>
                        <w:left w:val="none" w:sz="0" w:space="0" w:color="auto"/>
                        <w:bottom w:val="none" w:sz="0" w:space="0" w:color="auto"/>
                        <w:right w:val="none" w:sz="0" w:space="0" w:color="auto"/>
                      </w:divBdr>
                      <w:divsChild>
                        <w:div w:id="17935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7839">
      <w:bodyDiv w:val="1"/>
      <w:marLeft w:val="0"/>
      <w:marRight w:val="0"/>
      <w:marTop w:val="0"/>
      <w:marBottom w:val="0"/>
      <w:divBdr>
        <w:top w:val="none" w:sz="0" w:space="0" w:color="auto"/>
        <w:left w:val="none" w:sz="0" w:space="0" w:color="auto"/>
        <w:bottom w:val="none" w:sz="0" w:space="0" w:color="auto"/>
        <w:right w:val="none" w:sz="0" w:space="0" w:color="auto"/>
      </w:divBdr>
    </w:div>
    <w:div w:id="1408764837">
      <w:bodyDiv w:val="1"/>
      <w:marLeft w:val="0"/>
      <w:marRight w:val="0"/>
      <w:marTop w:val="0"/>
      <w:marBottom w:val="0"/>
      <w:divBdr>
        <w:top w:val="none" w:sz="0" w:space="0" w:color="auto"/>
        <w:left w:val="none" w:sz="0" w:space="0" w:color="auto"/>
        <w:bottom w:val="none" w:sz="0" w:space="0" w:color="auto"/>
        <w:right w:val="none" w:sz="0" w:space="0" w:color="auto"/>
      </w:divBdr>
    </w:div>
    <w:div w:id="1485706976">
      <w:bodyDiv w:val="1"/>
      <w:marLeft w:val="0"/>
      <w:marRight w:val="0"/>
      <w:marTop w:val="0"/>
      <w:marBottom w:val="0"/>
      <w:divBdr>
        <w:top w:val="none" w:sz="0" w:space="0" w:color="auto"/>
        <w:left w:val="none" w:sz="0" w:space="0" w:color="auto"/>
        <w:bottom w:val="none" w:sz="0" w:space="0" w:color="auto"/>
        <w:right w:val="none" w:sz="0" w:space="0" w:color="auto"/>
      </w:divBdr>
    </w:div>
    <w:div w:id="1539464222">
      <w:bodyDiv w:val="1"/>
      <w:marLeft w:val="0"/>
      <w:marRight w:val="0"/>
      <w:marTop w:val="0"/>
      <w:marBottom w:val="0"/>
      <w:divBdr>
        <w:top w:val="none" w:sz="0" w:space="0" w:color="auto"/>
        <w:left w:val="none" w:sz="0" w:space="0" w:color="auto"/>
        <w:bottom w:val="none" w:sz="0" w:space="0" w:color="auto"/>
        <w:right w:val="none" w:sz="0" w:space="0" w:color="auto"/>
      </w:divBdr>
    </w:div>
    <w:div w:id="1655253667">
      <w:bodyDiv w:val="1"/>
      <w:marLeft w:val="0"/>
      <w:marRight w:val="0"/>
      <w:marTop w:val="0"/>
      <w:marBottom w:val="0"/>
      <w:divBdr>
        <w:top w:val="none" w:sz="0" w:space="0" w:color="auto"/>
        <w:left w:val="none" w:sz="0" w:space="0" w:color="auto"/>
        <w:bottom w:val="none" w:sz="0" w:space="0" w:color="auto"/>
        <w:right w:val="none" w:sz="0" w:space="0" w:color="auto"/>
      </w:divBdr>
    </w:div>
    <w:div w:id="1696347385">
      <w:bodyDiv w:val="1"/>
      <w:marLeft w:val="0"/>
      <w:marRight w:val="0"/>
      <w:marTop w:val="0"/>
      <w:marBottom w:val="0"/>
      <w:divBdr>
        <w:top w:val="none" w:sz="0" w:space="0" w:color="auto"/>
        <w:left w:val="none" w:sz="0" w:space="0" w:color="auto"/>
        <w:bottom w:val="none" w:sz="0" w:space="0" w:color="auto"/>
        <w:right w:val="none" w:sz="0" w:space="0" w:color="auto"/>
      </w:divBdr>
    </w:div>
    <w:div w:id="1876773663">
      <w:bodyDiv w:val="1"/>
      <w:marLeft w:val="0"/>
      <w:marRight w:val="0"/>
      <w:marTop w:val="0"/>
      <w:marBottom w:val="0"/>
      <w:divBdr>
        <w:top w:val="none" w:sz="0" w:space="0" w:color="auto"/>
        <w:left w:val="none" w:sz="0" w:space="0" w:color="auto"/>
        <w:bottom w:val="none" w:sz="0" w:space="0" w:color="auto"/>
        <w:right w:val="none" w:sz="0" w:space="0" w:color="auto"/>
      </w:divBdr>
    </w:div>
    <w:div w:id="20033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3.jpg@01D530DE.11DFF2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558A2-0ED8-4A16-B678-C5C23FAB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3847</Words>
  <Characters>21160</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 Pervan</dc:creator>
  <cp:lastModifiedBy>Catherine Murray</cp:lastModifiedBy>
  <cp:revision>2</cp:revision>
  <cp:lastPrinted>2020-07-30T00:53:00Z</cp:lastPrinted>
  <dcterms:created xsi:type="dcterms:W3CDTF">2020-09-14T21:14:00Z</dcterms:created>
  <dcterms:modified xsi:type="dcterms:W3CDTF">2020-09-14T21:14:00Z</dcterms:modified>
</cp:coreProperties>
</file>