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216" w:rsidRPr="00023B98" w:rsidRDefault="00425216" w:rsidP="00425216">
      <w:pPr>
        <w:rPr>
          <w:lang w:val="en-AU"/>
        </w:rPr>
      </w:pPr>
      <w:r>
        <w:rPr>
          <w:noProof/>
          <w:lang w:val="en-AU"/>
        </w:rPr>
        <w:drawing>
          <wp:inline distT="0" distB="0" distL="0" distR="0" wp14:anchorId="1119D12D" wp14:editId="267A6F03">
            <wp:extent cx="3105150" cy="916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png"/>
                    <pic:cNvPicPr/>
                  </pic:nvPicPr>
                  <pic:blipFill rotWithShape="1">
                    <a:blip r:embed="rId8" cstate="print">
                      <a:extLst>
                        <a:ext uri="{28A0092B-C50C-407E-A947-70E740481C1C}">
                          <a14:useLocalDpi xmlns:a14="http://schemas.microsoft.com/office/drawing/2010/main" val="0"/>
                        </a:ext>
                      </a:extLst>
                    </a:blip>
                    <a:srcRect l="9094" t="30582" r="7398" b="25603"/>
                    <a:stretch/>
                  </pic:blipFill>
                  <pic:spPr bwMode="auto">
                    <a:xfrm>
                      <a:off x="0" y="0"/>
                      <a:ext cx="3105150" cy="916173"/>
                    </a:xfrm>
                    <a:prstGeom prst="rect">
                      <a:avLst/>
                    </a:prstGeom>
                    <a:ln>
                      <a:noFill/>
                    </a:ln>
                    <a:extLst>
                      <a:ext uri="{53640926-AAD7-44D8-BBD7-CCE9431645EC}">
                        <a14:shadowObscured xmlns:a14="http://schemas.microsoft.com/office/drawing/2010/main"/>
                      </a:ext>
                    </a:extLst>
                  </pic:spPr>
                </pic:pic>
              </a:graphicData>
            </a:graphic>
          </wp:inline>
        </w:drawing>
      </w:r>
    </w:p>
    <w:p w:rsidR="00425216" w:rsidRDefault="00425216" w:rsidP="00425216">
      <w:pPr>
        <w:pStyle w:val="Heading1"/>
        <w:rPr>
          <w:lang w:val="en-AU"/>
        </w:rPr>
      </w:pPr>
      <w:r>
        <w:rPr>
          <w:lang w:val="en-AU"/>
        </w:rPr>
        <w:t>Terms of Reference – Plain English version</w:t>
      </w:r>
    </w:p>
    <w:p w:rsidR="00425216" w:rsidRDefault="00425216" w:rsidP="00425216">
      <w:pPr>
        <w:rPr>
          <w:b/>
          <w:lang w:val="en-AU"/>
        </w:rPr>
      </w:pPr>
    </w:p>
    <w:p w:rsidR="00425216" w:rsidRPr="00425216" w:rsidRDefault="00425216" w:rsidP="00425216">
      <w:pPr>
        <w:rPr>
          <w:rFonts w:cstheme="minorHAnsi"/>
          <w:b/>
          <w:color w:val="000000" w:themeColor="text1"/>
          <w:lang w:val="en-AU"/>
        </w:rPr>
      </w:pPr>
      <w:r w:rsidRPr="00425216">
        <w:rPr>
          <w:rFonts w:cstheme="minorHAnsi"/>
          <w:b/>
          <w:color w:val="000000" w:themeColor="text1"/>
          <w:lang w:val="en-AU"/>
        </w:rPr>
        <w:t>Why the Inquiry was set up</w:t>
      </w:r>
    </w:p>
    <w:p w:rsidR="00E76459" w:rsidRDefault="00E76459" w:rsidP="00425216">
      <w:pPr>
        <w:rPr>
          <w:rFonts w:cstheme="minorHAnsi"/>
          <w:color w:val="000000" w:themeColor="text1"/>
          <w:lang w:val="en-AU"/>
        </w:rPr>
      </w:pPr>
    </w:p>
    <w:p w:rsidR="00425216" w:rsidRPr="00425216" w:rsidRDefault="00425216" w:rsidP="00425216">
      <w:pPr>
        <w:rPr>
          <w:rFonts w:cstheme="minorHAnsi"/>
          <w:color w:val="000000" w:themeColor="text1"/>
          <w:lang w:val="en-AU"/>
        </w:rPr>
      </w:pPr>
      <w:r w:rsidRPr="00425216">
        <w:rPr>
          <w:rFonts w:cstheme="minorHAnsi"/>
          <w:color w:val="000000" w:themeColor="text1"/>
          <w:lang w:val="en-AU"/>
        </w:rPr>
        <w:t>The Government set up this Inquiry in response to public calls for a broad-based inquiry into abuse and neglect, both in State care and in the care of faith-based institutions.</w:t>
      </w:r>
    </w:p>
    <w:p w:rsidR="00425216" w:rsidRPr="00425216" w:rsidRDefault="00425216" w:rsidP="00425216">
      <w:pPr>
        <w:rPr>
          <w:rFonts w:cstheme="minorHAnsi"/>
          <w:color w:val="000000" w:themeColor="text1"/>
          <w:lang w:val="en-AU"/>
        </w:rPr>
      </w:pPr>
    </w:p>
    <w:p w:rsidR="00425216" w:rsidRPr="00425216" w:rsidRDefault="00425216" w:rsidP="00425216">
      <w:pPr>
        <w:outlineLvl w:val="0"/>
        <w:rPr>
          <w:rFonts w:cstheme="minorHAnsi"/>
          <w:b/>
          <w:color w:val="000000" w:themeColor="text1"/>
          <w:lang w:val="en-AU"/>
        </w:rPr>
      </w:pPr>
      <w:r w:rsidRPr="00425216">
        <w:rPr>
          <w:rFonts w:cstheme="minorHAnsi"/>
          <w:b/>
          <w:color w:val="000000" w:themeColor="text1"/>
          <w:lang w:val="en-AU"/>
        </w:rPr>
        <w:t xml:space="preserve">What we can investigate </w:t>
      </w:r>
    </w:p>
    <w:p w:rsidR="00E76459" w:rsidRDefault="00E76459" w:rsidP="00425216">
      <w:pPr>
        <w:outlineLvl w:val="0"/>
        <w:rPr>
          <w:rFonts w:cstheme="minorHAnsi"/>
          <w:color w:val="000000" w:themeColor="text1"/>
          <w:lang w:val="en-AU"/>
        </w:rPr>
      </w:pPr>
    </w:p>
    <w:p w:rsidR="00425216" w:rsidRPr="00425216" w:rsidRDefault="00425216" w:rsidP="00425216">
      <w:pPr>
        <w:outlineLvl w:val="0"/>
        <w:rPr>
          <w:rFonts w:cstheme="minorHAnsi"/>
          <w:color w:val="000000" w:themeColor="text1"/>
          <w:lang w:val="en-AU"/>
        </w:rPr>
      </w:pPr>
      <w:r w:rsidRPr="00425216">
        <w:rPr>
          <w:rFonts w:cstheme="minorHAnsi"/>
          <w:color w:val="000000" w:themeColor="text1"/>
          <w:lang w:val="en-AU"/>
        </w:rPr>
        <w:t xml:space="preserve">We are investigating the abuse and neglect of children, young people and vulnerable adults who were in the care of the State and faith-based institutions in New Zealand between 1950 and 1999.  We may also consider issues and experiences before </w:t>
      </w:r>
      <w:r w:rsidRPr="00425216">
        <w:rPr>
          <w:rFonts w:cstheme="minorHAnsi"/>
          <w:color w:val="000000" w:themeColor="text1"/>
          <w:lang w:val="en-AU"/>
        </w:rPr>
        <w:t>1950 and</w:t>
      </w:r>
      <w:r w:rsidRPr="00425216">
        <w:rPr>
          <w:rFonts w:cstheme="minorHAnsi"/>
          <w:color w:val="000000" w:themeColor="text1"/>
          <w:lang w:val="en-AU"/>
        </w:rPr>
        <w:t xml:space="preserve"> hear from people who have been in care since 1999, including people who are still in care now, </w:t>
      </w:r>
      <w:proofErr w:type="gramStart"/>
      <w:r w:rsidRPr="00425216">
        <w:rPr>
          <w:rFonts w:cstheme="minorHAnsi"/>
          <w:color w:val="000000" w:themeColor="text1"/>
          <w:lang w:val="en-AU"/>
        </w:rPr>
        <w:t>in order to</w:t>
      </w:r>
      <w:proofErr w:type="gramEnd"/>
      <w:r w:rsidRPr="00425216">
        <w:rPr>
          <w:rFonts w:cstheme="minorHAnsi"/>
          <w:color w:val="000000" w:themeColor="text1"/>
          <w:lang w:val="en-AU"/>
        </w:rPr>
        <w:t xml:space="preserve"> inform our recommendations for the future. </w:t>
      </w:r>
    </w:p>
    <w:p w:rsidR="00425216" w:rsidRPr="00425216" w:rsidRDefault="00425216" w:rsidP="00425216">
      <w:pPr>
        <w:outlineLvl w:val="0"/>
        <w:rPr>
          <w:rFonts w:cstheme="minorHAnsi"/>
          <w:color w:val="000000" w:themeColor="text1"/>
          <w:lang w:val="en-AU"/>
        </w:rPr>
      </w:pPr>
    </w:p>
    <w:p w:rsidR="00425216" w:rsidRPr="00425216" w:rsidRDefault="00425216" w:rsidP="00425216">
      <w:pPr>
        <w:outlineLvl w:val="0"/>
        <w:rPr>
          <w:rFonts w:cstheme="minorHAnsi"/>
          <w:b/>
          <w:color w:val="000000" w:themeColor="text1"/>
          <w:lang w:val="en-AU"/>
        </w:rPr>
      </w:pPr>
      <w:r w:rsidRPr="00425216">
        <w:rPr>
          <w:rFonts w:cstheme="minorHAnsi"/>
          <w:b/>
          <w:color w:val="000000" w:themeColor="text1"/>
          <w:lang w:val="en-AU"/>
        </w:rPr>
        <w:t xml:space="preserve">What questions we will look at  </w:t>
      </w:r>
    </w:p>
    <w:p w:rsidR="00E76459" w:rsidRDefault="00E76459" w:rsidP="00425216">
      <w:pPr>
        <w:rPr>
          <w:rFonts w:cstheme="minorHAnsi"/>
          <w:color w:val="000000" w:themeColor="text1"/>
          <w:lang w:val="en-AU"/>
        </w:rPr>
      </w:pPr>
    </w:p>
    <w:p w:rsidR="00425216" w:rsidRPr="00425216" w:rsidRDefault="00425216" w:rsidP="00425216">
      <w:pPr>
        <w:rPr>
          <w:rFonts w:cstheme="minorHAnsi"/>
          <w:color w:val="000000" w:themeColor="text1"/>
          <w:lang w:val="en-AU"/>
        </w:rPr>
      </w:pPr>
      <w:r w:rsidRPr="00425216">
        <w:rPr>
          <w:rFonts w:cstheme="minorHAnsi"/>
          <w:color w:val="000000" w:themeColor="text1"/>
          <w:lang w:val="en-AU"/>
        </w:rPr>
        <w:t>These include:</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Why people were taken into care</w:t>
      </w:r>
      <w:r w:rsidRPr="00425216">
        <w:rPr>
          <w:rFonts w:cstheme="minorHAnsi"/>
          <w:color w:val="000000" w:themeColor="text1"/>
          <w:lang w:val="en-AU"/>
        </w:rPr>
        <w:t xml:space="preserve"> – including if there was bias, discrimination or bad decision-making by agencies.  </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What abuse and neglect occurred</w:t>
      </w:r>
      <w:r w:rsidRPr="00425216">
        <w:rPr>
          <w:rFonts w:cstheme="minorHAnsi"/>
          <w:color w:val="000000" w:themeColor="text1"/>
          <w:lang w:val="en-AU"/>
        </w:rPr>
        <w:t xml:space="preserve"> - what took place and to what extent?</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Why it happened</w:t>
      </w:r>
      <w:r w:rsidRPr="00425216">
        <w:rPr>
          <w:rFonts w:cstheme="minorHAnsi"/>
          <w:color w:val="000000" w:themeColor="text1"/>
          <w:lang w:val="en-AU"/>
        </w:rPr>
        <w:t xml:space="preserve"> – what made it possible for abuse and </w:t>
      </w:r>
      <w:r w:rsidRPr="00425216">
        <w:rPr>
          <w:rFonts w:cstheme="minorHAnsi"/>
          <w:color w:val="000000" w:themeColor="text1"/>
        </w:rPr>
        <w:t>neglect</w:t>
      </w:r>
      <w:r w:rsidRPr="00425216">
        <w:rPr>
          <w:rFonts w:cstheme="minorHAnsi"/>
          <w:color w:val="000000" w:themeColor="text1"/>
          <w:lang w:val="en-AU"/>
        </w:rPr>
        <w:t xml:space="preserve"> to happen to people?  </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What effects this had</w:t>
      </w:r>
      <w:r w:rsidRPr="00425216">
        <w:rPr>
          <w:rFonts w:cstheme="minorHAnsi"/>
          <w:color w:val="000000" w:themeColor="text1"/>
          <w:lang w:val="en-AU"/>
        </w:rPr>
        <w:t xml:space="preserve"> – on the person abused, their family/</w:t>
      </w:r>
      <w:proofErr w:type="spellStart"/>
      <w:r w:rsidRPr="00425216">
        <w:rPr>
          <w:rFonts w:cstheme="minorHAnsi"/>
          <w:color w:val="000000" w:themeColor="text1"/>
          <w:lang w:val="en-AU"/>
        </w:rPr>
        <w:t>whānau</w:t>
      </w:r>
      <w:proofErr w:type="spellEnd"/>
      <w:r w:rsidRPr="00425216">
        <w:rPr>
          <w:rFonts w:cstheme="minorHAnsi"/>
          <w:color w:val="000000" w:themeColor="text1"/>
          <w:lang w:val="en-AU"/>
        </w:rPr>
        <w:t xml:space="preserve"> and others.  This includes long-term effects and effects on future generations. </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What was learned</w:t>
      </w:r>
      <w:r w:rsidRPr="00425216">
        <w:rPr>
          <w:rFonts w:cstheme="minorHAnsi"/>
          <w:color w:val="000000" w:themeColor="text1"/>
          <w:lang w:val="en-AU"/>
        </w:rPr>
        <w:t xml:space="preserve"> – what changes were made over the years in response to abuse and neglect, including to laws, rules, and efforts to monitor places where care is provided?</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 xml:space="preserve">How well the </w:t>
      </w:r>
      <w:r w:rsidRPr="00425216">
        <w:rPr>
          <w:rFonts w:cstheme="minorHAnsi"/>
          <w:color w:val="000000" w:themeColor="text1"/>
          <w:lang w:val="en-AU"/>
        </w:rPr>
        <w:t>redress and rehabilitation processes are working and can be improved.</w:t>
      </w:r>
    </w:p>
    <w:p w:rsidR="00425216" w:rsidRPr="00425216" w:rsidRDefault="00425216" w:rsidP="00425216">
      <w:pPr>
        <w:pStyle w:val="ListParagraph"/>
        <w:numPr>
          <w:ilvl w:val="0"/>
          <w:numId w:val="25"/>
        </w:numPr>
        <w:spacing w:before="0" w:after="0"/>
        <w:contextualSpacing/>
        <w:rPr>
          <w:rFonts w:cstheme="minorHAnsi"/>
          <w:color w:val="000000" w:themeColor="text1"/>
          <w:lang w:val="en-AU"/>
        </w:rPr>
      </w:pPr>
      <w:r w:rsidRPr="00425216">
        <w:rPr>
          <w:rFonts w:cstheme="minorHAnsi"/>
          <w:i/>
          <w:color w:val="000000" w:themeColor="text1"/>
          <w:lang w:val="en-AU"/>
        </w:rPr>
        <w:t>How things can be done better</w:t>
      </w:r>
      <w:r w:rsidRPr="00425216">
        <w:rPr>
          <w:rFonts w:cstheme="minorHAnsi"/>
          <w:color w:val="000000" w:themeColor="text1"/>
          <w:lang w:val="en-AU"/>
        </w:rPr>
        <w:t xml:space="preserve"> in the future </w:t>
      </w:r>
      <w:r w:rsidRPr="00425216">
        <w:rPr>
          <w:rFonts w:cstheme="minorHAnsi"/>
          <w:iCs/>
          <w:color w:val="000000" w:themeColor="text1"/>
          <w:lang w:val="en-AU"/>
        </w:rPr>
        <w:t>to avoid the mistakes that allowed historical abuse to occur</w:t>
      </w:r>
      <w:r w:rsidRPr="00425216">
        <w:rPr>
          <w:rFonts w:cstheme="minorHAnsi"/>
          <w:color w:val="000000" w:themeColor="text1"/>
          <w:lang w:val="en-AU"/>
        </w:rPr>
        <w:t>.</w:t>
      </w:r>
    </w:p>
    <w:p w:rsidR="00425216" w:rsidRPr="00425216" w:rsidRDefault="00425216" w:rsidP="00425216">
      <w:pPr>
        <w:rPr>
          <w:rFonts w:cstheme="minorHAnsi"/>
          <w:b/>
          <w:color w:val="000000" w:themeColor="text1"/>
          <w:lang w:val="en-AU"/>
        </w:rPr>
      </w:pPr>
    </w:p>
    <w:p w:rsidR="00425216" w:rsidRPr="00425216" w:rsidRDefault="00425216" w:rsidP="00425216">
      <w:pPr>
        <w:rPr>
          <w:rFonts w:cstheme="minorHAnsi"/>
          <w:b/>
          <w:color w:val="000000" w:themeColor="text1"/>
          <w:lang w:val="en-US"/>
        </w:rPr>
      </w:pPr>
      <w:r w:rsidRPr="00425216">
        <w:rPr>
          <w:rFonts w:cstheme="minorHAnsi"/>
          <w:b/>
          <w:color w:val="000000" w:themeColor="text1"/>
          <w:lang w:val="en-US"/>
        </w:rPr>
        <w:t>How we work</w:t>
      </w:r>
    </w:p>
    <w:p w:rsidR="00E76459" w:rsidRDefault="00E76459" w:rsidP="00425216">
      <w:pPr>
        <w:rPr>
          <w:rFonts w:cstheme="minorHAnsi"/>
          <w:color w:val="000000" w:themeColor="text1"/>
          <w:lang w:val="en-US"/>
        </w:rPr>
      </w:pPr>
    </w:p>
    <w:p w:rsidR="00425216" w:rsidRPr="00425216" w:rsidRDefault="00425216" w:rsidP="00425216">
      <w:pPr>
        <w:rPr>
          <w:rFonts w:cstheme="minorHAnsi"/>
          <w:color w:val="000000" w:themeColor="text1"/>
          <w:lang w:val="en-US"/>
        </w:rPr>
      </w:pPr>
      <w:r w:rsidRPr="00425216">
        <w:rPr>
          <w:rFonts w:cstheme="minorHAnsi"/>
          <w:color w:val="000000" w:themeColor="text1"/>
          <w:lang w:val="en-US"/>
        </w:rPr>
        <w:t>We receive information in many ways: by listening to people, holding public hearings, receiving submissions in writing and by obtaining documents and records. We also conduct research. We have powers to require people and institutions, including Government agencies, to give us information and documents.</w:t>
      </w:r>
    </w:p>
    <w:p w:rsidR="00425216" w:rsidRPr="00425216" w:rsidRDefault="00425216" w:rsidP="00425216">
      <w:pPr>
        <w:rPr>
          <w:rFonts w:cstheme="minorHAnsi"/>
          <w:color w:val="000000" w:themeColor="text1"/>
          <w:lang w:val="en-US"/>
        </w:rPr>
      </w:pPr>
    </w:p>
    <w:p w:rsidR="00E76459" w:rsidRDefault="00E76459" w:rsidP="00425216">
      <w:pPr>
        <w:keepNext/>
        <w:outlineLvl w:val="0"/>
        <w:rPr>
          <w:rFonts w:cstheme="minorHAnsi"/>
          <w:b/>
          <w:color w:val="000000" w:themeColor="text1"/>
          <w:lang w:val="en-AU"/>
        </w:rPr>
      </w:pPr>
    </w:p>
    <w:p w:rsidR="00E76459" w:rsidRDefault="00E76459" w:rsidP="00425216">
      <w:pPr>
        <w:keepNext/>
        <w:outlineLvl w:val="0"/>
        <w:rPr>
          <w:rFonts w:cstheme="minorHAnsi"/>
          <w:b/>
          <w:color w:val="000000" w:themeColor="text1"/>
          <w:lang w:val="en-AU"/>
        </w:rPr>
      </w:pPr>
    </w:p>
    <w:p w:rsidR="00425216" w:rsidRPr="00425216" w:rsidRDefault="00425216" w:rsidP="00425216">
      <w:pPr>
        <w:keepNext/>
        <w:outlineLvl w:val="0"/>
        <w:rPr>
          <w:rFonts w:cstheme="minorHAnsi"/>
          <w:b/>
          <w:color w:val="000000" w:themeColor="text1"/>
          <w:lang w:val="en-AU"/>
        </w:rPr>
      </w:pPr>
      <w:r w:rsidRPr="00425216">
        <w:rPr>
          <w:rFonts w:cstheme="minorHAnsi"/>
          <w:b/>
          <w:color w:val="000000" w:themeColor="text1"/>
          <w:lang w:val="en-AU"/>
        </w:rPr>
        <w:t xml:space="preserve">How we hear from people  </w:t>
      </w:r>
    </w:p>
    <w:p w:rsidR="00E76459" w:rsidRDefault="00E76459" w:rsidP="00425216">
      <w:pPr>
        <w:rPr>
          <w:rFonts w:cstheme="minorHAnsi"/>
          <w:color w:val="000000" w:themeColor="text1"/>
        </w:rPr>
      </w:pPr>
    </w:p>
    <w:p w:rsidR="00425216" w:rsidRPr="00425216" w:rsidRDefault="00425216" w:rsidP="00425216">
      <w:pPr>
        <w:rPr>
          <w:rFonts w:cstheme="minorHAnsi"/>
          <w:color w:val="000000" w:themeColor="text1"/>
        </w:rPr>
      </w:pPr>
      <w:r w:rsidRPr="00425216">
        <w:rPr>
          <w:rFonts w:cstheme="minorHAnsi"/>
          <w:color w:val="000000" w:themeColor="text1"/>
        </w:rPr>
        <w:t>We have several ways to hear from people:</w:t>
      </w:r>
    </w:p>
    <w:p w:rsidR="00425216" w:rsidRPr="00425216" w:rsidRDefault="00425216" w:rsidP="00425216">
      <w:pPr>
        <w:pStyle w:val="ListParagraph"/>
        <w:numPr>
          <w:ilvl w:val="0"/>
          <w:numId w:val="27"/>
        </w:numPr>
        <w:rPr>
          <w:rFonts w:cstheme="minorHAnsi"/>
          <w:color w:val="000000" w:themeColor="text1"/>
        </w:rPr>
      </w:pPr>
      <w:r w:rsidRPr="00425216">
        <w:rPr>
          <w:rFonts w:cstheme="minorHAnsi"/>
          <w:color w:val="000000" w:themeColor="text1"/>
        </w:rPr>
        <w:t xml:space="preserve">in private sessions; </w:t>
      </w:r>
    </w:p>
    <w:p w:rsidR="00425216" w:rsidRPr="00425216" w:rsidRDefault="00425216" w:rsidP="00425216">
      <w:pPr>
        <w:pStyle w:val="ListParagraph"/>
        <w:numPr>
          <w:ilvl w:val="0"/>
          <w:numId w:val="27"/>
        </w:numPr>
        <w:rPr>
          <w:rFonts w:cstheme="minorHAnsi"/>
          <w:color w:val="000000" w:themeColor="text1"/>
        </w:rPr>
      </w:pPr>
      <w:r w:rsidRPr="00425216">
        <w:rPr>
          <w:rFonts w:cstheme="minorHAnsi"/>
          <w:color w:val="000000" w:themeColor="text1"/>
        </w:rPr>
        <w:t>in public hearings;</w:t>
      </w:r>
    </w:p>
    <w:p w:rsidR="00425216" w:rsidRPr="00425216" w:rsidRDefault="00425216" w:rsidP="00425216">
      <w:pPr>
        <w:pStyle w:val="ListParagraph"/>
        <w:numPr>
          <w:ilvl w:val="0"/>
          <w:numId w:val="27"/>
        </w:numPr>
        <w:rPr>
          <w:rFonts w:cstheme="minorHAnsi"/>
          <w:color w:val="000000" w:themeColor="text1"/>
        </w:rPr>
      </w:pPr>
      <w:r w:rsidRPr="00425216">
        <w:rPr>
          <w:rFonts w:cstheme="minorHAnsi"/>
          <w:color w:val="000000" w:themeColor="text1"/>
        </w:rPr>
        <w:t>in round table discussions;</w:t>
      </w:r>
    </w:p>
    <w:p w:rsidR="00425216" w:rsidRPr="00425216" w:rsidRDefault="00425216" w:rsidP="00425216">
      <w:pPr>
        <w:pStyle w:val="ListParagraph"/>
        <w:numPr>
          <w:ilvl w:val="0"/>
          <w:numId w:val="27"/>
        </w:numPr>
        <w:rPr>
          <w:rFonts w:cstheme="minorHAnsi"/>
          <w:color w:val="000000" w:themeColor="text1"/>
        </w:rPr>
      </w:pPr>
      <w:r w:rsidRPr="00425216">
        <w:rPr>
          <w:rFonts w:cstheme="minorHAnsi"/>
          <w:color w:val="000000" w:themeColor="text1"/>
        </w:rPr>
        <w:t>by submissions.</w:t>
      </w:r>
    </w:p>
    <w:p w:rsidR="00425216" w:rsidRPr="00425216" w:rsidRDefault="00425216" w:rsidP="00425216">
      <w:pPr>
        <w:rPr>
          <w:rFonts w:cstheme="minorHAnsi"/>
          <w:color w:val="000000" w:themeColor="text1"/>
        </w:rPr>
      </w:pPr>
    </w:p>
    <w:p w:rsidR="00425216" w:rsidRPr="00425216" w:rsidRDefault="00425216" w:rsidP="00425216">
      <w:pPr>
        <w:rPr>
          <w:rFonts w:cstheme="minorHAnsi"/>
          <w:color w:val="000000" w:themeColor="text1"/>
          <w:lang w:val="en-US"/>
        </w:rPr>
      </w:pPr>
      <w:r w:rsidRPr="00425216">
        <w:rPr>
          <w:rFonts w:cstheme="minorHAnsi"/>
          <w:b/>
          <w:color w:val="000000" w:themeColor="text1"/>
          <w:lang w:val="en-US"/>
        </w:rPr>
        <w:t xml:space="preserve">Our principles </w:t>
      </w:r>
    </w:p>
    <w:p w:rsidR="00E76459" w:rsidRDefault="00E76459" w:rsidP="00425216">
      <w:pPr>
        <w:rPr>
          <w:rFonts w:cstheme="minorHAnsi"/>
          <w:color w:val="000000" w:themeColor="text1"/>
          <w:lang w:val="en-US"/>
        </w:rPr>
      </w:pPr>
    </w:p>
    <w:p w:rsidR="00425216" w:rsidRPr="00425216" w:rsidRDefault="00425216" w:rsidP="00425216">
      <w:pPr>
        <w:rPr>
          <w:rFonts w:cstheme="minorHAnsi"/>
          <w:color w:val="000000" w:themeColor="text1"/>
          <w:lang w:val="en-US"/>
        </w:rPr>
      </w:pPr>
      <w:r w:rsidRPr="00425216">
        <w:rPr>
          <w:rFonts w:cstheme="minorHAnsi"/>
          <w:color w:val="000000" w:themeColor="text1"/>
          <w:lang w:val="en-US"/>
        </w:rPr>
        <w:t xml:space="preserve">We </w:t>
      </w:r>
      <w:proofErr w:type="spellStart"/>
      <w:r w:rsidRPr="00425216">
        <w:rPr>
          <w:rFonts w:cstheme="minorHAnsi"/>
          <w:color w:val="000000" w:themeColor="text1"/>
          <w:lang w:val="en-US"/>
        </w:rPr>
        <w:t>recognise</w:t>
      </w:r>
      <w:proofErr w:type="spellEnd"/>
      <w:r w:rsidRPr="00425216">
        <w:rPr>
          <w:rFonts w:cstheme="minorHAnsi"/>
          <w:color w:val="000000" w:themeColor="text1"/>
          <w:lang w:val="en-US"/>
        </w:rPr>
        <w:t xml:space="preserve"> </w:t>
      </w:r>
      <w:proofErr w:type="spellStart"/>
      <w:r w:rsidRPr="00425216">
        <w:rPr>
          <w:rFonts w:cstheme="minorHAnsi"/>
          <w:color w:val="000000" w:themeColor="text1"/>
        </w:rPr>
        <w:t>Te</w:t>
      </w:r>
      <w:proofErr w:type="spellEnd"/>
      <w:r w:rsidRPr="00425216">
        <w:rPr>
          <w:rFonts w:cstheme="minorHAnsi"/>
          <w:color w:val="000000" w:themeColor="text1"/>
        </w:rPr>
        <w:t xml:space="preserve"> </w:t>
      </w:r>
      <w:proofErr w:type="spellStart"/>
      <w:r w:rsidRPr="00425216">
        <w:rPr>
          <w:rFonts w:cstheme="minorHAnsi"/>
          <w:color w:val="000000" w:themeColor="text1"/>
        </w:rPr>
        <w:t>Tiriti</w:t>
      </w:r>
      <w:proofErr w:type="spellEnd"/>
      <w:r w:rsidRPr="00425216">
        <w:rPr>
          <w:rFonts w:cstheme="minorHAnsi"/>
          <w:color w:val="000000" w:themeColor="text1"/>
        </w:rPr>
        <w:t xml:space="preserve"> o Waitangi. We are also guided by</w:t>
      </w:r>
      <w:r w:rsidRPr="00425216">
        <w:rPr>
          <w:rFonts w:cstheme="minorHAnsi"/>
          <w:color w:val="000000" w:themeColor="text1"/>
          <w:lang w:val="en-US"/>
        </w:rPr>
        <w:t xml:space="preserve"> a set of principles including:</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doing no harm;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focusing on victims and survivors;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taking a </w:t>
      </w:r>
      <w:proofErr w:type="spellStart"/>
      <w:r w:rsidRPr="00425216">
        <w:rPr>
          <w:rFonts w:cstheme="minorHAnsi"/>
          <w:color w:val="000000" w:themeColor="text1"/>
          <w:lang w:val="en-US"/>
        </w:rPr>
        <w:t>whānau-centred</w:t>
      </w:r>
      <w:proofErr w:type="spellEnd"/>
      <w:r w:rsidRPr="00425216">
        <w:rPr>
          <w:rFonts w:cstheme="minorHAnsi"/>
          <w:color w:val="000000" w:themeColor="text1"/>
          <w:lang w:val="en-US"/>
        </w:rPr>
        <w:t xml:space="preserve"> view;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working in partnership with iwi and Māori;</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working inclusively with Pacific people;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facilitating the meaningful participation of people with disabilities or mental illness;</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responding to differential impacts on any </w:t>
      </w:r>
      <w:proofErr w:type="gramStart"/>
      <w:r w:rsidRPr="00425216">
        <w:rPr>
          <w:rFonts w:cstheme="minorHAnsi"/>
          <w:color w:val="000000" w:themeColor="text1"/>
          <w:lang w:val="en-US"/>
        </w:rPr>
        <w:t>particular individuals</w:t>
      </w:r>
      <w:proofErr w:type="gramEnd"/>
      <w:r w:rsidRPr="00425216">
        <w:rPr>
          <w:rFonts w:cstheme="minorHAnsi"/>
          <w:color w:val="000000" w:themeColor="text1"/>
          <w:lang w:val="en-US"/>
        </w:rPr>
        <w:t xml:space="preserve"> or groups;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being sensitive to the different types of vulnerability that arise for people in care;</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ensuring fair and reasonable processes for individuals and </w:t>
      </w:r>
      <w:proofErr w:type="spellStart"/>
      <w:r w:rsidRPr="00425216">
        <w:rPr>
          <w:rFonts w:cstheme="minorHAnsi"/>
          <w:color w:val="000000" w:themeColor="text1"/>
          <w:lang w:val="en-US"/>
        </w:rPr>
        <w:t>organisations</w:t>
      </w:r>
      <w:proofErr w:type="spellEnd"/>
      <w:r w:rsidRPr="00425216">
        <w:rPr>
          <w:rFonts w:cstheme="minorHAnsi"/>
          <w:color w:val="000000" w:themeColor="text1"/>
          <w:lang w:val="en-US"/>
        </w:rPr>
        <w:t xml:space="preserve"> associated with providing care; and </w:t>
      </w:r>
    </w:p>
    <w:p w:rsidR="00425216" w:rsidRPr="00425216" w:rsidRDefault="00425216" w:rsidP="00425216">
      <w:pPr>
        <w:pStyle w:val="ListParagraph"/>
        <w:numPr>
          <w:ilvl w:val="0"/>
          <w:numId w:val="28"/>
        </w:numPr>
        <w:rPr>
          <w:rFonts w:cstheme="minorHAnsi"/>
          <w:color w:val="000000" w:themeColor="text1"/>
          <w:lang w:val="en-US"/>
        </w:rPr>
      </w:pPr>
      <w:r w:rsidRPr="00425216">
        <w:rPr>
          <w:rFonts w:cstheme="minorHAnsi"/>
          <w:color w:val="000000" w:themeColor="text1"/>
          <w:lang w:val="en-US"/>
        </w:rPr>
        <w:t xml:space="preserve">avoiding a legalistic approach. </w:t>
      </w:r>
    </w:p>
    <w:p w:rsidR="00425216" w:rsidRPr="00425216" w:rsidRDefault="00425216" w:rsidP="00425216">
      <w:pPr>
        <w:rPr>
          <w:rFonts w:cstheme="minorHAnsi"/>
          <w:color w:val="000000" w:themeColor="text1"/>
          <w:lang w:val="en-AU"/>
        </w:rPr>
      </w:pPr>
    </w:p>
    <w:p w:rsidR="00E76459" w:rsidRDefault="00425216" w:rsidP="00E76459">
      <w:pPr>
        <w:outlineLvl w:val="0"/>
        <w:rPr>
          <w:rFonts w:cstheme="minorHAnsi"/>
          <w:b/>
          <w:color w:val="000000" w:themeColor="text1"/>
          <w:lang w:val="en-AU"/>
        </w:rPr>
      </w:pPr>
      <w:r w:rsidRPr="00425216">
        <w:rPr>
          <w:rFonts w:cstheme="minorHAnsi"/>
          <w:b/>
          <w:color w:val="000000" w:themeColor="text1"/>
          <w:lang w:val="en-AU"/>
        </w:rPr>
        <w:t>Our independence</w:t>
      </w:r>
    </w:p>
    <w:p w:rsidR="00E76459" w:rsidRDefault="00E76459" w:rsidP="00E76459">
      <w:pPr>
        <w:outlineLvl w:val="0"/>
        <w:rPr>
          <w:rFonts w:cstheme="minorHAnsi"/>
          <w:color w:val="000000" w:themeColor="text1"/>
          <w:lang w:val="en-AU"/>
        </w:rPr>
      </w:pPr>
    </w:p>
    <w:p w:rsidR="00425216" w:rsidRPr="00E76459" w:rsidRDefault="00425216" w:rsidP="00E76459">
      <w:pPr>
        <w:outlineLvl w:val="0"/>
        <w:rPr>
          <w:rFonts w:cstheme="minorHAnsi"/>
          <w:b/>
          <w:color w:val="000000" w:themeColor="text1"/>
          <w:lang w:val="en-AU"/>
        </w:rPr>
      </w:pPr>
      <w:r w:rsidRPr="00425216">
        <w:rPr>
          <w:rFonts w:cstheme="minorHAnsi"/>
          <w:color w:val="000000" w:themeColor="text1"/>
          <w:lang w:val="en-AU"/>
        </w:rPr>
        <w:t xml:space="preserve">The Royal Commission is independent of the Government and faith-based institutions. We reach our own conclusions and recommendations in our own way.  </w:t>
      </w:r>
    </w:p>
    <w:p w:rsidR="00E76459" w:rsidRDefault="00E76459" w:rsidP="00425216">
      <w:pPr>
        <w:outlineLvl w:val="0"/>
        <w:rPr>
          <w:rFonts w:cstheme="minorHAnsi"/>
          <w:b/>
          <w:color w:val="000000" w:themeColor="text1"/>
          <w:lang w:val="en-AU"/>
        </w:rPr>
      </w:pPr>
    </w:p>
    <w:p w:rsidR="00425216" w:rsidRPr="00425216" w:rsidRDefault="00425216" w:rsidP="00425216">
      <w:pPr>
        <w:outlineLvl w:val="0"/>
        <w:rPr>
          <w:rFonts w:cstheme="minorHAnsi"/>
          <w:b/>
          <w:color w:val="000000" w:themeColor="text1"/>
          <w:lang w:val="en-AU"/>
        </w:rPr>
      </w:pPr>
      <w:r w:rsidRPr="00425216">
        <w:rPr>
          <w:rFonts w:cstheme="minorHAnsi"/>
          <w:b/>
          <w:color w:val="000000" w:themeColor="text1"/>
          <w:lang w:val="en-AU"/>
        </w:rPr>
        <w:t>How we report</w:t>
      </w:r>
    </w:p>
    <w:p w:rsidR="00E76459" w:rsidRDefault="00E76459" w:rsidP="00425216">
      <w:pPr>
        <w:outlineLvl w:val="0"/>
        <w:rPr>
          <w:rFonts w:cstheme="minorHAnsi"/>
          <w:color w:val="000000" w:themeColor="text1"/>
          <w:lang w:val="en-AU"/>
        </w:rPr>
      </w:pPr>
    </w:p>
    <w:p w:rsidR="00425216" w:rsidRPr="00425216" w:rsidRDefault="00425216" w:rsidP="00425216">
      <w:pPr>
        <w:outlineLvl w:val="0"/>
        <w:rPr>
          <w:rFonts w:cstheme="minorHAnsi"/>
          <w:color w:val="000000" w:themeColor="text1"/>
          <w:lang w:val="en-AU"/>
        </w:rPr>
      </w:pPr>
      <w:r w:rsidRPr="00425216">
        <w:rPr>
          <w:rFonts w:cstheme="minorHAnsi"/>
          <w:color w:val="000000" w:themeColor="text1"/>
          <w:lang w:val="en-AU"/>
        </w:rPr>
        <w:t xml:space="preserve">In December 2020 we presented </w:t>
      </w:r>
      <w:hyperlink r:id="rId9" w:history="1">
        <w:proofErr w:type="spellStart"/>
        <w:r w:rsidRPr="00425216">
          <w:rPr>
            <w:rStyle w:val="Hyperlink"/>
            <w:rFonts w:cstheme="minorHAnsi"/>
            <w:color w:val="000000" w:themeColor="text1"/>
            <w:lang w:val="en-AU"/>
          </w:rPr>
          <w:t>Tāwharautia</w:t>
        </w:r>
        <w:proofErr w:type="spellEnd"/>
        <w:r w:rsidRPr="00425216">
          <w:rPr>
            <w:rStyle w:val="Hyperlink"/>
            <w:rFonts w:cstheme="minorHAnsi"/>
            <w:color w:val="000000" w:themeColor="text1"/>
            <w:lang w:val="en-AU"/>
          </w:rPr>
          <w:t xml:space="preserve">: </w:t>
        </w:r>
        <w:proofErr w:type="spellStart"/>
        <w:r w:rsidRPr="00425216">
          <w:rPr>
            <w:rStyle w:val="Hyperlink"/>
            <w:rFonts w:cstheme="minorHAnsi"/>
            <w:color w:val="000000" w:themeColor="text1"/>
            <w:lang w:val="en-AU"/>
          </w:rPr>
          <w:t>Pūrongo</w:t>
        </w:r>
        <w:proofErr w:type="spellEnd"/>
        <w:r w:rsidRPr="00425216">
          <w:rPr>
            <w:rStyle w:val="Hyperlink"/>
            <w:rFonts w:cstheme="minorHAnsi"/>
            <w:color w:val="000000" w:themeColor="text1"/>
            <w:lang w:val="en-AU"/>
          </w:rPr>
          <w:t xml:space="preserve"> o </w:t>
        </w:r>
        <w:proofErr w:type="spellStart"/>
        <w:r w:rsidRPr="00425216">
          <w:rPr>
            <w:rStyle w:val="Hyperlink"/>
            <w:rFonts w:cstheme="minorHAnsi"/>
            <w:color w:val="000000" w:themeColor="text1"/>
            <w:lang w:val="en-AU"/>
          </w:rPr>
          <w:t>te</w:t>
        </w:r>
        <w:proofErr w:type="spellEnd"/>
        <w:r w:rsidRPr="00425216">
          <w:rPr>
            <w:rStyle w:val="Hyperlink"/>
            <w:rFonts w:cstheme="minorHAnsi"/>
            <w:color w:val="000000" w:themeColor="text1"/>
            <w:lang w:val="en-AU"/>
          </w:rPr>
          <w:t xml:space="preserve"> </w:t>
        </w:r>
        <w:proofErr w:type="spellStart"/>
        <w:r w:rsidRPr="00425216">
          <w:rPr>
            <w:rStyle w:val="Hyperlink"/>
            <w:rFonts w:cstheme="minorHAnsi"/>
            <w:color w:val="000000" w:themeColor="text1"/>
            <w:lang w:val="en-AU"/>
          </w:rPr>
          <w:t>Wā</w:t>
        </w:r>
        <w:proofErr w:type="spellEnd"/>
      </w:hyperlink>
      <w:r w:rsidRPr="00425216">
        <w:rPr>
          <w:rFonts w:cstheme="minorHAnsi"/>
          <w:color w:val="000000" w:themeColor="text1"/>
          <w:lang w:val="en-AU"/>
        </w:rPr>
        <w:t xml:space="preserve">, our interim report.  It covered the main themes uncovered in our work until then, the way we are working, survivor voices, and the work ahead in the next phase of the inquiry.  </w:t>
      </w:r>
    </w:p>
    <w:p w:rsidR="00425216" w:rsidRPr="00425216" w:rsidRDefault="00425216" w:rsidP="00425216">
      <w:pPr>
        <w:outlineLvl w:val="0"/>
        <w:rPr>
          <w:rFonts w:cstheme="minorHAnsi"/>
          <w:color w:val="000000" w:themeColor="text1"/>
          <w:lang w:val="en-AU"/>
        </w:rPr>
      </w:pPr>
    </w:p>
    <w:p w:rsidR="00425216" w:rsidRPr="00425216" w:rsidRDefault="00425216" w:rsidP="00425216">
      <w:pPr>
        <w:outlineLvl w:val="0"/>
        <w:rPr>
          <w:rFonts w:cstheme="minorHAnsi"/>
          <w:color w:val="000000" w:themeColor="text1"/>
          <w:lang w:val="en-AU"/>
        </w:rPr>
      </w:pPr>
      <w:r w:rsidRPr="00425216">
        <w:rPr>
          <w:rFonts w:cstheme="minorHAnsi"/>
          <w:color w:val="000000" w:themeColor="text1"/>
          <w:lang w:val="en-AU"/>
        </w:rPr>
        <w:t>We will also prepare at least two more reports.</w:t>
      </w:r>
    </w:p>
    <w:p w:rsidR="00425216" w:rsidRPr="00425216" w:rsidRDefault="00425216" w:rsidP="00425216">
      <w:pPr>
        <w:outlineLvl w:val="0"/>
        <w:rPr>
          <w:rFonts w:cstheme="minorHAnsi"/>
          <w:color w:val="000000" w:themeColor="text1"/>
          <w:lang w:val="en-AU"/>
        </w:rPr>
      </w:pPr>
    </w:p>
    <w:p w:rsidR="00425216" w:rsidRPr="00425216" w:rsidRDefault="00425216" w:rsidP="00425216">
      <w:pPr>
        <w:pStyle w:val="ListParagraph"/>
        <w:numPr>
          <w:ilvl w:val="0"/>
          <w:numId w:val="29"/>
        </w:numPr>
        <w:spacing w:before="0" w:after="0"/>
        <w:contextualSpacing/>
        <w:outlineLvl w:val="0"/>
        <w:rPr>
          <w:rFonts w:cstheme="minorHAnsi"/>
          <w:color w:val="000000" w:themeColor="text1"/>
          <w:lang w:val="en-AU"/>
        </w:rPr>
      </w:pPr>
      <w:r w:rsidRPr="00425216">
        <w:rPr>
          <w:rFonts w:cstheme="minorHAnsi"/>
          <w:b/>
          <w:color w:val="000000" w:themeColor="text1"/>
          <w:lang w:val="en-AU"/>
        </w:rPr>
        <w:t>By December 2021 we will provide an interim report on redress</w:t>
      </w:r>
      <w:r w:rsidRPr="00425216">
        <w:rPr>
          <w:rFonts w:cstheme="minorHAnsi"/>
          <w:color w:val="000000" w:themeColor="text1"/>
          <w:lang w:val="en-AU"/>
        </w:rPr>
        <w:t xml:space="preserve">. This will include recommendations for the provision of </w:t>
      </w:r>
      <w:r w:rsidRPr="00425216">
        <w:rPr>
          <w:rFonts w:cstheme="minorHAnsi"/>
          <w:color w:val="000000" w:themeColor="text1"/>
          <w:sz w:val="23"/>
        </w:rPr>
        <w:t>redress for people</w:t>
      </w:r>
      <w:r w:rsidRPr="00425216">
        <w:rPr>
          <w:rFonts w:cstheme="minorHAnsi"/>
          <w:color w:val="000000" w:themeColor="text1"/>
          <w:spacing w:val="1"/>
          <w:sz w:val="23"/>
        </w:rPr>
        <w:t xml:space="preserve"> </w:t>
      </w:r>
      <w:r w:rsidRPr="00425216">
        <w:rPr>
          <w:rFonts w:cstheme="minorHAnsi"/>
          <w:color w:val="000000" w:themeColor="text1"/>
          <w:sz w:val="23"/>
        </w:rPr>
        <w:t>who have suffered abuse in care of State or faith-based institutions.</w:t>
      </w:r>
    </w:p>
    <w:p w:rsidR="00425216" w:rsidRPr="00425216" w:rsidRDefault="00425216" w:rsidP="00425216">
      <w:pPr>
        <w:pStyle w:val="ListParagraph"/>
        <w:numPr>
          <w:ilvl w:val="0"/>
          <w:numId w:val="29"/>
        </w:numPr>
        <w:spacing w:before="0" w:after="0"/>
        <w:contextualSpacing/>
        <w:outlineLvl w:val="0"/>
        <w:rPr>
          <w:rFonts w:cstheme="minorHAnsi"/>
          <w:color w:val="000000" w:themeColor="text1"/>
          <w:lang w:val="en-AU"/>
        </w:rPr>
      </w:pPr>
      <w:r w:rsidRPr="00425216">
        <w:rPr>
          <w:rFonts w:cstheme="minorHAnsi"/>
          <w:b/>
          <w:color w:val="000000" w:themeColor="text1"/>
          <w:lang w:val="en-AU"/>
        </w:rPr>
        <w:t>By June 2023 we will provide our final report.</w:t>
      </w:r>
      <w:r w:rsidRPr="00425216">
        <w:rPr>
          <w:rFonts w:cstheme="minorHAnsi"/>
          <w:color w:val="000000" w:themeColor="text1"/>
          <w:lang w:val="en-AU"/>
        </w:rPr>
        <w:t xml:space="preserve">  We will report on what we found out about the nature of the abuse, the extent of it, what impact it had on people, what has improved, and what may still need to be done.  </w:t>
      </w:r>
    </w:p>
    <w:p w:rsidR="00425216" w:rsidRPr="00425216" w:rsidRDefault="00425216" w:rsidP="00425216">
      <w:pPr>
        <w:outlineLvl w:val="0"/>
        <w:rPr>
          <w:rFonts w:cstheme="minorHAnsi"/>
          <w:color w:val="000000" w:themeColor="text1"/>
          <w:lang w:val="en-AU"/>
        </w:rPr>
      </w:pPr>
    </w:p>
    <w:p w:rsidR="00425216" w:rsidRPr="00425216" w:rsidRDefault="00425216" w:rsidP="00425216">
      <w:pPr>
        <w:outlineLvl w:val="0"/>
        <w:rPr>
          <w:rFonts w:cstheme="minorHAnsi"/>
          <w:color w:val="000000" w:themeColor="text1"/>
          <w:lang w:val="en-AU"/>
        </w:rPr>
      </w:pPr>
      <w:r w:rsidRPr="00425216">
        <w:rPr>
          <w:rFonts w:cstheme="minorHAnsi"/>
          <w:color w:val="000000" w:themeColor="text1"/>
          <w:lang w:val="en-AU"/>
        </w:rPr>
        <w:t xml:space="preserve">We will make recommendations to the Government and faith-based institutions about: </w:t>
      </w:r>
    </w:p>
    <w:p w:rsidR="00425216" w:rsidRPr="00425216" w:rsidRDefault="00425216" w:rsidP="00425216">
      <w:pPr>
        <w:pStyle w:val="ListParagraph"/>
        <w:numPr>
          <w:ilvl w:val="0"/>
          <w:numId w:val="0"/>
        </w:numPr>
        <w:spacing w:before="0" w:after="0"/>
        <w:ind w:left="720"/>
        <w:contextualSpacing/>
        <w:outlineLvl w:val="0"/>
        <w:rPr>
          <w:rFonts w:cstheme="minorHAnsi"/>
          <w:color w:val="000000" w:themeColor="text1"/>
          <w:lang w:val="en-AU"/>
        </w:rPr>
      </w:pPr>
    </w:p>
    <w:p w:rsidR="00425216" w:rsidRPr="00425216" w:rsidRDefault="00425216" w:rsidP="00425216">
      <w:pPr>
        <w:pStyle w:val="ListParagraph"/>
        <w:numPr>
          <w:ilvl w:val="0"/>
          <w:numId w:val="26"/>
        </w:numPr>
        <w:spacing w:before="0" w:after="0"/>
        <w:contextualSpacing/>
        <w:outlineLvl w:val="0"/>
        <w:rPr>
          <w:rFonts w:cstheme="minorHAnsi"/>
          <w:color w:val="000000" w:themeColor="text1"/>
          <w:lang w:val="en-AU"/>
        </w:rPr>
      </w:pPr>
      <w:r w:rsidRPr="00425216">
        <w:rPr>
          <w:rFonts w:cstheme="minorHAnsi"/>
          <w:color w:val="000000" w:themeColor="text1"/>
          <w:lang w:val="en-AU"/>
        </w:rPr>
        <w:t xml:space="preserve">what needs to change to ensure that the factors that allowed abuse and neglect to occur historically do not continue; </w:t>
      </w:r>
    </w:p>
    <w:p w:rsidR="00425216" w:rsidRPr="00425216" w:rsidRDefault="00425216" w:rsidP="00425216">
      <w:pPr>
        <w:pStyle w:val="ListParagraph"/>
        <w:numPr>
          <w:ilvl w:val="0"/>
          <w:numId w:val="26"/>
        </w:numPr>
        <w:spacing w:before="0" w:after="0"/>
        <w:contextualSpacing/>
        <w:outlineLvl w:val="0"/>
        <w:rPr>
          <w:rFonts w:cstheme="minorHAnsi"/>
          <w:color w:val="000000" w:themeColor="text1"/>
          <w:lang w:val="en-AU"/>
        </w:rPr>
      </w:pPr>
      <w:r w:rsidRPr="00425216">
        <w:rPr>
          <w:rFonts w:cstheme="minorHAnsi"/>
          <w:color w:val="000000" w:themeColor="text1"/>
          <w:lang w:val="en-AU"/>
        </w:rPr>
        <w:t xml:space="preserve">what needs to be done to support people who have been abused or neglected (redress, rehabilitation and compensation processes); </w:t>
      </w:r>
    </w:p>
    <w:p w:rsidR="00425216" w:rsidRPr="00425216" w:rsidRDefault="00425216" w:rsidP="00425216">
      <w:pPr>
        <w:pStyle w:val="ListParagraph"/>
        <w:numPr>
          <w:ilvl w:val="0"/>
          <w:numId w:val="26"/>
        </w:numPr>
        <w:spacing w:before="0" w:after="0"/>
        <w:contextualSpacing/>
        <w:outlineLvl w:val="0"/>
        <w:rPr>
          <w:rFonts w:cstheme="minorHAnsi"/>
          <w:color w:val="000000" w:themeColor="text1"/>
          <w:lang w:val="en-AU"/>
        </w:rPr>
      </w:pPr>
      <w:r w:rsidRPr="00425216">
        <w:rPr>
          <w:rFonts w:cstheme="minorHAnsi"/>
          <w:color w:val="000000" w:themeColor="text1"/>
          <w:lang w:val="en-AU"/>
        </w:rPr>
        <w:t>how to address the harm caused; and</w:t>
      </w:r>
    </w:p>
    <w:p w:rsidR="00425216" w:rsidRPr="00425216" w:rsidRDefault="00425216" w:rsidP="00425216">
      <w:pPr>
        <w:pStyle w:val="ListParagraph"/>
        <w:numPr>
          <w:ilvl w:val="0"/>
          <w:numId w:val="26"/>
        </w:numPr>
        <w:spacing w:before="0" w:after="0"/>
        <w:contextualSpacing/>
        <w:outlineLvl w:val="0"/>
        <w:rPr>
          <w:rFonts w:cstheme="minorHAnsi"/>
          <w:color w:val="000000" w:themeColor="text1"/>
          <w:lang w:val="en-AU"/>
        </w:rPr>
      </w:pPr>
      <w:r w:rsidRPr="00425216">
        <w:rPr>
          <w:rFonts w:cstheme="minorHAnsi"/>
          <w:color w:val="000000" w:themeColor="text1"/>
          <w:lang w:val="en-AU"/>
        </w:rPr>
        <w:t>what actions the government and faith-based institutions will need to undertake to apologise for the harm caused.</w:t>
      </w:r>
    </w:p>
    <w:p w:rsidR="00E76459" w:rsidRDefault="00E76459" w:rsidP="00425216">
      <w:pPr>
        <w:outlineLvl w:val="0"/>
        <w:rPr>
          <w:rFonts w:cstheme="minorHAnsi"/>
          <w:color w:val="000000" w:themeColor="text1"/>
          <w:lang w:val="en-AU"/>
        </w:rPr>
      </w:pPr>
    </w:p>
    <w:p w:rsidR="00E76459" w:rsidRDefault="00425216" w:rsidP="00E76459">
      <w:pPr>
        <w:outlineLvl w:val="0"/>
        <w:rPr>
          <w:rFonts w:cstheme="minorHAnsi"/>
          <w:b/>
          <w:color w:val="000000" w:themeColor="text1"/>
          <w:lang w:val="en-AU"/>
        </w:rPr>
      </w:pPr>
      <w:r w:rsidRPr="00425216">
        <w:rPr>
          <w:rFonts w:cstheme="minorHAnsi"/>
          <w:b/>
          <w:color w:val="000000" w:themeColor="text1"/>
          <w:lang w:val="en-AU"/>
        </w:rPr>
        <w:t>2021 Amendments</w:t>
      </w:r>
    </w:p>
    <w:p w:rsidR="00E76459" w:rsidRPr="00E76459" w:rsidRDefault="00E76459" w:rsidP="00E76459">
      <w:pPr>
        <w:outlineLvl w:val="0"/>
        <w:rPr>
          <w:rFonts w:cstheme="minorHAnsi"/>
          <w:b/>
          <w:color w:val="000000" w:themeColor="text1"/>
          <w:lang w:val="en-AU"/>
        </w:rPr>
      </w:pPr>
      <w:bookmarkStart w:id="0" w:name="_GoBack"/>
      <w:bookmarkEnd w:id="0"/>
    </w:p>
    <w:p w:rsidR="00425216" w:rsidRPr="00425216" w:rsidRDefault="00425216" w:rsidP="00425216">
      <w:pPr>
        <w:shd w:val="clear" w:color="auto" w:fill="FFFFFF"/>
        <w:spacing w:after="100" w:afterAutospacing="1"/>
        <w:rPr>
          <w:rFonts w:eastAsia="Times New Roman" w:cstheme="minorHAnsi"/>
          <w:color w:val="000000" w:themeColor="text1"/>
          <w:lang w:eastAsia="en-NZ"/>
        </w:rPr>
      </w:pPr>
      <w:r w:rsidRPr="00425216">
        <w:rPr>
          <w:rFonts w:eastAsia="Times New Roman" w:cstheme="minorHAnsi"/>
          <w:color w:val="000000" w:themeColor="text1"/>
          <w:lang w:eastAsia="en-NZ"/>
        </w:rPr>
        <w:t>In April 2021 the Government announced they would be making changes to the Terms of Reference, and these changes were finalised in July 2021.</w:t>
      </w:r>
    </w:p>
    <w:p w:rsidR="00425216" w:rsidRPr="00425216" w:rsidRDefault="00425216" w:rsidP="00425216">
      <w:pPr>
        <w:shd w:val="clear" w:color="auto" w:fill="FFFFFF"/>
        <w:spacing w:after="100" w:afterAutospacing="1"/>
        <w:rPr>
          <w:rFonts w:eastAsia="Times New Roman" w:cstheme="minorHAnsi"/>
          <w:color w:val="000000" w:themeColor="text1"/>
          <w:lang w:eastAsia="en-NZ"/>
        </w:rPr>
      </w:pPr>
      <w:r w:rsidRPr="00425216">
        <w:rPr>
          <w:rFonts w:eastAsia="Times New Roman" w:cstheme="minorHAnsi"/>
          <w:color w:val="000000" w:themeColor="text1"/>
          <w:lang w:eastAsia="en-NZ"/>
        </w:rPr>
        <w:t>The key changes were:</w:t>
      </w:r>
    </w:p>
    <w:p w:rsidR="00425216" w:rsidRPr="00425216" w:rsidRDefault="00425216" w:rsidP="00425216">
      <w:pPr>
        <w:pStyle w:val="ListParagraph"/>
        <w:numPr>
          <w:ilvl w:val="0"/>
          <w:numId w:val="32"/>
        </w:numPr>
      </w:pPr>
      <w:r w:rsidRPr="00425216">
        <w:t>To change our final reporting date from 3 January 2023 to 30 June 2023.</w:t>
      </w:r>
    </w:p>
    <w:p w:rsidR="00425216" w:rsidRPr="00425216" w:rsidRDefault="00425216" w:rsidP="00425216">
      <w:pPr>
        <w:pStyle w:val="ListParagraph"/>
        <w:numPr>
          <w:ilvl w:val="0"/>
          <w:numId w:val="32"/>
        </w:numPr>
      </w:pPr>
      <w:r w:rsidRPr="00425216">
        <w:t>To remove the mandate to examine current frameworks to prevent and respond to abuse in care, including current legislation, policy, rules, standards and practices.</w:t>
      </w:r>
    </w:p>
    <w:p w:rsidR="00425216" w:rsidRPr="00425216" w:rsidRDefault="00425216" w:rsidP="00425216">
      <w:pPr>
        <w:pStyle w:val="ListParagraph"/>
        <w:numPr>
          <w:ilvl w:val="0"/>
          <w:numId w:val="32"/>
        </w:numPr>
      </w:pPr>
      <w:r w:rsidRPr="00425216">
        <w:t xml:space="preserve">To continue the ability to make recommendations on redress, and to ensure that the factors that allowed abuse to occur in care pre-1999 do not persist </w:t>
      </w:r>
    </w:p>
    <w:p w:rsidR="00425216" w:rsidRPr="00425216" w:rsidRDefault="00425216" w:rsidP="00425216">
      <w:pPr>
        <w:pStyle w:val="ListParagraph"/>
        <w:numPr>
          <w:ilvl w:val="0"/>
          <w:numId w:val="32"/>
        </w:numPr>
      </w:pPr>
      <w:r w:rsidRPr="00425216">
        <w:t xml:space="preserve">To continue our ability to hear from survivors about issues and experiences after 1999 for the purposes of making the above recommendations </w:t>
      </w:r>
    </w:p>
    <w:p w:rsidR="00425216" w:rsidRPr="00425216" w:rsidRDefault="00425216" w:rsidP="00425216">
      <w:pPr>
        <w:pStyle w:val="ListParagraph"/>
        <w:numPr>
          <w:ilvl w:val="0"/>
          <w:numId w:val="32"/>
        </w:numPr>
      </w:pPr>
      <w:r w:rsidRPr="00425216">
        <w:t>To have more specific requirements about how the Inquiry must report on its progress to the Minister.</w:t>
      </w:r>
    </w:p>
    <w:p w:rsidR="00425216" w:rsidRDefault="00425216" w:rsidP="00425216">
      <w:pPr>
        <w:outlineLvl w:val="0"/>
        <w:rPr>
          <w:rFonts w:cstheme="minorHAnsi"/>
          <w:color w:val="000000" w:themeColor="text1"/>
          <w:lang w:val="en-AU"/>
        </w:rPr>
      </w:pPr>
    </w:p>
    <w:p w:rsidR="00425216" w:rsidRPr="00425216" w:rsidRDefault="00425216" w:rsidP="00425216">
      <w:pPr>
        <w:outlineLvl w:val="0"/>
        <w:rPr>
          <w:rFonts w:cstheme="minorHAnsi"/>
          <w:color w:val="000000" w:themeColor="text1"/>
          <w:lang w:val="en-AU"/>
        </w:rPr>
      </w:pPr>
      <w:r w:rsidRPr="00425216">
        <w:rPr>
          <w:rFonts w:cstheme="minorHAnsi"/>
          <w:color w:val="000000" w:themeColor="text1"/>
          <w:lang w:val="en-AU"/>
        </w:rPr>
        <w:t>This summary has been updated to reflect the 2021 amendments.</w:t>
      </w:r>
    </w:p>
    <w:p w:rsidR="00425216" w:rsidRDefault="00425216" w:rsidP="00425216">
      <w:pPr>
        <w:outlineLvl w:val="0"/>
        <w:rPr>
          <w:rFonts w:cstheme="minorHAnsi"/>
          <w:b/>
          <w:color w:val="000000" w:themeColor="text1"/>
          <w:lang w:val="en-AU"/>
        </w:rPr>
      </w:pPr>
    </w:p>
    <w:p w:rsidR="00425216" w:rsidRPr="00425216" w:rsidRDefault="00425216" w:rsidP="00425216">
      <w:pPr>
        <w:outlineLvl w:val="0"/>
        <w:rPr>
          <w:rFonts w:cstheme="minorHAnsi"/>
          <w:color w:val="000000" w:themeColor="text1"/>
        </w:rPr>
      </w:pPr>
      <w:r w:rsidRPr="00425216">
        <w:rPr>
          <w:rFonts w:cstheme="minorHAnsi"/>
          <w:b/>
          <w:color w:val="000000" w:themeColor="text1"/>
          <w:lang w:val="en-AU"/>
        </w:rPr>
        <w:t xml:space="preserve">This summary was prepared to help people understand the </w:t>
      </w:r>
      <w:hyperlink r:id="rId10" w:history="1">
        <w:r w:rsidRPr="00425216">
          <w:rPr>
            <w:rStyle w:val="Hyperlink"/>
            <w:rFonts w:cstheme="minorHAnsi"/>
            <w:b/>
            <w:color w:val="000000" w:themeColor="text1"/>
            <w:lang w:val="en-AU"/>
          </w:rPr>
          <w:t>Terms of Reference</w:t>
        </w:r>
      </w:hyperlink>
      <w:r w:rsidRPr="00425216">
        <w:rPr>
          <w:rFonts w:cstheme="minorHAnsi"/>
          <w:b/>
          <w:color w:val="000000" w:themeColor="text1"/>
          <w:lang w:val="en-AU"/>
        </w:rPr>
        <w:t xml:space="preserve">.  It does not replace the full Terms of Reference. </w:t>
      </w:r>
    </w:p>
    <w:p w:rsidR="00425216" w:rsidRPr="00425216" w:rsidRDefault="00425216" w:rsidP="00425216">
      <w:pPr>
        <w:rPr>
          <w:rFonts w:cstheme="minorHAnsi"/>
          <w:color w:val="000000" w:themeColor="text1"/>
        </w:rPr>
      </w:pPr>
    </w:p>
    <w:p w:rsidR="00425216" w:rsidRPr="00425216" w:rsidRDefault="00425216" w:rsidP="00425216">
      <w:pPr>
        <w:rPr>
          <w:rFonts w:cstheme="minorHAnsi"/>
          <w:color w:val="000000" w:themeColor="text1"/>
        </w:rPr>
      </w:pPr>
      <w:r w:rsidRPr="00425216">
        <w:rPr>
          <w:rFonts w:cstheme="minorHAnsi"/>
          <w:color w:val="000000" w:themeColor="text1"/>
        </w:rPr>
        <w:t>Issued on 16 September 2021</w:t>
      </w:r>
      <w:r w:rsidRPr="00425216">
        <w:rPr>
          <w:rFonts w:cstheme="minorHAnsi"/>
          <w:color w:val="000000" w:themeColor="text1"/>
        </w:rPr>
        <w:t xml:space="preserve">.  </w:t>
      </w:r>
    </w:p>
    <w:p w:rsidR="00AE478C" w:rsidRPr="00425216" w:rsidRDefault="00AE478C" w:rsidP="00603635">
      <w:pPr>
        <w:rPr>
          <w:rFonts w:cstheme="minorHAnsi"/>
          <w:color w:val="000000" w:themeColor="text1"/>
        </w:rPr>
      </w:pPr>
    </w:p>
    <w:sectPr w:rsidR="00AE478C" w:rsidRPr="00425216" w:rsidSect="00CF4BE3">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216" w:rsidRDefault="00425216">
      <w:r>
        <w:separator/>
      </w:r>
    </w:p>
    <w:p w:rsidR="00425216" w:rsidRDefault="00425216"/>
    <w:p w:rsidR="00425216" w:rsidRDefault="00425216"/>
  </w:endnote>
  <w:endnote w:type="continuationSeparator" w:id="0">
    <w:p w:rsidR="00425216" w:rsidRDefault="00425216">
      <w:r>
        <w:continuationSeparator/>
      </w:r>
    </w:p>
    <w:p w:rsidR="00425216" w:rsidRDefault="00425216"/>
    <w:p w:rsidR="00425216" w:rsidRDefault="00425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216" w:rsidRDefault="00425216" w:rsidP="00FB1990">
      <w:pPr>
        <w:pStyle w:val="Spacer"/>
      </w:pPr>
      <w:r>
        <w:separator/>
      </w:r>
    </w:p>
    <w:p w:rsidR="00425216" w:rsidRDefault="00425216" w:rsidP="00FB1990">
      <w:pPr>
        <w:pStyle w:val="Spacer"/>
      </w:pPr>
    </w:p>
  </w:footnote>
  <w:footnote w:type="continuationSeparator" w:id="0">
    <w:p w:rsidR="00425216" w:rsidRDefault="00425216">
      <w:r>
        <w:continuationSeparator/>
      </w:r>
    </w:p>
    <w:p w:rsidR="00425216" w:rsidRDefault="00425216"/>
    <w:p w:rsidR="00425216" w:rsidRDefault="00425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4CB5603"/>
    <w:multiLevelType w:val="hybridMultilevel"/>
    <w:tmpl w:val="041294A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E82EA3"/>
    <w:multiLevelType w:val="multilevel"/>
    <w:tmpl w:val="9DFE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B8E5235"/>
    <w:multiLevelType w:val="hybridMultilevel"/>
    <w:tmpl w:val="1A20B1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6142E"/>
    <w:multiLevelType w:val="hybridMultilevel"/>
    <w:tmpl w:val="9DFA163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D02AF9"/>
    <w:multiLevelType w:val="hybridMultilevel"/>
    <w:tmpl w:val="7910D1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F74664"/>
    <w:multiLevelType w:val="hybridMultilevel"/>
    <w:tmpl w:val="6EE00C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F41206"/>
    <w:multiLevelType w:val="hybridMultilevel"/>
    <w:tmpl w:val="3D123C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40303C"/>
    <w:multiLevelType w:val="hybridMultilevel"/>
    <w:tmpl w:val="3DF2C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3"/>
  </w:num>
  <w:num w:numId="8">
    <w:abstractNumId w:val="25"/>
  </w:num>
  <w:num w:numId="9">
    <w:abstractNumId w:val="20"/>
  </w:num>
  <w:num w:numId="10">
    <w:abstractNumId w:val="12"/>
  </w:num>
  <w:num w:numId="11">
    <w:abstractNumId w:val="26"/>
  </w:num>
  <w:num w:numId="12">
    <w:abstractNumId w:val="28"/>
  </w:num>
  <w:num w:numId="13">
    <w:abstractNumId w:val="30"/>
  </w:num>
  <w:num w:numId="14">
    <w:abstractNumId w:val="7"/>
  </w:num>
  <w:num w:numId="15">
    <w:abstractNumId w:val="17"/>
  </w:num>
  <w:num w:numId="16">
    <w:abstractNumId w:val="31"/>
  </w:num>
  <w:num w:numId="17">
    <w:abstractNumId w:val="29"/>
  </w:num>
  <w:num w:numId="18">
    <w:abstractNumId w:val="27"/>
  </w:num>
  <w:num w:numId="19">
    <w:abstractNumId w:val="22"/>
  </w:num>
  <w:num w:numId="20">
    <w:abstractNumId w:val="18"/>
  </w:num>
  <w:num w:numId="21">
    <w:abstractNumId w:val="9"/>
  </w:num>
  <w:num w:numId="22">
    <w:abstractNumId w:val="6"/>
  </w:num>
  <w:num w:numId="23">
    <w:abstractNumId w:val="15"/>
  </w:num>
  <w:num w:numId="24">
    <w:abstractNumId w:val="8"/>
  </w:num>
  <w:num w:numId="25">
    <w:abstractNumId w:val="13"/>
  </w:num>
  <w:num w:numId="26">
    <w:abstractNumId w:val="24"/>
  </w:num>
  <w:num w:numId="27">
    <w:abstractNumId w:val="10"/>
  </w:num>
  <w:num w:numId="28">
    <w:abstractNumId w:val="19"/>
  </w:num>
  <w:num w:numId="29">
    <w:abstractNumId w:val="16"/>
  </w:num>
  <w:num w:numId="30">
    <w:abstractNumId w:val="11"/>
  </w:num>
  <w:num w:numId="31">
    <w:abstractNumId w:val="14"/>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1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216"/>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459"/>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638C0"/>
  <w15:chartTrackingRefBased/>
  <w15:docId w15:val="{9CEEC8AB-2DC2-45CA-A1FA-580DAA10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216"/>
    <w:pPr>
      <w:spacing w:before="0" w:after="0"/>
    </w:pPr>
    <w:rPr>
      <w:rFonts w:asciiTheme="minorHAnsi" w:hAnsiTheme="minorHAnsi" w:cstheme="minorBid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1"/>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xmsonormal">
    <w:name w:val="x_msonormal"/>
    <w:basedOn w:val="Normal"/>
    <w:rsid w:val="00425216"/>
    <w:rPr>
      <w:rFonts w:ascii="Calibri" w:hAnsi="Calibri" w:cs="Calibri"/>
      <w:sz w:val="22"/>
      <w:szCs w:val="22"/>
      <w:lang w:eastAsia="en-NZ"/>
    </w:rPr>
  </w:style>
  <w:style w:type="character" w:styleId="UnresolvedMention">
    <w:name w:val="Unresolved Mention"/>
    <w:basedOn w:val="DefaultParagraphFont"/>
    <w:uiPriority w:val="99"/>
    <w:semiHidden/>
    <w:unhideWhenUsed/>
    <w:rsid w:val="00425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buseinstatecare.royalcommission.govt.nz/Terms-of-reference" TargetMode="External"/><Relationship Id="rId4" Type="http://schemas.openxmlformats.org/officeDocument/2006/relationships/settings" Target="settings.xml"/><Relationship Id="rId9" Type="http://schemas.openxmlformats.org/officeDocument/2006/relationships/hyperlink" Target="https://www.abuseincare.org.nz/library/v/194/tawharautia-purongo-o-te-wa-interim-re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6EFC-FEE8-4CF4-B2A5-DC7C0E54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2</cp:revision>
  <cp:lastPrinted>2014-03-27T01:47:00Z</cp:lastPrinted>
  <dcterms:created xsi:type="dcterms:W3CDTF">2021-09-16T00:55:00Z</dcterms:created>
  <dcterms:modified xsi:type="dcterms:W3CDTF">2021-09-16T01:06:00Z</dcterms:modified>
</cp:coreProperties>
</file>