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3FDA" w14:textId="77777777" w:rsidR="00594EB6" w:rsidRDefault="00594EB6" w:rsidP="00594EB6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0FCD28AE" wp14:editId="4C9E58F4">
            <wp:extent cx="3471672" cy="725424"/>
            <wp:effectExtent l="0" t="0" r="0" b="0"/>
            <wp:docPr id="1" name="Picture 1" descr="cid:image001.jpg@01D530E0.262145E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530E0.262145E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42" cy="73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7C1E" w14:textId="77777777" w:rsidR="00594EB6" w:rsidRDefault="00594EB6" w:rsidP="00C93AC4">
      <w:pPr>
        <w:jc w:val="center"/>
        <w:rPr>
          <w:b/>
          <w:bCs/>
        </w:rPr>
      </w:pPr>
    </w:p>
    <w:p w14:paraId="0A615049" w14:textId="77777777" w:rsidR="00594EB6" w:rsidRDefault="00594EB6" w:rsidP="00C93AC4">
      <w:pPr>
        <w:jc w:val="center"/>
        <w:rPr>
          <w:b/>
          <w:bCs/>
        </w:rPr>
      </w:pPr>
    </w:p>
    <w:p w14:paraId="5251BBA3" w14:textId="77777777" w:rsidR="00C93AC4" w:rsidRDefault="00C93AC4" w:rsidP="00C93AC4">
      <w:pPr>
        <w:jc w:val="center"/>
        <w:rPr>
          <w:b/>
          <w:bCs/>
        </w:rPr>
      </w:pPr>
      <w:r>
        <w:rPr>
          <w:b/>
          <w:bCs/>
        </w:rPr>
        <w:t xml:space="preserve">WITNESS </w:t>
      </w:r>
      <w:r w:rsidR="007C5967">
        <w:rPr>
          <w:b/>
          <w:bCs/>
        </w:rPr>
        <w:t xml:space="preserve">AND SUPPORT PERSON </w:t>
      </w:r>
      <w:r>
        <w:rPr>
          <w:b/>
          <w:bCs/>
        </w:rPr>
        <w:t>EXPENSES POLICY</w:t>
      </w:r>
    </w:p>
    <w:p w14:paraId="2498421F" w14:textId="77777777" w:rsidR="00C93AC4" w:rsidRPr="00661812" w:rsidRDefault="00C93AC4" w:rsidP="00C93AC4">
      <w:pPr>
        <w:spacing w:before="120" w:after="240"/>
        <w:ind w:firstLine="360"/>
        <w:rPr>
          <w:b/>
          <w:bCs/>
        </w:rPr>
      </w:pPr>
      <w:r w:rsidRPr="00661812">
        <w:rPr>
          <w:b/>
          <w:bCs/>
        </w:rPr>
        <w:t>INTRODUCTION</w:t>
      </w:r>
    </w:p>
    <w:p w14:paraId="002D53F1" w14:textId="77777777" w:rsidR="00E254CE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This policy outlines payments the Royal Commission may make to</w:t>
      </w:r>
      <w:r w:rsidR="00E254CE">
        <w:t>:</w:t>
      </w:r>
    </w:p>
    <w:p w14:paraId="65F9EC43" w14:textId="77777777" w:rsidR="00C93AC4" w:rsidRDefault="00C93AC4" w:rsidP="00E254CE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witnesses who are requested by the Commission to gi</w:t>
      </w:r>
      <w:r w:rsidR="00E254CE">
        <w:t>ve evidence at public hearings;</w:t>
      </w:r>
    </w:p>
    <w:p w14:paraId="3FE9AA85" w14:textId="77777777" w:rsidR="00E254CE" w:rsidRDefault="00E254CE" w:rsidP="00E254CE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support persons</w:t>
      </w:r>
      <w:r>
        <w:rPr>
          <w:rStyle w:val="FootnoteReference"/>
        </w:rPr>
        <w:footnoteReference w:id="1"/>
      </w:r>
      <w:r>
        <w:t xml:space="preserve"> for those witnesses if they wish to have one.</w:t>
      </w:r>
    </w:p>
    <w:p w14:paraId="023F92ED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The purpose of payments is to reimburse witnesses </w:t>
      </w:r>
      <w:r w:rsidR="00E254CE">
        <w:t xml:space="preserve">and their support persons </w:t>
      </w:r>
      <w:r>
        <w:t xml:space="preserve">for the </w:t>
      </w:r>
      <w:r w:rsidR="00AE27CD">
        <w:t xml:space="preserve">fair and </w:t>
      </w:r>
      <w:r>
        <w:t>reasonable costs of attending a public hearing in accordance with s 25 of the Inquiries Act, and to ensure that the Inquiry receives evidence necessary for it to carry out its functions.</w:t>
      </w:r>
    </w:p>
    <w:p w14:paraId="5BF44312" w14:textId="77777777" w:rsidR="00C93AC4" w:rsidRPr="00661812" w:rsidRDefault="00C93AC4" w:rsidP="00C93AC4">
      <w:pPr>
        <w:spacing w:before="120" w:after="240"/>
        <w:ind w:left="360"/>
        <w:rPr>
          <w:b/>
          <w:bCs/>
        </w:rPr>
      </w:pPr>
      <w:r w:rsidRPr="00661812">
        <w:rPr>
          <w:b/>
          <w:bCs/>
        </w:rPr>
        <w:t>EXPENSES</w:t>
      </w:r>
    </w:p>
    <w:p w14:paraId="44BDF37D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The Royal Commission will cover the </w:t>
      </w:r>
      <w:r w:rsidR="00AE27CD">
        <w:t xml:space="preserve">fair and </w:t>
      </w:r>
      <w:r>
        <w:t>reasonable costs and expenses required to allow a witness</w:t>
      </w:r>
      <w:r w:rsidR="00E254CE">
        <w:t xml:space="preserve"> and a support person</w:t>
      </w:r>
      <w:r>
        <w:t xml:space="preserve"> to attend a hearing. </w:t>
      </w:r>
    </w:p>
    <w:p w14:paraId="4632ED1C" w14:textId="77777777" w:rsidR="00C93AC4" w:rsidRPr="004A7404" w:rsidRDefault="00C93AC4" w:rsidP="00C93AC4">
      <w:pPr>
        <w:pStyle w:val="ListParagraph"/>
        <w:spacing w:before="120" w:after="240"/>
        <w:contextualSpacing w:val="0"/>
        <w:rPr>
          <w:i/>
          <w:iCs/>
        </w:rPr>
      </w:pPr>
      <w:r>
        <w:rPr>
          <w:i/>
          <w:iCs/>
        </w:rPr>
        <w:t>Accommodation and travel</w:t>
      </w:r>
    </w:p>
    <w:p w14:paraId="2ABF17D3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The Royal Commission will pay the </w:t>
      </w:r>
      <w:r>
        <w:rPr>
          <w:b/>
          <w:bCs/>
        </w:rPr>
        <w:t xml:space="preserve">actual and reasonable costs </w:t>
      </w:r>
      <w:r>
        <w:t>of accommodation and travel required for a witness to attend a public hearing. This will include, as required:</w:t>
      </w:r>
    </w:p>
    <w:p w14:paraId="0001CC87" w14:textId="77777777" w:rsidR="00C93AC4" w:rsidRDefault="00C93AC4" w:rsidP="00C93AC4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cost of public transport, taxi or other small passenger vehicle, or air travel where necessary;</w:t>
      </w:r>
    </w:p>
    <w:p w14:paraId="60100679" w14:textId="21D177B4" w:rsidR="00C93AC4" w:rsidRDefault="00C93AC4" w:rsidP="00C93AC4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reimbursement for mileage at </w:t>
      </w:r>
      <w:r w:rsidR="008E09C4">
        <w:t>the applicable IRD published tier 1</w:t>
      </w:r>
      <w:r>
        <w:t xml:space="preserve"> per km</w:t>
      </w:r>
      <w:r w:rsidR="008E09C4">
        <w:t xml:space="preserve"> rate</w:t>
      </w:r>
      <w:bookmarkStart w:id="0" w:name="_GoBack"/>
      <w:bookmarkEnd w:id="0"/>
      <w:r>
        <w:t xml:space="preserve"> for a witness </w:t>
      </w:r>
      <w:r w:rsidR="00E254CE">
        <w:t xml:space="preserve">and/or support person </w:t>
      </w:r>
      <w:r>
        <w:t>travelling in their own vehicle;</w:t>
      </w:r>
    </w:p>
    <w:p w14:paraId="61D528F9" w14:textId="77777777" w:rsidR="00C93AC4" w:rsidRDefault="00C93AC4" w:rsidP="00C93AC4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parking, including airport parking;</w:t>
      </w:r>
    </w:p>
    <w:p w14:paraId="4991B811" w14:textId="77777777" w:rsidR="00C93AC4" w:rsidRDefault="00C93AC4" w:rsidP="00C93AC4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 xml:space="preserve">if an overnight stay is required, accommodation at a rate of up to $300 plus GST per night </w:t>
      </w:r>
      <w:r w:rsidR="00E254CE">
        <w:t xml:space="preserve">per person </w:t>
      </w:r>
      <w:r>
        <w:t>for accommodation in Auckland, Wellington or Christchurch, and up to $250 plus GST per night</w:t>
      </w:r>
      <w:r w:rsidR="00E254CE">
        <w:t xml:space="preserve"> per person</w:t>
      </w:r>
      <w:r>
        <w:t xml:space="preserve"> in any other location. </w:t>
      </w:r>
    </w:p>
    <w:p w14:paraId="764F3552" w14:textId="425051B7" w:rsidR="00E254CE" w:rsidRDefault="00E254CE" w:rsidP="00E254CE">
      <w:pPr>
        <w:pStyle w:val="ListParagraph"/>
        <w:numPr>
          <w:ilvl w:val="0"/>
          <w:numId w:val="1"/>
        </w:numPr>
        <w:spacing w:before="120" w:after="240"/>
      </w:pPr>
      <w:r w:rsidRPr="002A0B98">
        <w:t>The Royal Commission prefers to may make travel arrangements and payments on behalf of the support person</w:t>
      </w:r>
      <w:r w:rsidR="00AE27CD">
        <w:t>. If</w:t>
      </w:r>
      <w:r>
        <w:t xml:space="preserve"> this is not practicable</w:t>
      </w:r>
      <w:r w:rsidR="00AE27CD">
        <w:t>,</w:t>
      </w:r>
      <w:r>
        <w:t xml:space="preserve"> </w:t>
      </w:r>
      <w:r w:rsidRPr="002A0B98">
        <w:t xml:space="preserve">payment of expenses will be </w:t>
      </w:r>
      <w:r w:rsidRPr="002A0B98">
        <w:lastRenderedPageBreak/>
        <w:t xml:space="preserve">by reimbursement on production of valid GST receipts and other required information such as bank account details. </w:t>
      </w:r>
    </w:p>
    <w:p w14:paraId="57BD8020" w14:textId="77777777" w:rsidR="000F4AF4" w:rsidRDefault="000F4AF4" w:rsidP="000F4AF4">
      <w:pPr>
        <w:pStyle w:val="ListParagraph"/>
        <w:spacing w:before="120" w:after="240"/>
      </w:pPr>
    </w:p>
    <w:p w14:paraId="1BE936DA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The Royal Commission may also pay for other actual and reasonable costs incurred that are necessary to allow a witness to attend the hearing, if approval is sought in writing and approved in advance. </w:t>
      </w:r>
    </w:p>
    <w:p w14:paraId="5CE9F9E6" w14:textId="77777777" w:rsidR="00C93AC4" w:rsidRPr="004A7404" w:rsidRDefault="00C93AC4" w:rsidP="00C93AC4">
      <w:pPr>
        <w:pStyle w:val="ListParagraph"/>
        <w:spacing w:before="120" w:after="240"/>
        <w:contextualSpacing w:val="0"/>
        <w:rPr>
          <w:i/>
          <w:iCs/>
        </w:rPr>
      </w:pPr>
      <w:r>
        <w:rPr>
          <w:i/>
          <w:iCs/>
        </w:rPr>
        <w:t>Food costs</w:t>
      </w:r>
    </w:p>
    <w:p w14:paraId="1724C8F2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The Royal Commission will provide a witness</w:t>
      </w:r>
      <w:r w:rsidR="00E254CE">
        <w:t xml:space="preserve"> and a support person</w:t>
      </w:r>
      <w:r>
        <w:t xml:space="preserve"> either with reimbursement for actual and reasonable cost of food while the witness is required to be away from home to attend the Inquiry, or a food allowance of:</w:t>
      </w:r>
    </w:p>
    <w:p w14:paraId="793D9DF7" w14:textId="77777777" w:rsidR="00C93AC4" w:rsidRDefault="00C93AC4" w:rsidP="00C93AC4">
      <w:pPr>
        <w:pStyle w:val="ListParagraph"/>
        <w:numPr>
          <w:ilvl w:val="0"/>
          <w:numId w:val="3"/>
        </w:numPr>
        <w:spacing w:before="120" w:after="240"/>
        <w:contextualSpacing w:val="0"/>
      </w:pPr>
      <w:r>
        <w:t>$50 including GST, where a witness is required to attend a hearing for up to one hearing day or part day; or</w:t>
      </w:r>
    </w:p>
    <w:p w14:paraId="4BE1F375" w14:textId="77777777" w:rsidR="00C93AC4" w:rsidRDefault="00C93AC4" w:rsidP="00C93AC4">
      <w:pPr>
        <w:pStyle w:val="ListParagraph"/>
        <w:numPr>
          <w:ilvl w:val="0"/>
          <w:numId w:val="3"/>
        </w:numPr>
        <w:spacing w:before="120" w:after="240"/>
        <w:contextualSpacing w:val="0"/>
      </w:pPr>
      <w:r>
        <w:t>$90 including GST for every completed 24 period the witness is required to be away from their usual residence.</w:t>
      </w:r>
    </w:p>
    <w:p w14:paraId="3645AA8B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Costs of alcohol will not be paid.</w:t>
      </w:r>
    </w:p>
    <w:p w14:paraId="29AC6493" w14:textId="77777777" w:rsidR="00C93AC4" w:rsidRDefault="00C93AC4" w:rsidP="00C93AC4">
      <w:pPr>
        <w:spacing w:before="120" w:after="240"/>
        <w:ind w:firstLine="360"/>
      </w:pPr>
      <w:r>
        <w:rPr>
          <w:b/>
          <w:bCs/>
        </w:rPr>
        <w:t>FEES FOR EXPERT WITNESSES</w:t>
      </w:r>
    </w:p>
    <w:p w14:paraId="559B1938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An expert witness is a witness called because of his or her professional skill or knowledge, to give evidence at a public hearing in an area that relates to his or her profession. </w:t>
      </w:r>
    </w:p>
    <w:p w14:paraId="3A234D90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The Royal Commission may engage an expert witness to prepare and give evidence at a public hearing where it considers it is in the interests of the inquiry to receive evidence from that person in their area of expertise. </w:t>
      </w:r>
    </w:p>
    <w:p w14:paraId="77636D71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The Royal Commission will remunerate such expert witnesses for their actual and reasonable costs for preparing and giving evidence at public hearings. The Royal Commission will pay:</w:t>
      </w:r>
    </w:p>
    <w:p w14:paraId="3C6A89FA" w14:textId="77777777" w:rsidR="00C93AC4" w:rsidRDefault="00C93AC4" w:rsidP="00C93AC4">
      <w:pPr>
        <w:pStyle w:val="ListParagraph"/>
        <w:numPr>
          <w:ilvl w:val="0"/>
          <w:numId w:val="4"/>
        </w:numPr>
        <w:spacing w:before="120" w:after="240"/>
        <w:contextualSpacing w:val="0"/>
      </w:pPr>
      <w:r>
        <w:t>Fees at the witness’ usual hourly rate (to a maximum of $200 plus GST per hour) and any necessary disbursements required for the preparation of evidence, on the basis that a written estimate of preparation time and disbursements must be provided in advance and approved by the Royal Commission before work commences or disbursements are incurred; and</w:t>
      </w:r>
    </w:p>
    <w:p w14:paraId="5E3C1475" w14:textId="77777777" w:rsidR="00C93AC4" w:rsidRDefault="00C93AC4" w:rsidP="00C93AC4">
      <w:pPr>
        <w:pStyle w:val="ListParagraph"/>
        <w:numPr>
          <w:ilvl w:val="0"/>
          <w:numId w:val="4"/>
        </w:numPr>
        <w:spacing w:before="120" w:after="240"/>
        <w:contextualSpacing w:val="0"/>
      </w:pPr>
      <w:r>
        <w:t>Actual time spent giving evidence at the public hearing including waiting time, at the same hourly rate; and</w:t>
      </w:r>
    </w:p>
    <w:p w14:paraId="41E9C823" w14:textId="77777777" w:rsidR="00C93AC4" w:rsidRDefault="00C93AC4" w:rsidP="00C93AC4">
      <w:pPr>
        <w:pStyle w:val="ListParagraph"/>
        <w:numPr>
          <w:ilvl w:val="0"/>
          <w:numId w:val="4"/>
        </w:numPr>
        <w:spacing w:before="120" w:after="240"/>
        <w:contextualSpacing w:val="0"/>
      </w:pPr>
      <w:r>
        <w:t xml:space="preserve">Actual and reasonable travel time at the rate of $63 per hour plus GST, if the expert witness </w:t>
      </w:r>
      <w:proofErr w:type="gramStart"/>
      <w:r>
        <w:t>has to</w:t>
      </w:r>
      <w:proofErr w:type="gramEnd"/>
      <w:r>
        <w:t xml:space="preserve"> attend a public hearing in a city or town away from their usual place of residence or business. </w:t>
      </w:r>
    </w:p>
    <w:p w14:paraId="40AFB551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Expert witness fees and disbursements will be paid on receipt of an invoice.  </w:t>
      </w:r>
    </w:p>
    <w:p w14:paraId="2FCBACA8" w14:textId="77777777" w:rsidR="00C93AC4" w:rsidRPr="008618F3" w:rsidRDefault="00C93AC4" w:rsidP="00C93AC4">
      <w:pPr>
        <w:spacing w:before="120" w:after="240"/>
        <w:ind w:firstLine="360"/>
        <w:rPr>
          <w:b/>
          <w:bCs/>
          <w:i/>
          <w:iCs/>
        </w:rPr>
      </w:pPr>
      <w:r w:rsidRPr="008618F3">
        <w:rPr>
          <w:b/>
          <w:bCs/>
        </w:rPr>
        <w:t>OTHER WITNESSES</w:t>
      </w:r>
      <w:r>
        <w:rPr>
          <w:b/>
          <w:bCs/>
        </w:rPr>
        <w:t>: LOSS OF INCOME</w:t>
      </w:r>
      <w:r w:rsidRPr="008618F3">
        <w:rPr>
          <w:b/>
          <w:bCs/>
          <w:i/>
          <w:iCs/>
        </w:rPr>
        <w:t xml:space="preserve"> </w:t>
      </w:r>
    </w:p>
    <w:p w14:paraId="33AB86C5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The Royal Commission may pay a witness a reasonable amount as compensation for loss of income due the witness being required to attend a public hearing. </w:t>
      </w:r>
    </w:p>
    <w:p w14:paraId="565DEFF5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lastRenderedPageBreak/>
        <w:t xml:space="preserve">A witness can make a claim for loss of income if they will </w:t>
      </w:r>
      <w:proofErr w:type="gramStart"/>
      <w:r>
        <w:t>actually lose</w:t>
      </w:r>
      <w:proofErr w:type="gramEnd"/>
      <w:r>
        <w:t xml:space="preserve"> wages or other earnings because they had to come to the Inquiry. If an employer will allow you to come without losing wages, the claim will not be paid.</w:t>
      </w:r>
    </w:p>
    <w:p w14:paraId="6CCB7347" w14:textId="77777777" w:rsidR="00C93AC4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A witness can make a claim by submitting a completed </w:t>
      </w:r>
      <w:proofErr w:type="gramStart"/>
      <w:r>
        <w:t>application, and</w:t>
      </w:r>
      <w:proofErr w:type="gramEnd"/>
      <w:r>
        <w:t xml:space="preserve"> providing evidence of wages or other earnings lost. Any loss of income payment will be made after the public hearing.  </w:t>
      </w:r>
    </w:p>
    <w:p w14:paraId="54124C80" w14:textId="77777777" w:rsidR="00E254CE" w:rsidRDefault="00E254CE" w:rsidP="00E254CE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2A0B98">
        <w:t>Costs of loss of income for a support person will not be paid</w:t>
      </w:r>
    </w:p>
    <w:p w14:paraId="5D0D9EF1" w14:textId="77777777" w:rsidR="00E254CE" w:rsidRDefault="00E254CE" w:rsidP="00E254CE">
      <w:pPr>
        <w:pStyle w:val="ListParagraph"/>
        <w:spacing w:before="120" w:after="240"/>
        <w:contextualSpacing w:val="0"/>
      </w:pPr>
    </w:p>
    <w:p w14:paraId="6E977896" w14:textId="77777777" w:rsidR="00C93AC4" w:rsidRPr="00E71C3B" w:rsidRDefault="00C93AC4" w:rsidP="00C93AC4">
      <w:pPr>
        <w:keepNext/>
        <w:spacing w:before="120" w:after="240"/>
        <w:ind w:left="357"/>
        <w:rPr>
          <w:b/>
          <w:bCs/>
        </w:rPr>
      </w:pPr>
      <w:r>
        <w:rPr>
          <w:b/>
          <w:bCs/>
        </w:rPr>
        <w:t>APPLICATIONS</w:t>
      </w:r>
    </w:p>
    <w:p w14:paraId="43FA080E" w14:textId="77777777" w:rsidR="00D53A81" w:rsidRPr="00D53A81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D53A81">
        <w:t xml:space="preserve">Application forms for claiming expenses and fees are </w:t>
      </w:r>
      <w:r w:rsidR="00D53A81" w:rsidRPr="00D53A81">
        <w:t xml:space="preserve">available </w:t>
      </w:r>
      <w:r w:rsidR="00D53A81">
        <w:t xml:space="preserve">on request from </w:t>
      </w:r>
      <w:r w:rsidR="00D53A81" w:rsidRPr="00D53A81">
        <w:t xml:space="preserve">Counsel Assisting the Inquiry </w:t>
      </w:r>
      <w:r w:rsidR="00D53A81">
        <w:t xml:space="preserve">who can be reached by email </w:t>
      </w:r>
      <w:r w:rsidR="00D53A81" w:rsidRPr="00D53A81">
        <w:t xml:space="preserve">at </w:t>
      </w:r>
      <w:hyperlink r:id="rId9" w:history="1">
        <w:r w:rsidR="00E254CE" w:rsidRPr="00F115B5">
          <w:rPr>
            <w:rStyle w:val="Hyperlink"/>
          </w:rPr>
          <w:t>solicitorassisting@abuseincare.org.nz</w:t>
        </w:r>
      </w:hyperlink>
      <w:r w:rsidR="00E254CE">
        <w:t>.</w:t>
      </w:r>
    </w:p>
    <w:p w14:paraId="6A13DAC6" w14:textId="77777777" w:rsidR="00C93AC4" w:rsidRPr="00D53A81" w:rsidRDefault="00C93AC4" w:rsidP="00C93AC4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D53A81">
        <w:t>If the applicant is</w:t>
      </w:r>
      <w:r w:rsidR="00D53A81" w:rsidRPr="00D53A81">
        <w:t xml:space="preserve"> dissatisfied with the outcome, he or she </w:t>
      </w:r>
      <w:r w:rsidRPr="00D53A81">
        <w:t xml:space="preserve">may request that the application be reconsidered by the </w:t>
      </w:r>
      <w:r w:rsidR="00E254CE">
        <w:t>Solicitor Assisting</w:t>
      </w:r>
      <w:r w:rsidRPr="00D53A81">
        <w:t xml:space="preserve">. </w:t>
      </w:r>
    </w:p>
    <w:p w14:paraId="16BCC808" w14:textId="77777777" w:rsidR="00C93AC4" w:rsidRDefault="00C93AC4" w:rsidP="00C93AC4">
      <w:pPr>
        <w:rPr>
          <w:i/>
          <w:iCs/>
        </w:rPr>
      </w:pPr>
    </w:p>
    <w:p w14:paraId="6352962C" w14:textId="77777777" w:rsidR="00C93AC4" w:rsidRDefault="00C93AC4" w:rsidP="00C93AC4">
      <w:pPr>
        <w:rPr>
          <w:i/>
          <w:iCs/>
        </w:rPr>
      </w:pPr>
    </w:p>
    <w:p w14:paraId="725809D2" w14:textId="77777777" w:rsidR="00C93AC4" w:rsidRPr="00A53E57" w:rsidRDefault="00C93AC4" w:rsidP="00C93AC4">
      <w:pPr>
        <w:rPr>
          <w:i/>
          <w:iCs/>
        </w:rPr>
      </w:pPr>
    </w:p>
    <w:p w14:paraId="367DB673" w14:textId="77777777" w:rsidR="00F47489" w:rsidRDefault="00F47489"/>
    <w:sectPr w:rsidR="00F47489" w:rsidSect="00594EB6">
      <w:pgSz w:w="11900" w:h="16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C04B" w14:textId="77777777" w:rsidR="00912D8B" w:rsidRDefault="00912D8B" w:rsidP="00E254CE">
      <w:r>
        <w:separator/>
      </w:r>
    </w:p>
  </w:endnote>
  <w:endnote w:type="continuationSeparator" w:id="0">
    <w:p w14:paraId="21C2ACB6" w14:textId="77777777" w:rsidR="00912D8B" w:rsidRDefault="00912D8B" w:rsidP="00E2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107D9" w14:textId="77777777" w:rsidR="00912D8B" w:rsidRDefault="00912D8B" w:rsidP="00E254CE">
      <w:r>
        <w:separator/>
      </w:r>
    </w:p>
  </w:footnote>
  <w:footnote w:type="continuationSeparator" w:id="0">
    <w:p w14:paraId="4EE7F193" w14:textId="77777777" w:rsidR="00912D8B" w:rsidRDefault="00912D8B" w:rsidP="00E254CE">
      <w:r>
        <w:continuationSeparator/>
      </w:r>
    </w:p>
  </w:footnote>
  <w:footnote w:id="1">
    <w:p w14:paraId="07920D93" w14:textId="77777777" w:rsidR="00E254CE" w:rsidRPr="00E254CE" w:rsidRDefault="00E254CE" w:rsidP="00E254CE">
      <w:pPr>
        <w:pStyle w:val="ListParagraph"/>
        <w:spacing w:before="120" w:after="240"/>
        <w:contextualSpacing w:val="0"/>
        <w:rPr>
          <w:sz w:val="20"/>
          <w:szCs w:val="20"/>
        </w:rPr>
      </w:pPr>
      <w:r w:rsidRPr="00E254CE">
        <w:rPr>
          <w:rStyle w:val="FootnoteReference"/>
          <w:sz w:val="20"/>
          <w:szCs w:val="20"/>
        </w:rPr>
        <w:footnoteRef/>
      </w:r>
      <w:r w:rsidRPr="00E254CE">
        <w:rPr>
          <w:sz w:val="20"/>
          <w:szCs w:val="20"/>
        </w:rPr>
        <w:t xml:space="preserve"> The definition of a support person in this context, primarily describes any person, regardless of their expertise, qualifications and/or relationship with the Witness is the selected person to provide support to the </w:t>
      </w:r>
      <w:proofErr w:type="gramStart"/>
      <w:r w:rsidRPr="00E254CE">
        <w:rPr>
          <w:sz w:val="20"/>
          <w:szCs w:val="20"/>
        </w:rPr>
        <w:t>Witness  at</w:t>
      </w:r>
      <w:proofErr w:type="gramEnd"/>
      <w:r w:rsidRPr="00E254CE">
        <w:rPr>
          <w:sz w:val="20"/>
          <w:szCs w:val="20"/>
        </w:rPr>
        <w:t xml:space="preserve"> a hearing.</w:t>
      </w:r>
    </w:p>
    <w:p w14:paraId="091F7E5F" w14:textId="77777777" w:rsidR="00E254CE" w:rsidRDefault="00E254C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B58"/>
    <w:multiLevelType w:val="hybridMultilevel"/>
    <w:tmpl w:val="D51C227A"/>
    <w:lvl w:ilvl="0" w:tplc="14090019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27DD08EE"/>
    <w:multiLevelType w:val="hybridMultilevel"/>
    <w:tmpl w:val="0702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C5E08"/>
    <w:multiLevelType w:val="hybridMultilevel"/>
    <w:tmpl w:val="238E712C"/>
    <w:lvl w:ilvl="0" w:tplc="14090019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61461A"/>
    <w:multiLevelType w:val="hybridMultilevel"/>
    <w:tmpl w:val="39527C8A"/>
    <w:lvl w:ilvl="0" w:tplc="14090019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4"/>
    <w:rsid w:val="000579B4"/>
    <w:rsid w:val="000F4AF4"/>
    <w:rsid w:val="00164FEE"/>
    <w:rsid w:val="004011BC"/>
    <w:rsid w:val="004907F1"/>
    <w:rsid w:val="00594EB6"/>
    <w:rsid w:val="00767E2C"/>
    <w:rsid w:val="007A51A2"/>
    <w:rsid w:val="007C5967"/>
    <w:rsid w:val="008E09C4"/>
    <w:rsid w:val="00912D8B"/>
    <w:rsid w:val="009259FB"/>
    <w:rsid w:val="00AE27CD"/>
    <w:rsid w:val="00C92D86"/>
    <w:rsid w:val="00C93AC4"/>
    <w:rsid w:val="00CD6A2F"/>
    <w:rsid w:val="00D53A81"/>
    <w:rsid w:val="00D70297"/>
    <w:rsid w:val="00D954E4"/>
    <w:rsid w:val="00E254CE"/>
    <w:rsid w:val="00EB6E89"/>
    <w:rsid w:val="00F47489"/>
    <w:rsid w:val="00F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2361"/>
  <w15:chartTrackingRefBased/>
  <w15:docId w15:val="{00ADD41D-DFF5-43D9-80CA-B130C902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AC4"/>
    <w:pPr>
      <w:spacing w:after="0" w:line="240" w:lineRule="auto"/>
    </w:pPr>
    <w:rPr>
      <w:sz w:val="24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B6"/>
    <w:rPr>
      <w:rFonts w:ascii="Segoe UI" w:hAnsi="Segoe UI" w:cs="Segoe UI"/>
      <w:sz w:val="18"/>
      <w:szCs w:val="18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5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4CE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E254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2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7CD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CD"/>
    <w:rPr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abuseincare.org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icitorassisting@abuseincar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Spelman</dc:creator>
  <cp:keywords/>
  <dc:description/>
  <cp:lastModifiedBy>Paul Bryant</cp:lastModifiedBy>
  <cp:revision>4</cp:revision>
  <dcterms:created xsi:type="dcterms:W3CDTF">2021-06-10T00:49:00Z</dcterms:created>
  <dcterms:modified xsi:type="dcterms:W3CDTF">2021-06-10T01:13:00Z</dcterms:modified>
</cp:coreProperties>
</file>